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9896F">
      <w:pPr>
        <w:pStyle w:val="3"/>
        <w:keepNext w:val="0"/>
        <w:keepLines w:val="0"/>
        <w:pageBreakBefore/>
        <w:widowControl w:val="0"/>
        <w:tabs>
          <w:tab w:val="left" w:pos="766"/>
          <w:tab w:val="clear" w:pos="0"/>
        </w:tabs>
        <w:kinsoku/>
        <w:wordWrap/>
        <w:overflowPunct/>
        <w:topLinePunct w:val="0"/>
        <w:autoSpaceDE/>
        <w:autoSpaceDN/>
        <w:bidi w:val="0"/>
        <w:adjustRightInd w:val="0"/>
        <w:snapToGrid w:val="0"/>
        <w:spacing w:before="140" w:line="224" w:lineRule="auto"/>
        <w:ind w:left="539"/>
        <w:jc w:val="center"/>
        <w:textAlignment w:val="auto"/>
        <w:outlineLvl w:val="0"/>
        <w:rPr>
          <w:b/>
          <w:bCs/>
          <w:sz w:val="48"/>
          <w:szCs w:val="48"/>
        </w:rPr>
      </w:pPr>
      <w:r>
        <w:rPr>
          <w:rFonts w:hint="eastAsia"/>
          <w:b/>
          <w:bCs/>
          <w:sz w:val="48"/>
          <w:szCs w:val="48"/>
          <w:lang w:val="en-US" w:eastAsia="zh-CN"/>
        </w:rPr>
        <w:t>雅安市雨城区人民医院2026年度信息维护服务项目</w:t>
      </w:r>
      <w:r>
        <w:rPr>
          <w:b/>
          <w:bCs/>
          <w:spacing w:val="-26"/>
          <w:sz w:val="48"/>
          <w:szCs w:val="48"/>
        </w:rPr>
        <w:t>政府采购合同</w:t>
      </w:r>
    </w:p>
    <w:p w14:paraId="12CD16C0">
      <w:pPr>
        <w:spacing w:line="259" w:lineRule="auto"/>
        <w:rPr>
          <w:rFonts w:ascii="Arial"/>
          <w:sz w:val="21"/>
        </w:rPr>
      </w:pPr>
    </w:p>
    <w:p w14:paraId="4DEA9EBC">
      <w:pPr>
        <w:spacing w:line="259" w:lineRule="auto"/>
        <w:rPr>
          <w:rFonts w:ascii="Arial"/>
          <w:sz w:val="21"/>
        </w:rPr>
      </w:pPr>
    </w:p>
    <w:p w14:paraId="39937B44">
      <w:pPr>
        <w:spacing w:line="260" w:lineRule="auto"/>
        <w:rPr>
          <w:rFonts w:ascii="Arial"/>
          <w:sz w:val="21"/>
        </w:rPr>
      </w:pPr>
    </w:p>
    <w:p w14:paraId="51984AF4">
      <w:pPr>
        <w:spacing w:line="260" w:lineRule="auto"/>
        <w:rPr>
          <w:rFonts w:ascii="Arial"/>
          <w:sz w:val="21"/>
        </w:rPr>
      </w:pPr>
    </w:p>
    <w:p w14:paraId="22EB8DE2">
      <w:pPr>
        <w:spacing w:line="260" w:lineRule="auto"/>
        <w:rPr>
          <w:rFonts w:ascii="Arial"/>
          <w:sz w:val="21"/>
        </w:rPr>
      </w:pPr>
    </w:p>
    <w:p w14:paraId="3DBC26B6">
      <w:pPr>
        <w:spacing w:line="260" w:lineRule="auto"/>
        <w:rPr>
          <w:rFonts w:ascii="Arial"/>
          <w:sz w:val="21"/>
        </w:rPr>
      </w:pPr>
    </w:p>
    <w:p w14:paraId="221863A9">
      <w:pPr>
        <w:spacing w:line="260" w:lineRule="auto"/>
        <w:rPr>
          <w:rFonts w:ascii="Arial"/>
          <w:sz w:val="21"/>
        </w:rPr>
      </w:pPr>
    </w:p>
    <w:p w14:paraId="69CCC390">
      <w:pPr>
        <w:spacing w:line="260" w:lineRule="auto"/>
        <w:rPr>
          <w:rFonts w:ascii="Arial"/>
          <w:sz w:val="21"/>
        </w:rPr>
      </w:pPr>
    </w:p>
    <w:p w14:paraId="41A3F5C3">
      <w:pPr>
        <w:spacing w:line="260" w:lineRule="auto"/>
        <w:rPr>
          <w:rFonts w:ascii="Arial"/>
          <w:sz w:val="21"/>
        </w:rPr>
      </w:pPr>
    </w:p>
    <w:p w14:paraId="08AF763C">
      <w:pPr>
        <w:spacing w:line="260" w:lineRule="auto"/>
        <w:rPr>
          <w:rFonts w:ascii="Arial"/>
          <w:sz w:val="21"/>
        </w:rPr>
      </w:pPr>
    </w:p>
    <w:p w14:paraId="66F4BE06">
      <w:pPr>
        <w:spacing w:line="260" w:lineRule="auto"/>
        <w:rPr>
          <w:rFonts w:ascii="Arial"/>
          <w:sz w:val="21"/>
        </w:rPr>
      </w:pPr>
    </w:p>
    <w:p w14:paraId="497E79D9">
      <w:pPr>
        <w:pStyle w:val="3"/>
        <w:spacing w:before="91" w:line="220" w:lineRule="auto"/>
        <w:ind w:left="1107"/>
      </w:pPr>
      <w:r>
        <w:rPr>
          <w:spacing w:val="1"/>
        </w:rPr>
        <w:t>合同编号</w:t>
      </w:r>
      <w:r>
        <w:rPr>
          <w:spacing w:val="-9"/>
        </w:rPr>
        <w:t>：</w:t>
      </w:r>
    </w:p>
    <w:p w14:paraId="041B8F2A">
      <w:pPr>
        <w:pStyle w:val="3"/>
        <w:spacing w:before="292" w:line="219" w:lineRule="auto"/>
        <w:ind w:left="1106"/>
        <w:rPr>
          <w:rFonts w:hint="eastAsia"/>
          <w:spacing w:val="-9"/>
          <w:lang w:eastAsia="zh-CN"/>
        </w:rPr>
      </w:pPr>
      <w:r>
        <w:rPr>
          <w:spacing w:val="1"/>
        </w:rPr>
        <w:t>采购人（甲方</w:t>
      </w:r>
      <w:r>
        <w:rPr>
          <w:spacing w:val="-9"/>
        </w:rPr>
        <w:t>）：</w:t>
      </w:r>
      <w:r>
        <w:rPr>
          <w:rFonts w:hint="eastAsia"/>
          <w:spacing w:val="-9"/>
          <w:lang w:eastAsia="zh-CN"/>
        </w:rPr>
        <w:t>雅安市雨城区人民医院</w:t>
      </w:r>
    </w:p>
    <w:p w14:paraId="2EC57380">
      <w:pPr>
        <w:pStyle w:val="3"/>
        <w:spacing w:before="292" w:line="219" w:lineRule="auto"/>
        <w:ind w:left="1106"/>
      </w:pPr>
      <w:r>
        <w:rPr>
          <w:spacing w:val="1"/>
        </w:rPr>
        <w:t>供应商（乙方</w:t>
      </w:r>
      <w:r>
        <w:rPr>
          <w:spacing w:val="-8"/>
        </w:rPr>
        <w:t>）：</w:t>
      </w:r>
    </w:p>
    <w:p w14:paraId="1FE24AF8">
      <w:pPr>
        <w:pStyle w:val="3"/>
        <w:spacing w:before="291" w:line="220" w:lineRule="auto"/>
        <w:ind w:left="1106"/>
      </w:pPr>
      <w:r>
        <w:rPr>
          <w:spacing w:val="-4"/>
        </w:rPr>
        <w:t>签订地点：</w:t>
      </w:r>
      <w:r>
        <w:rPr>
          <w:rFonts w:hint="eastAsia"/>
          <w:spacing w:val="-9"/>
          <w:lang w:eastAsia="zh-CN"/>
        </w:rPr>
        <w:t>雅安市雨城区人民医院</w:t>
      </w:r>
    </w:p>
    <w:p w14:paraId="07498599">
      <w:pPr>
        <w:pStyle w:val="3"/>
        <w:spacing w:before="291" w:line="219" w:lineRule="auto"/>
        <w:ind w:left="1106"/>
      </w:pPr>
      <w:r>
        <w:rPr>
          <w:spacing w:val="-4"/>
        </w:rPr>
        <w:t>签订时间：</w:t>
      </w:r>
    </w:p>
    <w:p w14:paraId="3B4EBA9B">
      <w:pPr>
        <w:spacing w:line="219" w:lineRule="auto"/>
        <w:sectPr>
          <w:pgSz w:w="11906" w:h="16839"/>
          <w:pgMar w:top="1431" w:right="1785" w:bottom="0" w:left="1263" w:header="0" w:footer="0" w:gutter="0"/>
          <w:cols w:space="720" w:num="1"/>
        </w:sectPr>
      </w:pPr>
    </w:p>
    <w:p w14:paraId="4E744D30">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76"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根据《中华人民共和国民法典》《中华人民共和国政府采购法》</w:t>
      </w:r>
      <w:r>
        <w:rPr>
          <w:rFonts w:hint="eastAsia" w:ascii="宋体" w:hAnsi="宋体" w:eastAsia="宋体" w:cs="宋体"/>
          <w:spacing w:val="-4"/>
          <w:sz w:val="24"/>
          <w:szCs w:val="24"/>
        </w:rPr>
        <w:t>等法律法规，以及本采购项目的采购文件、乙方的《投标（响应）文件》及《中标（成交）通知书》，甲乙双方同意签订本合同，共同遵</w:t>
      </w:r>
      <w:r>
        <w:rPr>
          <w:rFonts w:hint="eastAsia" w:ascii="宋体" w:hAnsi="宋体" w:eastAsia="宋体" w:cs="宋体"/>
          <w:spacing w:val="-2"/>
          <w:sz w:val="24"/>
          <w:szCs w:val="24"/>
        </w:rPr>
        <w:t>守如下条款：</w:t>
      </w:r>
    </w:p>
    <w:p w14:paraId="4F130AFD">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62" w:firstLineChars="200"/>
        <w:textAlignment w:val="baseline"/>
        <w:outlineLvl w:val="1"/>
        <w:rPr>
          <w:rFonts w:hint="eastAsia" w:ascii="宋体" w:hAnsi="宋体" w:eastAsia="宋体" w:cs="宋体"/>
          <w:sz w:val="24"/>
          <w:szCs w:val="24"/>
        </w:rPr>
      </w:pPr>
      <w:r>
        <w:rPr>
          <w:rFonts w:hint="eastAsia" w:ascii="宋体" w:hAnsi="宋体" w:eastAsia="宋体" w:cs="宋体"/>
          <w:b/>
          <w:bCs/>
          <w:spacing w:val="-5"/>
          <w:sz w:val="24"/>
          <w:szCs w:val="24"/>
        </w:rPr>
        <w:t>一、项目信息</w:t>
      </w:r>
    </w:p>
    <w:p w14:paraId="691CE211">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1.1.采购项目名称</w:t>
      </w:r>
      <w:r>
        <w:rPr>
          <w:rFonts w:hint="eastAsia" w:ascii="宋体" w:hAnsi="宋体" w:eastAsia="宋体" w:cs="宋体"/>
          <w:spacing w:val="-11"/>
          <w:sz w:val="24"/>
          <w:szCs w:val="24"/>
        </w:rPr>
        <w:t>：</w:t>
      </w:r>
      <w:r>
        <w:rPr>
          <w:rFonts w:hint="eastAsia" w:cs="宋体"/>
          <w:spacing w:val="-11"/>
          <w:sz w:val="24"/>
          <w:szCs w:val="24"/>
          <w:lang w:val="en-US" w:eastAsia="zh-CN"/>
        </w:rPr>
        <w:t>雅安市雨城区人民医院2026年度信息维护服务项目</w:t>
      </w:r>
    </w:p>
    <w:p w14:paraId="7E29679E">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1.2.采购项目编号</w:t>
      </w:r>
      <w:r>
        <w:rPr>
          <w:rFonts w:hint="eastAsia" w:cs="宋体"/>
          <w:spacing w:val="-11"/>
          <w:sz w:val="24"/>
          <w:szCs w:val="24"/>
          <w:lang w:val="en-US" w:eastAsia="zh-CN"/>
        </w:rPr>
        <w:t>：N5118022026000020</w:t>
      </w:r>
    </w:p>
    <w:p w14:paraId="1CBF699E">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1.3.采购计划编号</w:t>
      </w:r>
      <w:r>
        <w:rPr>
          <w:rFonts w:hint="eastAsia" w:ascii="宋体" w:hAnsi="宋体" w:eastAsia="宋体" w:cs="宋体"/>
          <w:spacing w:val="-75"/>
          <w:w w:val="89"/>
          <w:sz w:val="24"/>
          <w:szCs w:val="24"/>
        </w:rPr>
        <w:t>：</w:t>
      </w:r>
      <w:r>
        <w:rPr>
          <w:rFonts w:hint="eastAsia" w:cs="宋体"/>
          <w:spacing w:val="-11"/>
          <w:sz w:val="24"/>
          <w:szCs w:val="24"/>
          <w:lang w:val="en-US" w:eastAsia="zh-CN"/>
        </w:rPr>
        <w:t>51180225210200002720</w:t>
      </w:r>
    </w:p>
    <w:p w14:paraId="53CD0337">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1.4.政府采购组织形式</w:t>
      </w:r>
      <w:r>
        <w:rPr>
          <w:rFonts w:hint="eastAsia" w:ascii="宋体" w:hAnsi="宋体" w:eastAsia="宋体" w:cs="宋体"/>
          <w:spacing w:val="-11"/>
          <w:sz w:val="24"/>
          <w:szCs w:val="24"/>
        </w:rPr>
        <w:t>：</w:t>
      </w:r>
      <w:r>
        <w:rPr>
          <w:rFonts w:hint="eastAsia" w:ascii="宋体" w:hAnsi="宋体" w:eastAsia="宋体" w:cs="宋体"/>
          <w:spacing w:val="-11"/>
          <w:sz w:val="24"/>
          <w:szCs w:val="24"/>
          <w:lang w:val="en-US" w:eastAsia="zh-CN"/>
        </w:rPr>
        <w:t>分散采购</w:t>
      </w:r>
    </w:p>
    <w:p w14:paraId="51577974">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textAlignment w:val="baseline"/>
        <w:rPr>
          <w:rFonts w:hint="eastAsia" w:ascii="宋体" w:hAnsi="宋体" w:eastAsia="宋体" w:cs="宋体"/>
          <w:spacing w:val="-11"/>
          <w:sz w:val="24"/>
          <w:szCs w:val="24"/>
          <w:lang w:val="en-US" w:eastAsia="zh-CN"/>
        </w:rPr>
      </w:pPr>
      <w:r>
        <w:rPr>
          <w:rFonts w:hint="eastAsia" w:ascii="宋体" w:hAnsi="宋体" w:eastAsia="宋体" w:cs="宋体"/>
          <w:sz w:val="24"/>
          <w:szCs w:val="24"/>
        </w:rPr>
        <w:t>1.5.政府采购方式</w:t>
      </w:r>
      <w:r>
        <w:rPr>
          <w:rFonts w:hint="eastAsia" w:ascii="宋体" w:hAnsi="宋体" w:eastAsia="宋体" w:cs="宋体"/>
          <w:spacing w:val="-2"/>
          <w:sz w:val="24"/>
          <w:szCs w:val="24"/>
        </w:rPr>
        <w:t>：</w:t>
      </w:r>
      <w:r>
        <w:rPr>
          <w:rFonts w:hint="eastAsia" w:ascii="宋体" w:hAnsi="宋体" w:eastAsia="宋体" w:cs="宋体"/>
          <w:spacing w:val="-2"/>
          <w:sz w:val="24"/>
          <w:szCs w:val="24"/>
          <w:lang w:val="en-US" w:eastAsia="zh-CN"/>
        </w:rPr>
        <w:t>单一来源</w:t>
      </w:r>
    </w:p>
    <w:p w14:paraId="0E60EC08">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72" w:firstLineChars="200"/>
        <w:textAlignment w:val="baseline"/>
        <w:rPr>
          <w:rFonts w:hint="eastAsia" w:ascii="宋体" w:hAnsi="宋体" w:eastAsia="宋体" w:cs="宋体"/>
          <w:sz w:val="24"/>
          <w:szCs w:val="24"/>
          <w:lang w:val="en-US" w:eastAsia="zh-CN"/>
        </w:rPr>
      </w:pPr>
      <w:r>
        <w:rPr>
          <w:rFonts w:hint="eastAsia" w:ascii="宋体" w:hAnsi="宋体" w:eastAsia="宋体" w:cs="宋体"/>
          <w:spacing w:val="-2"/>
          <w:sz w:val="24"/>
          <w:szCs w:val="24"/>
        </w:rPr>
        <w:t>1.6.落实政府采购政策情况：</w:t>
      </w:r>
      <w:r>
        <w:rPr>
          <w:rFonts w:hint="eastAsia" w:ascii="宋体" w:hAnsi="宋体" w:eastAsia="宋体" w:cs="宋体"/>
          <w:spacing w:val="-2"/>
          <w:sz w:val="24"/>
          <w:szCs w:val="24"/>
          <w:lang w:val="en-US" w:eastAsia="zh-CN"/>
        </w:rPr>
        <w:t>无</w:t>
      </w:r>
    </w:p>
    <w:p w14:paraId="0E8CB70A">
      <w:pPr>
        <w:pStyle w:val="3"/>
        <w:keepNext w:val="0"/>
        <w:keepLines w:val="0"/>
        <w:pageBreakBefore w:val="0"/>
        <w:widowControl/>
        <w:shd w:val="clear"/>
        <w:kinsoku w:val="0"/>
        <w:wordWrap/>
        <w:overflowPunct/>
        <w:topLinePunct w:val="0"/>
        <w:autoSpaceDE w:val="0"/>
        <w:autoSpaceDN w:val="0"/>
        <w:bidi w:val="0"/>
        <w:adjustRightInd w:val="0"/>
        <w:snapToGrid w:val="0"/>
        <w:spacing w:line="480" w:lineRule="exact"/>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1.6.1.中标（成交）采购的服务单位是否为中小企业</w:t>
      </w:r>
      <w:r>
        <w:rPr>
          <w:rFonts w:hint="eastAsia" w:ascii="宋体" w:hAnsi="宋体" w:eastAsia="宋体" w:cs="宋体"/>
          <w:spacing w:val="-32"/>
          <w:sz w:val="24"/>
          <w:szCs w:val="24"/>
        </w:rPr>
        <w:t>：</w:t>
      </w:r>
      <w:r>
        <w:rPr>
          <w:rFonts w:hint="eastAsia" w:ascii="宋体" w:hAnsi="宋体" w:eastAsia="宋体" w:cs="宋体"/>
          <w:color w:val="auto"/>
          <w:spacing w:val="-1"/>
          <w:sz w:val="24"/>
          <w:szCs w:val="24"/>
          <w:shd w:val="clear" w:fill="FFFF00"/>
        </w:rPr>
        <w:t>是/否</w:t>
      </w:r>
    </w:p>
    <w:p w14:paraId="33495ADA">
      <w:pPr>
        <w:pStyle w:val="3"/>
        <w:keepNext w:val="0"/>
        <w:keepLines w:val="0"/>
        <w:pageBreakBefore w:val="0"/>
        <w:widowControl/>
        <w:shd w:val="clear"/>
        <w:kinsoku w:val="0"/>
        <w:wordWrap/>
        <w:overflowPunct/>
        <w:topLinePunct w:val="0"/>
        <w:autoSpaceDE w:val="0"/>
        <w:autoSpaceDN w:val="0"/>
        <w:bidi w:val="0"/>
        <w:adjustRightInd w:val="0"/>
        <w:snapToGrid w:val="0"/>
        <w:spacing w:line="480" w:lineRule="exact"/>
        <w:ind w:left="0" w:right="0" w:firstLine="464" w:firstLineChars="200"/>
        <w:textAlignment w:val="baseline"/>
        <w:rPr>
          <w:rFonts w:hint="eastAsia" w:ascii="宋体" w:hAnsi="宋体" w:eastAsia="宋体" w:cs="宋体"/>
          <w:spacing w:val="-11"/>
          <w:sz w:val="24"/>
          <w:szCs w:val="24"/>
          <w:lang w:val="en-US" w:eastAsia="zh-CN"/>
        </w:rPr>
      </w:pPr>
      <w:r>
        <w:rPr>
          <w:rFonts w:hint="eastAsia" w:ascii="宋体" w:hAnsi="宋体" w:eastAsia="宋体" w:cs="宋体"/>
          <w:spacing w:val="-4"/>
          <w:sz w:val="24"/>
          <w:szCs w:val="24"/>
        </w:rPr>
        <w:t>1.6.2.本合同是否为专门面向中小企业的采购合同（中小企</w:t>
      </w:r>
      <w:r>
        <w:rPr>
          <w:rFonts w:hint="eastAsia" w:ascii="宋体" w:hAnsi="宋体" w:eastAsia="宋体" w:cs="宋体"/>
          <w:spacing w:val="-5"/>
          <w:sz w:val="24"/>
          <w:szCs w:val="24"/>
        </w:rPr>
        <w:t>业预</w:t>
      </w:r>
      <w:r>
        <w:rPr>
          <w:rFonts w:hint="eastAsia" w:ascii="宋体" w:hAnsi="宋体" w:eastAsia="宋体" w:cs="宋体"/>
          <w:sz w:val="24"/>
          <w:szCs w:val="24"/>
        </w:rPr>
        <w:t>留合同</w:t>
      </w:r>
      <w:r>
        <w:rPr>
          <w:rFonts w:hint="eastAsia" w:ascii="宋体" w:hAnsi="宋体" w:eastAsia="宋体" w:cs="宋体"/>
          <w:spacing w:val="-70"/>
          <w:w w:val="84"/>
          <w:sz w:val="24"/>
          <w:szCs w:val="24"/>
        </w:rPr>
        <w:t>）：</w:t>
      </w:r>
      <w:r>
        <w:rPr>
          <w:rFonts w:hint="eastAsia" w:ascii="宋体" w:hAnsi="宋体" w:eastAsia="宋体" w:cs="宋体"/>
          <w:spacing w:val="-1"/>
          <w:sz w:val="24"/>
          <w:szCs w:val="24"/>
          <w:shd w:val="clear" w:fill="FFFF00"/>
        </w:rPr>
        <w:t>否</w:t>
      </w:r>
    </w:p>
    <w:p w14:paraId="5A985977">
      <w:pPr>
        <w:pStyle w:val="3"/>
        <w:keepNext w:val="0"/>
        <w:keepLines w:val="0"/>
        <w:pageBreakBefore w:val="0"/>
        <w:widowControl/>
        <w:shd w:val="clear"/>
        <w:kinsoku w:val="0"/>
        <w:wordWrap/>
        <w:overflowPunct/>
        <w:topLinePunct w:val="0"/>
        <w:autoSpaceDE w:val="0"/>
        <w:autoSpaceDN w:val="0"/>
        <w:bidi w:val="0"/>
        <w:adjustRightInd w:val="0"/>
        <w:snapToGrid w:val="0"/>
        <w:spacing w:line="480" w:lineRule="exact"/>
        <w:ind w:left="0" w:right="0" w:firstLine="464" w:firstLineChars="200"/>
        <w:textAlignment w:val="baseline"/>
        <w:rPr>
          <w:rFonts w:hint="eastAsia" w:ascii="宋体" w:hAnsi="宋体" w:eastAsia="宋体" w:cs="宋体"/>
          <w:spacing w:val="-11"/>
          <w:sz w:val="24"/>
          <w:szCs w:val="24"/>
          <w:lang w:val="en-US" w:eastAsia="zh-CN"/>
        </w:rPr>
      </w:pPr>
      <w:r>
        <w:rPr>
          <w:rFonts w:hint="eastAsia" w:ascii="宋体" w:hAnsi="宋体" w:eastAsia="宋体" w:cs="宋体"/>
          <w:spacing w:val="-4"/>
          <w:sz w:val="24"/>
          <w:szCs w:val="24"/>
        </w:rPr>
        <w:t>1.6.3.若本项目不专门面向中小企业采购，是否给予小微企</w:t>
      </w:r>
      <w:r>
        <w:rPr>
          <w:rFonts w:hint="eastAsia" w:ascii="宋体" w:hAnsi="宋体" w:eastAsia="宋体" w:cs="宋体"/>
          <w:spacing w:val="-5"/>
          <w:sz w:val="24"/>
          <w:szCs w:val="24"/>
        </w:rPr>
        <w:t>业评</w:t>
      </w:r>
      <w:r>
        <w:rPr>
          <w:rFonts w:hint="eastAsia" w:ascii="宋体" w:hAnsi="宋体" w:eastAsia="宋体" w:cs="宋体"/>
          <w:sz w:val="24"/>
          <w:szCs w:val="24"/>
        </w:rPr>
        <w:t>审优惠</w:t>
      </w:r>
      <w:r>
        <w:rPr>
          <w:rFonts w:hint="eastAsia" w:ascii="宋体" w:hAnsi="宋体" w:eastAsia="宋体" w:cs="宋体"/>
          <w:spacing w:val="-76"/>
          <w:w w:val="90"/>
          <w:sz w:val="24"/>
          <w:szCs w:val="24"/>
        </w:rPr>
        <w:t>：</w:t>
      </w:r>
      <w:r>
        <w:rPr>
          <w:rFonts w:hint="eastAsia" w:ascii="宋体" w:hAnsi="宋体" w:eastAsia="宋体" w:cs="宋体"/>
          <w:spacing w:val="-1"/>
          <w:sz w:val="24"/>
          <w:szCs w:val="24"/>
          <w:shd w:val="clear" w:fill="FFFF00"/>
        </w:rPr>
        <w:t>否</w:t>
      </w:r>
    </w:p>
    <w:p w14:paraId="5F5E5DF8">
      <w:pPr>
        <w:pStyle w:val="3"/>
        <w:keepNext w:val="0"/>
        <w:keepLines w:val="0"/>
        <w:pageBreakBefore w:val="0"/>
        <w:widowControl/>
        <w:shd w:val="clear"/>
        <w:tabs>
          <w:tab w:val="left" w:pos="162"/>
          <w:tab w:val="clear" w:pos="0"/>
        </w:tabs>
        <w:kinsoku w:val="0"/>
        <w:wordWrap/>
        <w:overflowPunct/>
        <w:topLinePunct w:val="0"/>
        <w:autoSpaceDE w:val="0"/>
        <w:autoSpaceDN w:val="0"/>
        <w:bidi w:val="0"/>
        <w:adjustRightInd w:val="0"/>
        <w:snapToGrid w:val="0"/>
        <w:spacing w:line="480" w:lineRule="exact"/>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1.6.4.中标（成交）采购标的供应商是否为残疾人福利性单位：</w:t>
      </w:r>
      <w:r>
        <w:rPr>
          <w:rFonts w:hint="eastAsia" w:ascii="宋体" w:hAnsi="宋体" w:eastAsia="宋体" w:cs="宋体"/>
          <w:spacing w:val="-1"/>
          <w:sz w:val="24"/>
          <w:szCs w:val="24"/>
          <w:shd w:val="clear" w:fill="FFFF00"/>
        </w:rPr>
        <w:t>是/否</w:t>
      </w:r>
    </w:p>
    <w:p w14:paraId="6C572E1F">
      <w:pPr>
        <w:pStyle w:val="3"/>
        <w:keepNext w:val="0"/>
        <w:keepLines w:val="0"/>
        <w:pageBreakBefore w:val="0"/>
        <w:widowControl/>
        <w:shd w:val="clear"/>
        <w:kinsoku w:val="0"/>
        <w:wordWrap/>
        <w:overflowPunct/>
        <w:topLinePunct w:val="0"/>
        <w:autoSpaceDE w:val="0"/>
        <w:autoSpaceDN w:val="0"/>
        <w:bidi w:val="0"/>
        <w:adjustRightInd w:val="0"/>
        <w:snapToGrid w:val="0"/>
        <w:spacing w:line="480" w:lineRule="exact"/>
        <w:ind w:left="0" w:right="0" w:firstLine="472" w:firstLineChars="200"/>
        <w:textAlignment w:val="baseline"/>
        <w:rPr>
          <w:rFonts w:hint="eastAsia" w:ascii="宋体" w:hAnsi="宋体" w:eastAsia="宋体" w:cs="宋体"/>
          <w:spacing w:val="-1"/>
          <w:sz w:val="24"/>
          <w:szCs w:val="24"/>
          <w:shd w:val="clear" w:fill="FFFF00"/>
        </w:rPr>
      </w:pPr>
      <w:r>
        <w:rPr>
          <w:rFonts w:hint="eastAsia" w:ascii="宋体" w:hAnsi="宋体" w:eastAsia="宋体" w:cs="宋体"/>
          <w:spacing w:val="-2"/>
          <w:sz w:val="24"/>
          <w:szCs w:val="24"/>
        </w:rPr>
        <w:t>1.6.5.中标（成交）采购标的供应商是否为监狱企业</w:t>
      </w:r>
      <w:r>
        <w:rPr>
          <w:rFonts w:hint="eastAsia" w:ascii="宋体" w:hAnsi="宋体" w:eastAsia="宋体" w:cs="宋体"/>
          <w:spacing w:val="-70"/>
          <w:w w:val="83"/>
          <w:sz w:val="24"/>
          <w:szCs w:val="24"/>
        </w:rPr>
        <w:t>：</w:t>
      </w:r>
      <w:r>
        <w:rPr>
          <w:rFonts w:hint="eastAsia" w:ascii="宋体" w:hAnsi="宋体" w:eastAsia="宋体" w:cs="宋体"/>
          <w:spacing w:val="-1"/>
          <w:sz w:val="24"/>
          <w:szCs w:val="24"/>
          <w:shd w:val="clear" w:fill="FFFF00"/>
        </w:rPr>
        <w:t>是/否</w:t>
      </w:r>
    </w:p>
    <w:p w14:paraId="0DBBE3F1">
      <w:pPr>
        <w:pStyle w:val="3"/>
        <w:keepNext w:val="0"/>
        <w:keepLines w:val="0"/>
        <w:pageBreakBefore w:val="0"/>
        <w:widowControl/>
        <w:shd w:val="clear"/>
        <w:kinsoku w:val="0"/>
        <w:wordWrap/>
        <w:overflowPunct/>
        <w:topLinePunct w:val="0"/>
        <w:autoSpaceDE w:val="0"/>
        <w:autoSpaceDN w:val="0"/>
        <w:bidi w:val="0"/>
        <w:adjustRightInd w:val="0"/>
        <w:snapToGrid w:val="0"/>
        <w:spacing w:line="480" w:lineRule="exact"/>
        <w:ind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1.7.中标（成交）供应商是否为外商投资企</w:t>
      </w:r>
      <w:r>
        <w:rPr>
          <w:rFonts w:hint="eastAsia" w:ascii="宋体" w:hAnsi="宋体" w:eastAsia="宋体" w:cs="宋体"/>
          <w:spacing w:val="-3"/>
          <w:sz w:val="24"/>
          <w:szCs w:val="24"/>
        </w:rPr>
        <w:t>业</w:t>
      </w:r>
      <w:r>
        <w:rPr>
          <w:rFonts w:hint="eastAsia" w:ascii="宋体" w:hAnsi="宋体" w:eastAsia="宋体" w:cs="宋体"/>
          <w:spacing w:val="-71"/>
          <w:w w:val="84"/>
          <w:sz w:val="24"/>
          <w:szCs w:val="24"/>
        </w:rPr>
        <w:t>：</w:t>
      </w:r>
      <w:r>
        <w:rPr>
          <w:rFonts w:hint="eastAsia" w:ascii="宋体" w:hAnsi="宋体" w:eastAsia="宋体" w:cs="宋体"/>
          <w:spacing w:val="-1"/>
          <w:sz w:val="24"/>
          <w:szCs w:val="24"/>
          <w:shd w:val="clear" w:fill="FFFF00"/>
        </w:rPr>
        <w:t>否</w:t>
      </w:r>
    </w:p>
    <w:p w14:paraId="35AD4ED4">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64"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1.8.项目内容：</w:t>
      </w:r>
    </w:p>
    <w:p w14:paraId="2C664092">
      <w:pPr>
        <w:spacing w:line="118" w:lineRule="exact"/>
      </w:pPr>
    </w:p>
    <w:tbl>
      <w:tblPr>
        <w:tblStyle w:val="8"/>
        <w:tblW w:w="84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5"/>
        <w:gridCol w:w="1446"/>
        <w:gridCol w:w="1616"/>
        <w:gridCol w:w="1279"/>
        <w:gridCol w:w="1703"/>
        <w:gridCol w:w="1714"/>
      </w:tblGrid>
      <w:tr w14:paraId="16BE8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6" w:hRule="atLeast"/>
        </w:trPr>
        <w:tc>
          <w:tcPr>
            <w:tcW w:w="685" w:type="dxa"/>
            <w:vAlign w:val="top"/>
          </w:tcPr>
          <w:p w14:paraId="38BFC135">
            <w:pPr>
              <w:pStyle w:val="7"/>
              <w:spacing w:before="133" w:line="229" w:lineRule="auto"/>
              <w:ind w:left="136"/>
              <w:rPr>
                <w:sz w:val="21"/>
                <w:szCs w:val="21"/>
              </w:rPr>
            </w:pPr>
            <w:r>
              <w:rPr>
                <w:b/>
                <w:bCs/>
                <w:spacing w:val="4"/>
                <w:sz w:val="21"/>
                <w:szCs w:val="21"/>
              </w:rPr>
              <w:t>序号</w:t>
            </w:r>
          </w:p>
        </w:tc>
        <w:tc>
          <w:tcPr>
            <w:tcW w:w="1446" w:type="dxa"/>
            <w:vAlign w:val="top"/>
          </w:tcPr>
          <w:p w14:paraId="71CD5AB8">
            <w:pPr>
              <w:pStyle w:val="7"/>
              <w:spacing w:before="133" w:line="228" w:lineRule="auto"/>
              <w:ind w:left="307"/>
              <w:rPr>
                <w:sz w:val="21"/>
                <w:szCs w:val="21"/>
              </w:rPr>
            </w:pPr>
            <w:r>
              <w:rPr>
                <w:b/>
                <w:bCs/>
                <w:spacing w:val="6"/>
                <w:sz w:val="21"/>
                <w:szCs w:val="21"/>
              </w:rPr>
              <w:t>标的名称</w:t>
            </w:r>
          </w:p>
        </w:tc>
        <w:tc>
          <w:tcPr>
            <w:tcW w:w="1616" w:type="dxa"/>
            <w:vAlign w:val="top"/>
          </w:tcPr>
          <w:p w14:paraId="110176A6">
            <w:pPr>
              <w:pStyle w:val="7"/>
              <w:spacing w:before="133" w:line="226" w:lineRule="auto"/>
              <w:ind w:left="602"/>
              <w:rPr>
                <w:sz w:val="21"/>
                <w:szCs w:val="21"/>
              </w:rPr>
            </w:pPr>
            <w:r>
              <w:rPr>
                <w:b/>
                <w:bCs/>
                <w:spacing w:val="3"/>
                <w:sz w:val="21"/>
                <w:szCs w:val="21"/>
              </w:rPr>
              <w:t>单价</w:t>
            </w:r>
          </w:p>
        </w:tc>
        <w:tc>
          <w:tcPr>
            <w:tcW w:w="1279" w:type="dxa"/>
            <w:vAlign w:val="top"/>
          </w:tcPr>
          <w:p w14:paraId="3AD6A665">
            <w:pPr>
              <w:pStyle w:val="7"/>
              <w:spacing w:before="132" w:line="228" w:lineRule="auto"/>
              <w:ind w:left="436"/>
              <w:rPr>
                <w:sz w:val="21"/>
                <w:szCs w:val="21"/>
              </w:rPr>
            </w:pPr>
            <w:r>
              <w:rPr>
                <w:b/>
                <w:bCs/>
                <w:spacing w:val="3"/>
                <w:sz w:val="21"/>
                <w:szCs w:val="21"/>
              </w:rPr>
              <w:t>数量</w:t>
            </w:r>
          </w:p>
        </w:tc>
        <w:tc>
          <w:tcPr>
            <w:tcW w:w="1703" w:type="dxa"/>
            <w:vAlign w:val="top"/>
          </w:tcPr>
          <w:p w14:paraId="47F71FDA">
            <w:pPr>
              <w:pStyle w:val="7"/>
              <w:spacing w:before="132" w:line="228" w:lineRule="auto"/>
              <w:ind w:left="650"/>
              <w:rPr>
                <w:sz w:val="21"/>
                <w:szCs w:val="21"/>
              </w:rPr>
            </w:pPr>
            <w:r>
              <w:rPr>
                <w:b/>
                <w:bCs/>
                <w:spacing w:val="3"/>
                <w:sz w:val="21"/>
                <w:szCs w:val="21"/>
              </w:rPr>
              <w:t>金额</w:t>
            </w:r>
          </w:p>
        </w:tc>
        <w:tc>
          <w:tcPr>
            <w:tcW w:w="1714" w:type="dxa"/>
            <w:vAlign w:val="top"/>
          </w:tcPr>
          <w:p w14:paraId="6CC581DF">
            <w:pPr>
              <w:pStyle w:val="7"/>
              <w:spacing w:before="133" w:line="228" w:lineRule="auto"/>
              <w:ind w:left="440"/>
              <w:rPr>
                <w:sz w:val="21"/>
                <w:szCs w:val="21"/>
              </w:rPr>
            </w:pPr>
            <w:r>
              <w:rPr>
                <w:b/>
                <w:bCs/>
                <w:spacing w:val="6"/>
                <w:sz w:val="21"/>
                <w:szCs w:val="21"/>
              </w:rPr>
              <w:t>计量单位</w:t>
            </w:r>
          </w:p>
        </w:tc>
      </w:tr>
      <w:tr w14:paraId="758CD8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0" w:hRule="atLeast"/>
        </w:trPr>
        <w:tc>
          <w:tcPr>
            <w:tcW w:w="685" w:type="dxa"/>
            <w:vAlign w:val="top"/>
          </w:tcPr>
          <w:p w14:paraId="3E0E8E76">
            <w:pPr>
              <w:pStyle w:val="7"/>
              <w:spacing w:before="1" w:line="370" w:lineRule="exact"/>
              <w:ind w:firstLine="107"/>
              <w:rPr>
                <w:rFonts w:hint="eastAsia" w:eastAsia="宋体"/>
                <w:sz w:val="21"/>
                <w:szCs w:val="21"/>
                <w:lang w:val="en-US" w:eastAsia="zh-CN"/>
              </w:rPr>
            </w:pPr>
            <w:r>
              <w:rPr>
                <w:rFonts w:hint="eastAsia"/>
                <w:sz w:val="21"/>
                <w:szCs w:val="21"/>
                <w:lang w:val="en-US" w:eastAsia="zh-CN"/>
              </w:rPr>
              <w:t>1</w:t>
            </w:r>
          </w:p>
        </w:tc>
        <w:tc>
          <w:tcPr>
            <w:tcW w:w="1446" w:type="dxa"/>
            <w:vAlign w:val="top"/>
          </w:tcPr>
          <w:p w14:paraId="1353460F">
            <w:pPr>
              <w:pStyle w:val="7"/>
              <w:tabs>
                <w:tab w:val="left" w:pos="1333"/>
              </w:tabs>
              <w:spacing w:before="132" w:line="427" w:lineRule="auto"/>
              <w:ind w:left="110" w:right="53" w:firstLine="38"/>
              <w:jc w:val="both"/>
              <w:rPr>
                <w:sz w:val="21"/>
                <w:szCs w:val="21"/>
              </w:rPr>
            </w:pPr>
            <w:r>
              <w:rPr>
                <w:rFonts w:hint="eastAsia"/>
                <w:sz w:val="21"/>
                <w:szCs w:val="21"/>
                <w:lang w:val="en-US" w:eastAsia="zh-CN"/>
              </w:rPr>
              <w:t>雅安市雨城区人民医院2026年度信息维护服务项目</w:t>
            </w:r>
          </w:p>
        </w:tc>
        <w:tc>
          <w:tcPr>
            <w:tcW w:w="1616" w:type="dxa"/>
            <w:vAlign w:val="top"/>
          </w:tcPr>
          <w:p w14:paraId="780A5C8B">
            <w:pPr>
              <w:pStyle w:val="7"/>
              <w:spacing w:before="1" w:line="839" w:lineRule="exact"/>
              <w:ind w:firstLine="104"/>
              <w:rPr>
                <w:sz w:val="21"/>
                <w:szCs w:val="21"/>
              </w:rPr>
            </w:pPr>
          </w:p>
        </w:tc>
        <w:tc>
          <w:tcPr>
            <w:tcW w:w="1279" w:type="dxa"/>
            <w:vAlign w:val="top"/>
          </w:tcPr>
          <w:p w14:paraId="0D857536">
            <w:pPr>
              <w:pStyle w:val="7"/>
              <w:spacing w:before="132" w:line="427" w:lineRule="auto"/>
              <w:ind w:left="110" w:right="18" w:firstLine="38"/>
              <w:jc w:val="center"/>
              <w:rPr>
                <w:rFonts w:hint="default" w:eastAsia="宋体"/>
                <w:sz w:val="21"/>
                <w:szCs w:val="21"/>
                <w:lang w:val="en-US" w:eastAsia="zh-CN"/>
              </w:rPr>
            </w:pPr>
            <w:r>
              <w:rPr>
                <w:rFonts w:hint="eastAsia"/>
                <w:sz w:val="21"/>
                <w:szCs w:val="21"/>
                <w:lang w:val="en-US" w:eastAsia="zh-CN"/>
              </w:rPr>
              <w:t>1</w:t>
            </w:r>
          </w:p>
        </w:tc>
        <w:tc>
          <w:tcPr>
            <w:tcW w:w="1703" w:type="dxa"/>
            <w:vAlign w:val="top"/>
          </w:tcPr>
          <w:p w14:paraId="5EB5E344">
            <w:pPr>
              <w:pStyle w:val="7"/>
              <w:spacing w:before="133" w:line="433" w:lineRule="auto"/>
              <w:ind w:left="117" w:right="104" w:firstLine="34"/>
              <w:rPr>
                <w:sz w:val="21"/>
                <w:szCs w:val="21"/>
              </w:rPr>
            </w:pPr>
          </w:p>
        </w:tc>
        <w:tc>
          <w:tcPr>
            <w:tcW w:w="1714" w:type="dxa"/>
            <w:vAlign w:val="top"/>
          </w:tcPr>
          <w:p w14:paraId="32F2C88A">
            <w:pPr>
              <w:pStyle w:val="7"/>
              <w:spacing w:before="133" w:line="433" w:lineRule="auto"/>
              <w:ind w:left="118" w:right="107" w:firstLine="34"/>
              <w:rPr>
                <w:rFonts w:hint="eastAsia" w:eastAsia="宋体"/>
                <w:sz w:val="21"/>
                <w:szCs w:val="21"/>
                <w:lang w:val="en-US" w:eastAsia="zh-CN"/>
              </w:rPr>
            </w:pPr>
            <w:r>
              <w:rPr>
                <w:rFonts w:hint="eastAsia"/>
                <w:sz w:val="21"/>
                <w:szCs w:val="21"/>
                <w:lang w:val="en-US" w:eastAsia="zh-CN"/>
              </w:rPr>
              <w:t>项</w:t>
            </w:r>
          </w:p>
        </w:tc>
      </w:tr>
    </w:tbl>
    <w:p w14:paraId="1B3B07DB">
      <w:pPr>
        <w:pStyle w:val="3"/>
        <w:spacing w:before="91" w:line="220" w:lineRule="auto"/>
        <w:ind w:firstLine="462" w:firstLineChars="200"/>
        <w:outlineLvl w:val="1"/>
        <w:rPr>
          <w:rFonts w:ascii="Arial"/>
          <w:sz w:val="24"/>
          <w:szCs w:val="24"/>
        </w:rPr>
      </w:pPr>
      <w:r>
        <w:rPr>
          <w:b/>
          <w:bCs/>
          <w:spacing w:val="-5"/>
          <w:sz w:val="24"/>
          <w:szCs w:val="24"/>
        </w:rPr>
        <w:t>二、服务要求</w:t>
      </w:r>
    </w:p>
    <w:p w14:paraId="33C1B547">
      <w:pPr>
        <w:keepNext w:val="0"/>
        <w:keepLines w:val="0"/>
        <w:pageBreakBefore w:val="0"/>
        <w:widowControl w:val="0"/>
        <w:wordWrap/>
        <w:overflowPunct/>
        <w:topLinePunct w:val="0"/>
        <w:bidi w:val="0"/>
        <w:spacing w:line="480" w:lineRule="exact"/>
        <w:ind w:firstLine="482" w:firstLineChars="200"/>
        <w:jc w:val="left"/>
        <w:rPr>
          <w:rFonts w:hint="eastAsia" w:ascii="宋体" w:hAnsi="宋体" w:eastAsia="宋体" w:cs="宋体"/>
          <w:kern w:val="0"/>
          <w:sz w:val="24"/>
          <w:szCs w:val="24"/>
          <w:highlight w:val="none"/>
        </w:rPr>
      </w:pPr>
      <w:r>
        <w:rPr>
          <w:rFonts w:hint="eastAsia" w:ascii="宋体" w:hAnsi="宋体" w:eastAsia="宋体" w:cs="宋体"/>
          <w:b/>
          <w:color w:val="000000"/>
          <w:kern w:val="0"/>
          <w:sz w:val="24"/>
          <w:szCs w:val="24"/>
          <w:highlight w:val="none"/>
          <w:lang w:eastAsia="zh-CN"/>
        </w:rPr>
        <w:t>一）</w:t>
      </w:r>
      <w:r>
        <w:rPr>
          <w:rFonts w:hint="eastAsia" w:ascii="宋体" w:hAnsi="宋体" w:eastAsia="宋体" w:cs="宋体"/>
          <w:b/>
          <w:color w:val="000000"/>
          <w:kern w:val="0"/>
          <w:sz w:val="24"/>
          <w:szCs w:val="24"/>
          <w:highlight w:val="none"/>
          <w:lang w:val="en-US" w:eastAsia="zh-CN"/>
        </w:rPr>
        <w:t>服务内容</w:t>
      </w:r>
      <w:r>
        <w:rPr>
          <w:rFonts w:hint="eastAsia" w:ascii="宋体" w:hAnsi="宋体" w:eastAsia="宋体" w:cs="宋体"/>
          <w:b/>
          <w:color w:val="000000"/>
          <w:kern w:val="0"/>
          <w:sz w:val="24"/>
          <w:szCs w:val="24"/>
          <w:highlight w:val="none"/>
        </w:rPr>
        <w:t xml:space="preserve"> </w:t>
      </w:r>
    </w:p>
    <w:tbl>
      <w:tblPr>
        <w:tblStyle w:val="5"/>
        <w:tblpPr w:leftFromText="180" w:rightFromText="180" w:vertAnchor="text" w:horzAnchor="page" w:tblpXSpec="center" w:tblpY="285"/>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
        <w:gridCol w:w="1855"/>
        <w:gridCol w:w="6206"/>
      </w:tblGrid>
      <w:tr w14:paraId="0544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Align w:val="center"/>
          </w:tcPr>
          <w:p w14:paraId="34BEC615">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b/>
                <w:bCs/>
                <w:sz w:val="21"/>
                <w:szCs w:val="21"/>
                <w:vertAlign w:val="baseline"/>
                <w:lang w:eastAsia="zh-CN"/>
              </w:rPr>
            </w:pPr>
            <w:r>
              <w:rPr>
                <w:rFonts w:hint="eastAsia" w:ascii="宋体" w:hAnsi="宋体" w:eastAsia="宋体" w:cs="宋体"/>
                <w:b/>
                <w:bCs/>
                <w:sz w:val="21"/>
                <w:szCs w:val="21"/>
                <w:vertAlign w:val="baseline"/>
                <w:lang w:eastAsia="zh-CN"/>
              </w:rPr>
              <w:t>序号</w:t>
            </w:r>
          </w:p>
        </w:tc>
        <w:tc>
          <w:tcPr>
            <w:tcW w:w="0" w:type="auto"/>
            <w:vAlign w:val="center"/>
          </w:tcPr>
          <w:p w14:paraId="49B8CE74">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b/>
                <w:bCs/>
                <w:sz w:val="21"/>
                <w:szCs w:val="21"/>
                <w:vertAlign w:val="baseline"/>
                <w:lang w:eastAsia="zh-CN"/>
              </w:rPr>
            </w:pPr>
            <w:r>
              <w:rPr>
                <w:rFonts w:hint="eastAsia" w:ascii="宋体" w:hAnsi="宋体" w:eastAsia="宋体" w:cs="宋体"/>
                <w:b/>
                <w:bCs/>
                <w:sz w:val="21"/>
                <w:szCs w:val="21"/>
                <w:vertAlign w:val="baseline"/>
                <w:lang w:eastAsia="zh-CN"/>
              </w:rPr>
              <w:t>维护服务名称</w:t>
            </w:r>
          </w:p>
        </w:tc>
        <w:tc>
          <w:tcPr>
            <w:tcW w:w="0" w:type="auto"/>
            <w:vAlign w:val="center"/>
          </w:tcPr>
          <w:p w14:paraId="6641D030">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b/>
                <w:bCs/>
                <w:sz w:val="21"/>
                <w:szCs w:val="21"/>
                <w:vertAlign w:val="baseline"/>
                <w:lang w:eastAsia="zh-CN"/>
              </w:rPr>
            </w:pPr>
            <w:r>
              <w:rPr>
                <w:rFonts w:hint="eastAsia" w:ascii="宋体" w:hAnsi="宋体" w:eastAsia="宋体" w:cs="宋体"/>
                <w:b/>
                <w:bCs/>
                <w:sz w:val="21"/>
                <w:szCs w:val="21"/>
                <w:vertAlign w:val="baseline"/>
                <w:lang w:eastAsia="zh-CN"/>
              </w:rPr>
              <w:t>维护内容</w:t>
            </w:r>
          </w:p>
        </w:tc>
      </w:tr>
      <w:tr w14:paraId="041C1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7" w:hRule="atLeast"/>
          <w:jc w:val="center"/>
        </w:trPr>
        <w:tc>
          <w:tcPr>
            <w:tcW w:w="0" w:type="auto"/>
            <w:vAlign w:val="center"/>
          </w:tcPr>
          <w:p w14:paraId="2A369ECB">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0" w:type="auto"/>
            <w:vAlign w:val="center"/>
          </w:tcPr>
          <w:p w14:paraId="2F54B008">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合理用药、点评系统维护服务</w:t>
            </w:r>
          </w:p>
        </w:tc>
        <w:tc>
          <w:tcPr>
            <w:tcW w:w="0" w:type="auto"/>
            <w:vAlign w:val="center"/>
          </w:tcPr>
          <w:p w14:paraId="6BD354E0">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一、项目概述</w:t>
            </w:r>
          </w:p>
          <w:p w14:paraId="6900B7B9">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1.保障所运维信息系统网络数据安全以及系统正常稳定运行。</w:t>
            </w:r>
          </w:p>
          <w:p w14:paraId="71863816">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2.涉及网络安全及安全修复。</w:t>
            </w:r>
          </w:p>
          <w:p w14:paraId="32EF8FCB">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二、具体内容</w:t>
            </w:r>
          </w:p>
          <w:p w14:paraId="42D1C5A8">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1.指导性维护：为用户正确使用软件而提供的业务性指导。</w:t>
            </w:r>
          </w:p>
          <w:p w14:paraId="08827CE0">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2.操作性维护：对用户因操作不正确等原因引起故障进行处理，指导用户安装、配置参数等操作性处理。</w:t>
            </w:r>
          </w:p>
          <w:p w14:paraId="0DF339A4">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3.纠错性维护：为纠正应用软件的BUG进行的维护。</w:t>
            </w:r>
          </w:p>
          <w:p w14:paraId="65D6F231">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4.知识库数据升级维护：乙方为用户一年提供</w:t>
            </w:r>
            <w:r>
              <w:rPr>
                <w:rFonts w:hint="eastAsia" w:ascii="宋体" w:hAnsi="宋体" w:eastAsia="宋体" w:cs="宋体"/>
                <w:sz w:val="21"/>
                <w:szCs w:val="21"/>
                <w:vertAlign w:val="baseline"/>
                <w:lang w:val="en-US" w:eastAsia="zh-CN"/>
              </w:rPr>
              <w:t>4</w:t>
            </w:r>
            <w:r>
              <w:rPr>
                <w:rFonts w:hint="eastAsia" w:ascii="宋体" w:hAnsi="宋体" w:eastAsia="宋体" w:cs="宋体"/>
                <w:sz w:val="21"/>
                <w:szCs w:val="21"/>
                <w:vertAlign w:val="baseline"/>
                <w:lang w:eastAsia="zh-CN"/>
              </w:rPr>
              <w:t>次及以上知识升级服务。</w:t>
            </w:r>
          </w:p>
          <w:p w14:paraId="6F6F0102">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5.远程服务：提供热线电话、网络在线等远程服务方式，每周7天X24小时受理用户的维护需求，远程提供操作指导和业务咨询。</w:t>
            </w:r>
          </w:p>
          <w:p w14:paraId="3F47CDC0">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6.远程无法排除故障，必须去现场服务的，在征得用户书面同意并收到用户发送的《故障报告》后24小时内指派工程师到达服务现场提供现场支持服务，所派遣的工程师应在到场后24小时内为用户排除故障或提交排除故障时间表。</w:t>
            </w:r>
          </w:p>
          <w:p w14:paraId="234C1B9D">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7.提供现场服务所涉及的差旅费（含交通费、住宿费等）应由投标人自行承担。</w:t>
            </w:r>
          </w:p>
          <w:p w14:paraId="7E1BAB33">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8.用户若发现系统Bug，投标人需在接到用户通知后半小时内响应。</w:t>
            </w:r>
          </w:p>
          <w:p w14:paraId="28C6DC22">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9. 数据安全：投标人应承诺签订保密协议，并支持数据备份与恢复。</w:t>
            </w:r>
          </w:p>
          <w:p w14:paraId="215BA656">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10. 巡检：投标人应提供一年</w:t>
            </w: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次巡检, 巡检内容包括服务器和软件运行情况并出具巡检报告。</w:t>
            </w:r>
          </w:p>
        </w:tc>
      </w:tr>
      <w:tr w14:paraId="55F90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B0A5E98">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0" w:type="auto"/>
            <w:vAlign w:val="center"/>
          </w:tcPr>
          <w:p w14:paraId="226F2CB5">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支付小程序</w:t>
            </w:r>
          </w:p>
        </w:tc>
        <w:tc>
          <w:tcPr>
            <w:tcW w:w="0" w:type="auto"/>
            <w:vAlign w:val="center"/>
          </w:tcPr>
          <w:p w14:paraId="134E110E">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一、项目概述</w:t>
            </w:r>
          </w:p>
          <w:p w14:paraId="23D4B4E7">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1.保障所运维信息系统网络数据安全以及系统正常稳定运行。</w:t>
            </w:r>
          </w:p>
          <w:p w14:paraId="5D59D757">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2.涉及网络安全及安全修复。</w:t>
            </w:r>
          </w:p>
          <w:p w14:paraId="746C11A5">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二、具体内容</w:t>
            </w:r>
          </w:p>
          <w:p w14:paraId="5753CD91">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kern w:val="2"/>
                <w:sz w:val="21"/>
                <w:szCs w:val="21"/>
                <w:vertAlign w:val="baseline"/>
                <w:lang w:val="en-US" w:eastAsia="zh-CN" w:bidi="ar-SA"/>
              </w:rPr>
              <w:t>1.</w:t>
            </w:r>
            <w:r>
              <w:rPr>
                <w:rFonts w:hint="eastAsia" w:ascii="宋体" w:hAnsi="宋体" w:eastAsia="宋体" w:cs="宋体"/>
                <w:sz w:val="21"/>
                <w:szCs w:val="21"/>
                <w:vertAlign w:val="baseline"/>
                <w:lang w:eastAsia="zh-CN"/>
              </w:rPr>
              <w:t>技术咨询：解答系统相关的技术疑问。</w:t>
            </w:r>
          </w:p>
          <w:p w14:paraId="7C6D2262">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kern w:val="2"/>
                <w:sz w:val="21"/>
                <w:szCs w:val="21"/>
                <w:vertAlign w:val="baseline"/>
                <w:lang w:val="en-US" w:eastAsia="zh-CN" w:bidi="ar-SA"/>
              </w:rPr>
              <w:t>2.</w:t>
            </w:r>
            <w:r>
              <w:rPr>
                <w:rFonts w:hint="eastAsia" w:ascii="宋体" w:hAnsi="宋体" w:eastAsia="宋体" w:cs="宋体"/>
                <w:sz w:val="21"/>
                <w:szCs w:val="21"/>
                <w:vertAlign w:val="baseline"/>
                <w:lang w:eastAsia="zh-CN"/>
              </w:rPr>
              <w:t>日常性维护：维护系统运行过程中，网络管理员无法处理的一般故障。</w:t>
            </w:r>
          </w:p>
          <w:p w14:paraId="724DC520">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3.</w:t>
            </w:r>
            <w:r>
              <w:rPr>
                <w:rFonts w:hint="eastAsia" w:ascii="宋体" w:hAnsi="宋体" w:eastAsia="宋体" w:cs="宋体"/>
                <w:sz w:val="21"/>
                <w:szCs w:val="21"/>
                <w:vertAlign w:val="baseline"/>
                <w:lang w:eastAsia="zh-CN"/>
              </w:rPr>
              <w:t>定期检查：进行例行巡检，对整个系统技术性能、系统运行的综合效果进行分析评价，并作出相应调整和建议。</w:t>
            </w:r>
          </w:p>
          <w:p w14:paraId="5C98B694">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4.软件更新：对现有软件功能下可能存在的BUG进行修补、优化、更新。</w:t>
            </w:r>
          </w:p>
          <w:p w14:paraId="2A34E3C4">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5.系统性能优化：双方共同对系统进行优化，提高系统性能。</w:t>
            </w:r>
          </w:p>
          <w:p w14:paraId="463B5EF2">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6.应用软件重装、调试：必要时，配合院方免费重装应用软件，并进行必要的调试，保证正常运行。</w:t>
            </w:r>
          </w:p>
          <w:p w14:paraId="22FF0D39">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7.数据库软件重装、调试：必要时，配合院方免费重装数据库软件或进行数据移植、调试，保证系统正常运行，但仅限于乙方信息系统。</w:t>
            </w:r>
          </w:p>
          <w:p w14:paraId="03A0508F">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8.当甲方业务扩展需要，乙方将配合做好与其他软件系统的数据接口连接工作、软件基础平台及应用平台的更新及相关功能模块的添加，当工作量超过</w:t>
            </w:r>
            <w:r>
              <w:rPr>
                <w:rFonts w:hint="eastAsia" w:ascii="宋体" w:hAnsi="宋体" w:eastAsia="宋体" w:cs="宋体"/>
                <w:sz w:val="21"/>
                <w:szCs w:val="21"/>
                <w:vertAlign w:val="baseline"/>
                <w:lang w:val="en-US" w:eastAsia="zh-CN"/>
              </w:rPr>
              <w:t>3</w:t>
            </w:r>
            <w:r>
              <w:rPr>
                <w:rFonts w:hint="eastAsia" w:ascii="宋体" w:hAnsi="宋体" w:eastAsia="宋体" w:cs="宋体"/>
                <w:sz w:val="21"/>
                <w:szCs w:val="21"/>
                <w:vertAlign w:val="baseline"/>
                <w:lang w:eastAsia="zh-CN"/>
              </w:rPr>
              <w:t>天时，甲乙双方另行协商有关扩展费用。</w:t>
            </w:r>
          </w:p>
          <w:p w14:paraId="4063EFE6">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9.在乙方履行维护工作职责过程中进行的升级、变更、发布等操作均需以书面报告（详见合同附件）形式向甲方报备并征得甲方同意后方可执行。</w:t>
            </w:r>
          </w:p>
        </w:tc>
      </w:tr>
      <w:tr w14:paraId="517AB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0" w:type="auto"/>
            <w:vAlign w:val="center"/>
          </w:tcPr>
          <w:p w14:paraId="6DEBE9F9">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0" w:type="auto"/>
            <w:vAlign w:val="center"/>
          </w:tcPr>
          <w:p w14:paraId="1F81CAB2">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心电网络</w:t>
            </w:r>
          </w:p>
        </w:tc>
        <w:tc>
          <w:tcPr>
            <w:tcW w:w="0" w:type="auto"/>
            <w:vAlign w:val="center"/>
          </w:tcPr>
          <w:p w14:paraId="4B85CAD9">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一、项目概述</w:t>
            </w:r>
          </w:p>
          <w:p w14:paraId="27B74EAC">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1.保障所运维信息系统网络数据安全以及系统正常稳定运行。</w:t>
            </w:r>
          </w:p>
          <w:p w14:paraId="3BD47A09">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2.涉及网络安全及安全修复。</w:t>
            </w:r>
          </w:p>
          <w:p w14:paraId="6EEACE5E">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二、运维服务项目清单</w:t>
            </w:r>
          </w:p>
          <w:p w14:paraId="136728C6">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lang w:eastAsia="zh-CN"/>
              </w:rPr>
              <w:t>心电网络系统易用性修改服务。根据医院心电图室需要，在功能模块允许范围内，对在用软件的合理需求进行优化完善。</w:t>
            </w:r>
          </w:p>
          <w:p w14:paraId="38BE5B49">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产品升级服务。本次服务包含软件升级，保证升级到最新的软件版本。</w:t>
            </w:r>
          </w:p>
          <w:p w14:paraId="0EAF0A20">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产品安装服务。因升级软件版本，需要重新安装应用软件及相应设置的服务。</w:t>
            </w:r>
          </w:p>
          <w:p w14:paraId="1EC3ABC1">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3.</w:t>
            </w:r>
            <w:r>
              <w:rPr>
                <w:rFonts w:hint="eastAsia" w:ascii="宋体" w:hAnsi="宋体" w:eastAsia="宋体" w:cs="宋体"/>
                <w:sz w:val="21"/>
                <w:szCs w:val="21"/>
                <w:vertAlign w:val="baseline"/>
                <w:lang w:eastAsia="zh-CN"/>
              </w:rPr>
              <w:t>数据传输异常处理服务。处理心电网络系统程序错误导致的数据传输异常；对网络不稳定、代码错误、硬件故障或其他原因导致的医保数据传输失败，协助医院找到原因并处理及时。</w:t>
            </w:r>
          </w:p>
          <w:p w14:paraId="340A9F75">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4.</w:t>
            </w:r>
            <w:r>
              <w:rPr>
                <w:rFonts w:hint="eastAsia" w:ascii="宋体" w:hAnsi="宋体" w:eastAsia="宋体" w:cs="宋体"/>
                <w:sz w:val="21"/>
                <w:szCs w:val="21"/>
                <w:vertAlign w:val="baseline"/>
                <w:lang w:eastAsia="zh-CN"/>
              </w:rPr>
              <w:t>操作使用指导服务。为了提升</w:t>
            </w:r>
            <w:r>
              <w:rPr>
                <w:rFonts w:hint="eastAsia" w:ascii="宋体" w:hAnsi="宋体" w:eastAsia="宋体" w:cs="宋体"/>
                <w:sz w:val="21"/>
                <w:szCs w:val="21"/>
                <w:vertAlign w:val="baseline"/>
                <w:lang w:val="en-US" w:eastAsia="zh-CN"/>
              </w:rPr>
              <w:t>雨城区人民医院</w:t>
            </w:r>
            <w:r>
              <w:rPr>
                <w:rFonts w:hint="eastAsia" w:ascii="宋体" w:hAnsi="宋体" w:eastAsia="宋体" w:cs="宋体"/>
                <w:sz w:val="21"/>
                <w:szCs w:val="21"/>
                <w:vertAlign w:val="baseline"/>
                <w:lang w:eastAsia="zh-CN"/>
              </w:rPr>
              <w:t>操作人员对心电网络系统的熟习程度，提供相关心电网络系统操作使用的咨询或指导服务。</w:t>
            </w:r>
          </w:p>
          <w:p w14:paraId="523017D5">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5.</w:t>
            </w:r>
            <w:r>
              <w:rPr>
                <w:rFonts w:hint="eastAsia" w:ascii="宋体" w:hAnsi="宋体" w:eastAsia="宋体" w:cs="宋体"/>
                <w:sz w:val="21"/>
                <w:szCs w:val="21"/>
                <w:vertAlign w:val="baseline"/>
                <w:lang w:eastAsia="zh-CN"/>
              </w:rPr>
              <w:t>日常故障处理服务。因</w:t>
            </w:r>
            <w:r>
              <w:rPr>
                <w:rFonts w:hint="eastAsia" w:ascii="宋体" w:hAnsi="宋体" w:eastAsia="宋体" w:cs="宋体"/>
                <w:sz w:val="21"/>
                <w:szCs w:val="21"/>
                <w:vertAlign w:val="baseline"/>
                <w:lang w:val="en-US" w:eastAsia="zh-CN"/>
              </w:rPr>
              <w:t>雨城区人民医院</w:t>
            </w:r>
            <w:r>
              <w:rPr>
                <w:rFonts w:hint="eastAsia" w:ascii="宋体" w:hAnsi="宋体" w:eastAsia="宋体" w:cs="宋体"/>
                <w:sz w:val="21"/>
                <w:szCs w:val="21"/>
                <w:vertAlign w:val="baseline"/>
                <w:lang w:eastAsia="zh-CN"/>
              </w:rPr>
              <w:t>管理及业务要求，对软件进行调整与设置；或因操作失误、程序故障等原因而需提供的故障清除服务。</w:t>
            </w:r>
          </w:p>
          <w:p w14:paraId="05975384">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6.SQL SERVER</w:t>
            </w:r>
            <w:r>
              <w:rPr>
                <w:rFonts w:hint="eastAsia" w:ascii="宋体" w:hAnsi="宋体" w:eastAsia="宋体" w:cs="宋体"/>
                <w:sz w:val="21"/>
                <w:szCs w:val="21"/>
                <w:vertAlign w:val="baseline"/>
                <w:lang w:eastAsia="zh-CN"/>
              </w:rPr>
              <w:t>数据库性能优化服务。心电网络系统运行反应速度或吞吐量不能满足需要，对日常业务有一定影响的情况下，或者局部系统反应慢，对数据库当前性能情况进行评价后，并及时优化处理。</w:t>
            </w:r>
          </w:p>
          <w:p w14:paraId="16CFE175">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7.</w:t>
            </w:r>
            <w:r>
              <w:rPr>
                <w:rFonts w:hint="eastAsia" w:ascii="宋体" w:hAnsi="宋体" w:eastAsia="宋体" w:cs="宋体"/>
                <w:sz w:val="21"/>
                <w:szCs w:val="21"/>
                <w:vertAlign w:val="baseline"/>
                <w:lang w:eastAsia="zh-CN"/>
              </w:rPr>
              <w:t>数据库安全检查服务。每季度对数据库系统的支撑环境进行检查，找出存在的潜在隐患，并及时修复。</w:t>
            </w:r>
          </w:p>
          <w:p w14:paraId="5A34F6C3">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8.</w:t>
            </w:r>
            <w:r>
              <w:rPr>
                <w:rFonts w:hint="eastAsia" w:ascii="宋体" w:hAnsi="宋体" w:eastAsia="宋体" w:cs="宋体"/>
                <w:sz w:val="21"/>
                <w:szCs w:val="21"/>
                <w:vertAlign w:val="baseline"/>
                <w:lang w:eastAsia="zh-CN"/>
              </w:rPr>
              <w:t>应用服务器安全检查服务。每季度对应用服务器系统的支撑环境进行检查，找出存在的潜在隐患，并及时修复。</w:t>
            </w:r>
          </w:p>
          <w:p w14:paraId="45D0377A">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9.</w:t>
            </w:r>
            <w:r>
              <w:rPr>
                <w:rFonts w:hint="eastAsia" w:ascii="宋体" w:hAnsi="宋体" w:eastAsia="宋体" w:cs="宋体"/>
                <w:sz w:val="21"/>
                <w:szCs w:val="21"/>
                <w:vertAlign w:val="baseline"/>
                <w:lang w:eastAsia="zh-CN"/>
              </w:rPr>
              <w:t>重大安全隐患预警通知服务。针对数据安全巡检结果，进行重大安全隐患预警通知服务。</w:t>
            </w:r>
          </w:p>
          <w:p w14:paraId="593ADC5A">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10.</w:t>
            </w:r>
            <w:r>
              <w:rPr>
                <w:rFonts w:hint="eastAsia" w:ascii="宋体" w:hAnsi="宋体" w:eastAsia="宋体" w:cs="宋体"/>
                <w:sz w:val="21"/>
                <w:szCs w:val="21"/>
                <w:vertAlign w:val="baseline"/>
                <w:lang w:eastAsia="zh-CN"/>
              </w:rPr>
              <w:t>产品相关培训资料服务。通过微信、电子邮件等方式提供产品相关培训资料。</w:t>
            </w:r>
          </w:p>
          <w:p w14:paraId="0D9B4592">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11.</w:t>
            </w:r>
            <w:r>
              <w:rPr>
                <w:rFonts w:hint="eastAsia" w:ascii="宋体" w:hAnsi="宋体" w:eastAsia="宋体" w:cs="宋体"/>
                <w:sz w:val="21"/>
                <w:szCs w:val="21"/>
                <w:vertAlign w:val="baseline"/>
                <w:lang w:eastAsia="zh-CN"/>
              </w:rPr>
              <w:t>心电网络平台建设资料服务。结合</w:t>
            </w:r>
            <w:r>
              <w:rPr>
                <w:rFonts w:hint="eastAsia" w:ascii="宋体" w:hAnsi="宋体" w:eastAsia="宋体" w:cs="宋体"/>
                <w:sz w:val="21"/>
                <w:szCs w:val="21"/>
                <w:vertAlign w:val="baseline"/>
                <w:lang w:val="en-US" w:eastAsia="zh-CN"/>
              </w:rPr>
              <w:t>雨城区人民医院</w:t>
            </w:r>
            <w:r>
              <w:rPr>
                <w:rFonts w:hint="eastAsia" w:ascii="宋体" w:hAnsi="宋体" w:eastAsia="宋体" w:cs="宋体"/>
                <w:sz w:val="21"/>
                <w:szCs w:val="21"/>
                <w:vertAlign w:val="baseline"/>
                <w:lang w:eastAsia="zh-CN"/>
              </w:rPr>
              <w:t>实际情况，提供医院心电网络平台建设参考资料。</w:t>
            </w:r>
          </w:p>
          <w:p w14:paraId="2957958E">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12.</w:t>
            </w:r>
            <w:r>
              <w:rPr>
                <w:rFonts w:hint="eastAsia" w:ascii="宋体" w:hAnsi="宋体" w:eastAsia="宋体" w:cs="宋体"/>
                <w:sz w:val="21"/>
                <w:szCs w:val="21"/>
                <w:vertAlign w:val="baseline"/>
                <w:lang w:eastAsia="zh-CN"/>
              </w:rPr>
              <w:t>服务问题清单服务。通过微信或电子邮件方式提供当季度的服务问题及产品需求清单。</w:t>
            </w:r>
          </w:p>
          <w:p w14:paraId="3486663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13.</w:t>
            </w:r>
            <w:r>
              <w:rPr>
                <w:rFonts w:hint="eastAsia" w:ascii="宋体" w:hAnsi="宋体" w:eastAsia="宋体" w:cs="宋体"/>
                <w:sz w:val="21"/>
                <w:szCs w:val="21"/>
                <w:vertAlign w:val="baseline"/>
                <w:lang w:eastAsia="zh-CN"/>
              </w:rPr>
              <w:t>常见、典型问题分析报告服务。对每季度售后服务所处理问题进行分析，把用户常见、典型问题的处理方法进行分析、总结、传播。</w:t>
            </w:r>
          </w:p>
          <w:p w14:paraId="6013E355">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14.</w:t>
            </w:r>
            <w:r>
              <w:rPr>
                <w:rFonts w:hint="eastAsia" w:ascii="宋体" w:hAnsi="宋体" w:eastAsia="宋体" w:cs="宋体"/>
                <w:sz w:val="21"/>
                <w:szCs w:val="21"/>
                <w:vertAlign w:val="baseline"/>
                <w:lang w:eastAsia="zh-CN"/>
              </w:rPr>
              <w:t>电话回访服务。对长期未提出问题的医疗机构提供主动电话回访。</w:t>
            </w:r>
          </w:p>
          <w:p w14:paraId="65C5A42E">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15.</w:t>
            </w:r>
            <w:r>
              <w:rPr>
                <w:rFonts w:hint="eastAsia" w:ascii="宋体" w:hAnsi="宋体" w:eastAsia="宋体" w:cs="宋体"/>
                <w:sz w:val="21"/>
                <w:szCs w:val="21"/>
                <w:vertAlign w:val="baseline"/>
                <w:lang w:eastAsia="zh-CN"/>
              </w:rPr>
              <w:t>现场回访服务。每季度组织一次主动现场寻访服务，沟通软件运行的问题。</w:t>
            </w:r>
          </w:p>
          <w:p w14:paraId="69721D8E">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三、巡检服务</w:t>
            </w:r>
          </w:p>
          <w:p w14:paraId="3858CBB4">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lang w:eastAsia="zh-CN"/>
              </w:rPr>
              <w:t>现场回访服务：每季度组织一次主动现场寻访服务，沟通软件运行的问题。</w:t>
            </w:r>
          </w:p>
          <w:p w14:paraId="6493AFB3">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0"/>
                <w:sz w:val="21"/>
                <w:szCs w:val="21"/>
                <w:lang w:eastAsia="zh-CN"/>
              </w:rPr>
            </w:pP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数据备份调查：每季度组织一次数据备份调查、提醒服务，辅助用户进行数据备份的有效性检查。</w:t>
            </w:r>
          </w:p>
        </w:tc>
      </w:tr>
      <w:tr w14:paraId="75055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AF1D350">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0" w:type="auto"/>
            <w:vAlign w:val="center"/>
          </w:tcPr>
          <w:p w14:paraId="48038C7E">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微信公众号</w:t>
            </w:r>
          </w:p>
        </w:tc>
        <w:tc>
          <w:tcPr>
            <w:tcW w:w="0" w:type="auto"/>
            <w:vAlign w:val="center"/>
          </w:tcPr>
          <w:p w14:paraId="0B9E9A2E">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一、项目概述</w:t>
            </w:r>
          </w:p>
          <w:p w14:paraId="2A2B04DD">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1.保障所运维信息系统网络数据安全以及系统正常稳定运行。</w:t>
            </w:r>
          </w:p>
          <w:p w14:paraId="3DDE486C">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2.涉及网络安全及安全修复。</w:t>
            </w:r>
          </w:p>
          <w:p w14:paraId="4A2EA89D">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二、产品培训与优化服务</w:t>
            </w:r>
          </w:p>
          <w:p w14:paraId="3006C324">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kern w:val="2"/>
                <w:sz w:val="21"/>
                <w:szCs w:val="21"/>
                <w:vertAlign w:val="baseline"/>
                <w:lang w:val="en-US" w:eastAsia="zh-CN" w:bidi="ar-SA"/>
              </w:rPr>
              <w:t>1.</w:t>
            </w:r>
            <w:r>
              <w:rPr>
                <w:rFonts w:hint="eastAsia" w:ascii="宋体" w:hAnsi="宋体" w:eastAsia="宋体" w:cs="宋体"/>
                <w:sz w:val="21"/>
                <w:szCs w:val="21"/>
                <w:vertAlign w:val="baseline"/>
                <w:lang w:val="en-US" w:eastAsia="zh-CN"/>
              </w:rPr>
              <w:t>根据用户需要，对微信公众号患者端，管理端，财务对账等模块在实际业务中的应用进行培训，对相关的业务进行指导，切实提高用户的工作效率及管理水平。</w:t>
            </w:r>
          </w:p>
          <w:p w14:paraId="2E5DD2A4">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kern w:val="2"/>
                <w:sz w:val="21"/>
                <w:szCs w:val="21"/>
                <w:vertAlign w:val="baseline"/>
                <w:lang w:val="en-US" w:eastAsia="zh-CN" w:bidi="ar-SA"/>
              </w:rPr>
              <w:t>2.</w:t>
            </w:r>
            <w:r>
              <w:rPr>
                <w:rFonts w:hint="eastAsia" w:ascii="宋体" w:hAnsi="宋体" w:eastAsia="宋体" w:cs="宋体"/>
                <w:sz w:val="21"/>
                <w:szCs w:val="21"/>
                <w:vertAlign w:val="baseline"/>
                <w:lang w:val="en-US" w:eastAsia="zh-CN"/>
              </w:rPr>
              <w:t>培训新增挂号科室同步，简介维护等。</w:t>
            </w:r>
          </w:p>
          <w:p w14:paraId="778F67C1">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3.新增挂号医生同步，简介维护等</w:t>
            </w:r>
          </w:p>
          <w:p w14:paraId="5EE4B938">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4.对账流程优化</w:t>
            </w:r>
          </w:p>
          <w:p w14:paraId="76EE0AF5">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三、系统巡检服务（定期对系统进行巡检，及时处理系统中的问题）</w:t>
            </w:r>
          </w:p>
          <w:p w14:paraId="0A0A17E2">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1.系统使用情况检测，如环境、部署、关键点检查是否正常。</w:t>
            </w:r>
          </w:p>
          <w:p w14:paraId="2A831636">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2.服务器性能诊断与优化；</w:t>
            </w:r>
          </w:p>
          <w:p w14:paraId="7B9F2F58">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3.数据库性能诊断与优化；</w:t>
            </w:r>
          </w:p>
          <w:p w14:paraId="7226E817">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4.数据的备份、恢复及修改</w:t>
            </w:r>
          </w:p>
          <w:p w14:paraId="27E7B9C8">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四、需求变更及扩展服务（由于用户管理需求等变化和发展，对系统新提出的完善性、扩展性的改造服务）</w:t>
            </w:r>
          </w:p>
          <w:p w14:paraId="7EE21770">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1.系统完善性改造；</w:t>
            </w:r>
          </w:p>
          <w:p w14:paraId="004A87DE">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2.需求扩展开发改造。</w:t>
            </w:r>
          </w:p>
          <w:p w14:paraId="5F43B7BB">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五、系统故障处理服务（及时响应系统所出现的问题，并进行处理。）</w:t>
            </w:r>
          </w:p>
          <w:p w14:paraId="4EC2AC6B">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1.一级故障：主要指产品在运行中出现系统瘫痪或服务中断，导致产品的基本功能不能实现或全面退化的故障。</w:t>
            </w:r>
          </w:p>
          <w:p w14:paraId="162BE2CA">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2.二级故障：主要指产品在运行中出现的故障具有潜在的系统瘫痪或服务中断的危险，并可能导致产品的基本功能不能实现或全面退化。</w:t>
            </w:r>
          </w:p>
          <w:p w14:paraId="4E2526E0">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3.三级故障：主要指产品在运行中出现的直接影响服务，导致系统性能或服务部分退化的故障。</w:t>
            </w:r>
          </w:p>
          <w:p w14:paraId="25140437">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4.四级故障：主要指产品在运行中出现的断续或间接地影响系统功能和服务的故障。</w:t>
            </w:r>
          </w:p>
          <w:p w14:paraId="661E20CE">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六、售后服务方式（售后处理系统出现的问题。）</w:t>
            </w:r>
          </w:p>
          <w:p w14:paraId="5CD3A79A">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1.电话支持：接到技术支持请求或故障报告后，将立即以电话方式同用户取得联系，并指导用户解决问题。</w:t>
            </w:r>
          </w:p>
          <w:p w14:paraId="2C5458BB">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2.远程连接服务：技术支持人员在用户授权后，可通过远程协助帮助用户解决问题。</w:t>
            </w:r>
          </w:p>
          <w:p w14:paraId="5C31E5B8">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0"/>
                <w:sz w:val="21"/>
                <w:szCs w:val="21"/>
                <w:lang w:val="en-US" w:eastAsia="zh-CN"/>
              </w:rPr>
            </w:pPr>
            <w:r>
              <w:rPr>
                <w:rFonts w:hint="eastAsia" w:ascii="宋体" w:hAnsi="宋体" w:eastAsia="宋体" w:cs="宋体"/>
                <w:sz w:val="21"/>
                <w:szCs w:val="21"/>
                <w:vertAlign w:val="baseline"/>
                <w:lang w:val="en-US" w:eastAsia="zh-CN"/>
              </w:rPr>
              <w:t>3.现场服务：在用户授权后，进入用户系统，定期检查系统运行状况，预测系统未来可能出现的问题；如需工程师现场了解判断和解决问题，公司安排工程师4小时到达现场。</w:t>
            </w:r>
          </w:p>
        </w:tc>
      </w:tr>
      <w:tr w14:paraId="72668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5F75D76">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0" w:type="auto"/>
            <w:vAlign w:val="center"/>
          </w:tcPr>
          <w:p w14:paraId="1CC2A2F6">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信息追溯系统</w:t>
            </w:r>
          </w:p>
        </w:tc>
        <w:tc>
          <w:tcPr>
            <w:tcW w:w="0" w:type="auto"/>
            <w:vAlign w:val="center"/>
          </w:tcPr>
          <w:p w14:paraId="3892512C">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一、项目概述</w:t>
            </w:r>
          </w:p>
          <w:p w14:paraId="60DAA99F">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1.保障所运维信息系统网络数据安全以及系统正常稳定运行。</w:t>
            </w:r>
          </w:p>
          <w:p w14:paraId="0EAD0011">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2.涉及网络安全及安全修复。</w:t>
            </w:r>
          </w:p>
          <w:p w14:paraId="5F02F132">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二、产品培训及管理信息化咨询服务</w:t>
            </w:r>
          </w:p>
          <w:p w14:paraId="6A663B7A">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1.根据用户需要，对追溯系统回收、包装、发放、设备监控等模块在实际业务中的应用进行培训，对相关的业务进行指导，切实提高用户的工作效率及管理水平。</w:t>
            </w:r>
          </w:p>
          <w:p w14:paraId="5187227D">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2.针对用户管理中所存在的问题，从信息化建设角度、管理提升角度为用户提出切实可行的管理咨询方案，如：</w:t>
            </w:r>
          </w:p>
          <w:p w14:paraId="47197F9F">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①IT咨询与规划；②基础数据诊断及优化方案；③库存诊断与优化；④业务流程优化；⑤业务流程优化</w:t>
            </w:r>
          </w:p>
          <w:p w14:paraId="4A7A7B13">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三、</w:t>
            </w:r>
            <w:r>
              <w:rPr>
                <w:rFonts w:hint="eastAsia" w:ascii="宋体" w:hAnsi="宋体" w:eastAsia="宋体" w:cs="宋体"/>
                <w:sz w:val="21"/>
                <w:szCs w:val="21"/>
                <w:vertAlign w:val="baseline"/>
                <w:lang w:eastAsia="zh-CN"/>
              </w:rPr>
              <w:t>系统巡检服务（定期对系统进行巡检，及时处理系统中的问题）</w:t>
            </w:r>
          </w:p>
          <w:p w14:paraId="43AB7C09">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lang w:eastAsia="zh-CN"/>
              </w:rPr>
              <w:t>定期对系统进行巡检，及时处理系统中的问题；</w:t>
            </w:r>
          </w:p>
          <w:p w14:paraId="12D57B58">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服务器性能诊断与优化；</w:t>
            </w:r>
          </w:p>
          <w:p w14:paraId="714CE92A">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r>
              <w:rPr>
                <w:rFonts w:hint="eastAsia" w:ascii="宋体" w:hAnsi="宋体" w:eastAsia="宋体" w:cs="宋体"/>
                <w:sz w:val="21"/>
                <w:szCs w:val="21"/>
                <w:vertAlign w:val="baseline"/>
                <w:lang w:eastAsia="zh-CN"/>
              </w:rPr>
              <w:t>数据库性能诊断与优化；</w:t>
            </w:r>
          </w:p>
          <w:p w14:paraId="467DAA10">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r>
              <w:rPr>
                <w:rFonts w:hint="eastAsia" w:ascii="宋体" w:hAnsi="宋体" w:eastAsia="宋体" w:cs="宋体"/>
                <w:sz w:val="21"/>
                <w:szCs w:val="21"/>
                <w:vertAlign w:val="baseline"/>
                <w:lang w:eastAsia="zh-CN"/>
              </w:rPr>
              <w:t>数据的备份、恢复及修改；</w:t>
            </w:r>
          </w:p>
          <w:p w14:paraId="2BEBE6CE">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r>
              <w:rPr>
                <w:rFonts w:hint="eastAsia" w:ascii="宋体" w:hAnsi="宋体" w:eastAsia="宋体" w:cs="宋体"/>
                <w:sz w:val="21"/>
                <w:szCs w:val="21"/>
                <w:vertAlign w:val="baseline"/>
                <w:lang w:eastAsia="zh-CN"/>
              </w:rPr>
              <w:t>硬件及网络性能诊断与优化；</w:t>
            </w:r>
          </w:p>
          <w:p w14:paraId="40FB963A">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w:t>
            </w:r>
            <w:r>
              <w:rPr>
                <w:rFonts w:hint="eastAsia" w:ascii="宋体" w:hAnsi="宋体" w:eastAsia="宋体" w:cs="宋体"/>
                <w:sz w:val="21"/>
                <w:szCs w:val="21"/>
                <w:vertAlign w:val="baseline"/>
                <w:lang w:eastAsia="zh-CN"/>
              </w:rPr>
              <w:t>病毒查杀及系统优化。</w:t>
            </w:r>
          </w:p>
          <w:p w14:paraId="4C512F1B">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四、需求变更及扩展服务（用户管理需求等变化和发展，对系统新提出的完善性、扩展性的改造服务。）</w:t>
            </w:r>
          </w:p>
          <w:p w14:paraId="4F92534B">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lang w:eastAsia="zh-CN"/>
              </w:rPr>
              <w:t>系统完善性改造；</w:t>
            </w:r>
          </w:p>
          <w:p w14:paraId="47B4AEC5">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需求扩展开发改造</w:t>
            </w:r>
          </w:p>
          <w:p w14:paraId="480488ED">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五、系统故障处理服务（及时响应系统所出现的问题，并进行处理）</w:t>
            </w:r>
          </w:p>
          <w:p w14:paraId="0030509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lang w:eastAsia="zh-CN"/>
              </w:rPr>
              <w:t>一级故障：主要指产品在运行中出现系统瘫痪或服务中断，导致产品的基本功能不能实现或全面退化的故障；</w:t>
            </w:r>
          </w:p>
          <w:p w14:paraId="1ED1FC8E">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二级故障：主要指产品在运行中出现的故障具有潜在的系统瘫痪或服务中断的危险，并可能导致产品的基本功能不能实现或全面退化；</w:t>
            </w:r>
          </w:p>
          <w:p w14:paraId="774D810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3.</w:t>
            </w:r>
            <w:r>
              <w:rPr>
                <w:rFonts w:hint="eastAsia" w:ascii="宋体" w:hAnsi="宋体" w:eastAsia="宋体" w:cs="宋体"/>
                <w:sz w:val="21"/>
                <w:szCs w:val="21"/>
                <w:vertAlign w:val="baseline"/>
                <w:lang w:eastAsia="zh-CN"/>
              </w:rPr>
              <w:t>三级故障：主要指产品在运行中出现的直接影响服务，导致系统性能或服务部分退化的故障；</w:t>
            </w:r>
          </w:p>
          <w:p w14:paraId="3F5B7AE3">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4.</w:t>
            </w:r>
            <w:r>
              <w:rPr>
                <w:rFonts w:hint="eastAsia" w:ascii="宋体" w:hAnsi="宋体" w:eastAsia="宋体" w:cs="宋体"/>
                <w:sz w:val="21"/>
                <w:szCs w:val="21"/>
                <w:vertAlign w:val="baseline"/>
                <w:lang w:eastAsia="zh-CN"/>
              </w:rPr>
              <w:t>四级故障：主要指产品在运行中出现的断续或间接地影响系统功能和服务的故障。</w:t>
            </w:r>
          </w:p>
          <w:p w14:paraId="2AD09833">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六、售后服务方式（</w:t>
            </w:r>
            <w:r>
              <w:rPr>
                <w:rFonts w:hint="eastAsia" w:ascii="宋体" w:hAnsi="宋体" w:eastAsia="宋体" w:cs="宋体"/>
                <w:sz w:val="21"/>
                <w:szCs w:val="21"/>
                <w:vertAlign w:val="baseline"/>
                <w:lang w:val="en-US" w:eastAsia="zh-CN"/>
              </w:rPr>
              <w:t>及时售后处理系统出现的问题</w:t>
            </w:r>
            <w:r>
              <w:rPr>
                <w:rFonts w:hint="eastAsia" w:ascii="宋体" w:hAnsi="宋体" w:eastAsia="宋体" w:cs="宋体"/>
                <w:sz w:val="21"/>
                <w:szCs w:val="21"/>
                <w:vertAlign w:val="baseline"/>
                <w:lang w:eastAsia="zh-CN"/>
              </w:rPr>
              <w:t>）</w:t>
            </w:r>
          </w:p>
          <w:p w14:paraId="43A75BBB">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lang w:eastAsia="zh-CN"/>
              </w:rPr>
              <w:t>电话支持：接到技术支持请求或故障报告后，将立即以电话方式同用户取得联系，并指导用户解决问题；</w:t>
            </w:r>
          </w:p>
          <w:p w14:paraId="0B3F9DAF">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远程连接服务：技术支持人员在用户授权后，可通过远程协助帮助用户解决问题；</w:t>
            </w:r>
          </w:p>
          <w:p w14:paraId="7F60B426">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3.</w:t>
            </w:r>
            <w:r>
              <w:rPr>
                <w:rFonts w:hint="eastAsia" w:ascii="宋体" w:hAnsi="宋体" w:eastAsia="宋体" w:cs="宋体"/>
                <w:sz w:val="21"/>
                <w:szCs w:val="21"/>
                <w:vertAlign w:val="baseline"/>
                <w:lang w:eastAsia="zh-CN"/>
              </w:rPr>
              <w:t>现场服务：在用户授权后，进入用户系统，定期检查系统运行状况，预测系统未来可能出现的问题；如需工程师现场了解判断和解决问题，安排工程师</w:t>
            </w:r>
            <w:r>
              <w:rPr>
                <w:rFonts w:hint="eastAsia" w:ascii="宋体" w:hAnsi="宋体" w:eastAsia="宋体" w:cs="宋体"/>
                <w:sz w:val="21"/>
                <w:szCs w:val="21"/>
                <w:vertAlign w:val="baseline"/>
                <w:lang w:val="en-US" w:eastAsia="zh-CN"/>
              </w:rPr>
              <w:t>4小时内</w:t>
            </w:r>
            <w:r>
              <w:rPr>
                <w:rFonts w:hint="eastAsia" w:ascii="宋体" w:hAnsi="宋体" w:eastAsia="宋体" w:cs="宋体"/>
                <w:sz w:val="21"/>
                <w:szCs w:val="21"/>
                <w:vertAlign w:val="baseline"/>
                <w:lang w:eastAsia="zh-CN"/>
              </w:rPr>
              <w:t>现场处理。</w:t>
            </w:r>
          </w:p>
        </w:tc>
      </w:tr>
      <w:tr w14:paraId="72E28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5C4BA380">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w:t>
            </w:r>
          </w:p>
        </w:tc>
        <w:tc>
          <w:tcPr>
            <w:tcW w:w="0" w:type="auto"/>
            <w:vAlign w:val="center"/>
          </w:tcPr>
          <w:p w14:paraId="56940012">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政策接口运维服务、业务接口运维服务、HIS数据库专项运维服务、政策接口开发服务</w:t>
            </w:r>
          </w:p>
        </w:tc>
        <w:tc>
          <w:tcPr>
            <w:tcW w:w="0" w:type="auto"/>
            <w:vAlign w:val="center"/>
          </w:tcPr>
          <w:p w14:paraId="38536B8C">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一、项目概述</w:t>
            </w:r>
          </w:p>
          <w:p w14:paraId="2397AC15">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1.保障所运维信息系统网络数据安全以及系统正常稳定运行。</w:t>
            </w:r>
          </w:p>
          <w:p w14:paraId="5D2DAAF9">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2.涉及网络安全及安全修复。</w:t>
            </w:r>
          </w:p>
          <w:p w14:paraId="20568A24">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二、维护内容</w:t>
            </w:r>
          </w:p>
          <w:p w14:paraId="2D4D6B50">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1.软件日常维护</w:t>
            </w:r>
          </w:p>
          <w:p w14:paraId="00CAC589">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1.1提供咨询与指导医院进行药品、医疗收费项目等基础信息的维护服务；</w:t>
            </w:r>
          </w:p>
          <w:p w14:paraId="5BCAC170">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1.2提供软件操作故障处理，因操作员对产品操作错误导致的故障、因操作失误造成的数据混乱恢复；</w:t>
            </w:r>
          </w:p>
          <w:p w14:paraId="2B57B922">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1.3提供软件或接口故障处理，解决因HIS程序错误造成的数据问题；1.4调整软件程序出错及因程序本身BUG产生的程序修改、清除；</w:t>
            </w:r>
          </w:p>
          <w:p w14:paraId="2A1CBACE">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1.5解决和指导处理病人就诊出现的数据及报表问题；</w:t>
            </w:r>
          </w:p>
          <w:p w14:paraId="14E1DD8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1.6因HIS数据与医保中心数据不等，提供原因排查及问题处理。</w:t>
            </w:r>
          </w:p>
          <w:p w14:paraId="606A2356">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1.7协助检查应用软件中间件运行情况，及时优化并处理中间件故障；</w:t>
            </w:r>
          </w:p>
          <w:p w14:paraId="528F015F">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1.8指导医院查明信息系统突发故障的原因，并对程序范围内的问题给予解决；</w:t>
            </w:r>
          </w:p>
          <w:p w14:paraId="0F1D5F4D">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2.软件升级服务</w:t>
            </w:r>
          </w:p>
          <w:p w14:paraId="14A7DAF1">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2.1提供中联医院信息系统升级服务，提供产品清单系统模块的软件升级程序；</w:t>
            </w:r>
          </w:p>
          <w:p w14:paraId="1831C40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2.2根据行业变化、政策要求、BUG处理、性能调整、操作界面等而对产品功能的主动升级服务；</w:t>
            </w:r>
          </w:p>
          <w:p w14:paraId="3B0680D4">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2.3针对重大功能升级变化提供产品功能调整介绍服务，对工作界面有重大变化的面向一线操作人员提供操作文档与操作指导服务。</w:t>
            </w:r>
          </w:p>
          <w:p w14:paraId="5F01BFCF">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3.软件适用性维护</w:t>
            </w:r>
          </w:p>
          <w:p w14:paraId="0717D63B">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3.1接口修改：提供因政策需求产生的对HIS系统的接口修改服务，如省医保接口（只限于现有医保结算范围）、电子发票格式、病案管理等政策性调整修改。</w:t>
            </w:r>
          </w:p>
          <w:p w14:paraId="086D0BF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3.2提供因医院管理需求和业务发生变化提出的合理的、不影响软件业务流程、数据流程、核心模块和数据库结构的需求的系统改造服务。</w:t>
            </w:r>
          </w:p>
          <w:p w14:paraId="3CAB5CBA">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3.3因软件实际操作中医务人员对操作界面更便捷的设置调整或处理一些操作错误影响正常使用的特殊需求修改。</w:t>
            </w:r>
          </w:p>
          <w:p w14:paraId="2D1F7C25">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3.4软件适用性维护需求响应需医院与中联双方签订《XXX需求或变更调整确认书》为依据。</w:t>
            </w:r>
          </w:p>
          <w:p w14:paraId="38580D13">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4.报表统计</w:t>
            </w:r>
          </w:p>
          <w:p w14:paraId="48DA34E8">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4.1提供报表修改服务，使用科室因业务需求变更，要求对在用统计报表格式、内容进行修改。</w:t>
            </w:r>
          </w:p>
          <w:p w14:paraId="4CC624D9">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4.2提供报表新增服务，针对业务系统的数据提供报表新增需求；</w:t>
            </w:r>
          </w:p>
          <w:p w14:paraId="3FB54307">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4.3统计报表的数据核对，针对报表数据与实际不符或与其他报表不对应的情况，协助进行查对或讲解说明。</w:t>
            </w:r>
          </w:p>
          <w:p w14:paraId="28572432">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5.远程服务</w:t>
            </w:r>
          </w:p>
          <w:p w14:paraId="33384A1E">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5.1提供24小时值班服务，保障固定工作日、节假日在线客服值班服务。</w:t>
            </w:r>
          </w:p>
          <w:p w14:paraId="01F6F21B">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5.2设置紧急电话与负责人，保障突发紧急情况第一时间有人响应；</w:t>
            </w:r>
          </w:p>
          <w:p w14:paraId="7114B841">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6.咨询服务</w:t>
            </w:r>
          </w:p>
          <w:p w14:paraId="47C18BD4">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6.1提供中联产品相关的咨询答疑服务；</w:t>
            </w:r>
          </w:p>
          <w:p w14:paraId="330AA04D">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6.2信息化建设相关的咨询服务；</w:t>
            </w:r>
          </w:p>
          <w:p w14:paraId="39299BD6">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6.3行业政策相关的解读，要点答疑服务。如电子病历测评、互联互通测评等。</w:t>
            </w:r>
          </w:p>
          <w:p w14:paraId="52FFBAE1">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7培训服务</w:t>
            </w:r>
          </w:p>
          <w:p w14:paraId="56EEEDF4">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7.1针对产品的基础操作、重大功能提供操作文档；</w:t>
            </w:r>
          </w:p>
          <w:p w14:paraId="19693AE5">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7.2针对复杂业务操作提供在线直播或现场2种培训；</w:t>
            </w:r>
          </w:p>
          <w:p w14:paraId="3B524546">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三、服务管理要求</w:t>
            </w:r>
          </w:p>
          <w:p w14:paraId="4BE70A4E">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1.驻场人员参与协同医院信息化服务工作，监督管理医院整体运维服务，响应医院重点事件、专项问题或需求的沟通，按</w:t>
            </w:r>
            <w:r>
              <w:rPr>
                <w:rFonts w:hint="eastAsia" w:ascii="宋体" w:hAnsi="宋体" w:eastAsia="宋体" w:cs="宋体"/>
                <w:sz w:val="21"/>
                <w:szCs w:val="21"/>
                <w:vertAlign w:val="baseline"/>
                <w:lang w:val="en-US" w:eastAsia="zh-Hans"/>
              </w:rPr>
              <w:t>年</w:t>
            </w:r>
            <w:r>
              <w:rPr>
                <w:rFonts w:hint="eastAsia" w:ascii="宋体" w:hAnsi="宋体" w:eastAsia="宋体" w:cs="宋体"/>
                <w:sz w:val="21"/>
                <w:szCs w:val="21"/>
                <w:vertAlign w:val="baseline"/>
                <w:lang w:val="en-US" w:eastAsia="zh-CN"/>
              </w:rPr>
              <w:t>度提供至少1次现场巡检服务，并针对性的提供巡检报告、以及年度服务报告。</w:t>
            </w:r>
          </w:p>
          <w:p w14:paraId="7DF8CA6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三、政策接口集成服务要求</w:t>
            </w:r>
          </w:p>
          <w:p w14:paraId="52F86E2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因卫健、医保等上级部门要求上传数据时，应根据数据上传接口文档要求，完成政策性接口集成改造服务。</w:t>
            </w:r>
          </w:p>
          <w:p w14:paraId="25A0A060">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四、数据库专项运维服务要求</w:t>
            </w:r>
          </w:p>
          <w:p w14:paraId="4B77E86F">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1.提供数据库相关咨询服务，为医院提供邮件、电话、即时消息工具等各种形式关于数据库各种技术问题的咨询。</w:t>
            </w:r>
          </w:p>
          <w:p w14:paraId="6B7A73F3">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2.提供4次/年数据备份有效性检查服务，对在用的数据库所有备份策略进行定期检查确保其备份工作的有效执行，为数据安全提供有力保障。</w:t>
            </w:r>
          </w:p>
          <w:p w14:paraId="5F3AC396">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3.提供4次/年数据安全日常检查提醒服务，通过短信、电话、即时消息工具、邮件等方式定期提醒客户对生产环境、数据备份环境等进行有效性检查，尽可能提前发现隐患，确保其能持续有效的运行。</w:t>
            </w:r>
          </w:p>
          <w:p w14:paraId="59BFE4EB">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提供4次/年生产环境运行安全巡检服务，定期对生产环境（包括：服务器、存储、系统软件、数据库）的运行状态进行检查，达到尽早发现系统故障及安全隐患的目的，降低生产环境的运行风险，减少安全事故发生的机率。</w:t>
            </w:r>
          </w:p>
          <w:p w14:paraId="27D9F8F2">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5.提供数据库性能优化服务，提供数据库日志分析、性能评估、诊断优化、历史数据转移、实例优化、SQL优化等服务，保障信息系统运行高效和顺畅，提高ZLHIS系统的运行性能。</w:t>
            </w:r>
          </w:p>
          <w:p w14:paraId="25F494D3">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6.提供数据灾难恢复服务，因客户的支撑环境出现故障，如：停电，误操作，导致的数据库损坏，无法启动或无法登录需要对应用数据库故障进行恢复处理，保证其恢复后，能正常使用。</w:t>
            </w:r>
          </w:p>
          <w:p w14:paraId="25877752">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vertAlign w:val="baseline"/>
                <w:lang w:val="en-US" w:eastAsia="zh-CN"/>
              </w:rPr>
              <w:t>五</w:t>
            </w:r>
            <w:r>
              <w:rPr>
                <w:rFonts w:hint="eastAsia" w:ascii="宋体" w:hAnsi="宋体" w:eastAsia="宋体" w:cs="宋体"/>
                <w:sz w:val="21"/>
                <w:szCs w:val="21"/>
                <w:highlight w:val="none"/>
                <w:vertAlign w:val="baseline"/>
                <w:lang w:val="en-US" w:eastAsia="zh-CN"/>
              </w:rPr>
              <w:t>、现场驻场服务</w:t>
            </w:r>
          </w:p>
          <w:p w14:paraId="00EB3780">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1.提供现场驻场人员不少于1人，每周驻场天数不低于三天；</w:t>
            </w:r>
          </w:p>
          <w:p w14:paraId="44ECC580">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highlight w:val="none"/>
                <w:vertAlign w:val="baseline"/>
                <w:lang w:val="en-US" w:eastAsia="zh-CN"/>
              </w:rPr>
              <w:t>2.涉及重大事件医院现场专职人员不少于2人；重大事件如（医院信息化测评、医院信息化大的升级改造、医院开设新院区等）。</w:t>
            </w:r>
          </w:p>
        </w:tc>
      </w:tr>
      <w:tr w14:paraId="4A967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A4118E4">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val="en-US" w:eastAsia="zh-CN"/>
              </w:rPr>
            </w:pPr>
          </w:p>
        </w:tc>
        <w:tc>
          <w:tcPr>
            <w:tcW w:w="0" w:type="auto"/>
            <w:vAlign w:val="center"/>
          </w:tcPr>
          <w:p w14:paraId="52B59F2E">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区域协同平台系统</w:t>
            </w:r>
          </w:p>
        </w:tc>
        <w:tc>
          <w:tcPr>
            <w:tcW w:w="0" w:type="auto"/>
            <w:vAlign w:val="center"/>
          </w:tcPr>
          <w:p w14:paraId="399BC5E3">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一、项目概述</w:t>
            </w:r>
          </w:p>
          <w:p w14:paraId="2C25A939">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1.保障所运维信息系统网络数据安全以及系统正常稳定运行。</w:t>
            </w:r>
          </w:p>
          <w:p w14:paraId="373F78FD">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2.涉及网络安全及安全修复。</w:t>
            </w:r>
          </w:p>
          <w:p w14:paraId="7A3B0A16">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二、维护范围：雅安市雨城区人民医院·雅安市第二人民医院、雅安市雨城区妇幼保健院、西城街道社区卫生服务中心、东城街道社区卫生服务中心、河北街道社区卫生服务中心、青江街道社区卫生服务中心、大兴社区卫生服务中心、草坝镇中心卫生院、上里镇中心卫生院、碧峰峡镇中心卫生院、望鱼镇中心卫生院、多营镇中心卫生院、周公山镇中心卫生院、晏场镇中心卫生院、八步镇中心卫生院等12个医疗机构区域协同平台使用。</w:t>
            </w:r>
          </w:p>
          <w:p w14:paraId="6D3DDB1D">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三、服务内容</w:t>
            </w:r>
          </w:p>
          <w:p w14:paraId="18185977">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1.软件日常运行维护，处理日常售后问题；</w:t>
            </w:r>
            <w:r>
              <w:rPr>
                <w:rFonts w:hint="eastAsia" w:ascii="宋体" w:hAnsi="宋体" w:eastAsia="宋体" w:cs="宋体"/>
                <w:sz w:val="21"/>
                <w:szCs w:val="21"/>
                <w:vertAlign w:val="baseline"/>
                <w:lang w:val="en-US" w:eastAsia="zh-CN"/>
              </w:rPr>
              <w:br w:type="textWrapping"/>
            </w:r>
            <w:r>
              <w:rPr>
                <w:rFonts w:hint="eastAsia" w:ascii="宋体" w:hAnsi="宋体" w:eastAsia="宋体" w:cs="宋体"/>
                <w:sz w:val="21"/>
                <w:szCs w:val="21"/>
                <w:vertAlign w:val="baseline"/>
                <w:lang w:val="en-US" w:eastAsia="zh-CN"/>
              </w:rPr>
              <w:t>2.日常业务流程问题咨询；</w:t>
            </w:r>
          </w:p>
          <w:p w14:paraId="1F7EAD93">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3.使用培训指导；</w:t>
            </w:r>
            <w:r>
              <w:rPr>
                <w:rFonts w:hint="eastAsia" w:ascii="宋体" w:hAnsi="宋体" w:eastAsia="宋体" w:cs="宋体"/>
                <w:sz w:val="21"/>
                <w:szCs w:val="21"/>
                <w:vertAlign w:val="baseline"/>
                <w:lang w:val="en-US" w:eastAsia="zh-CN"/>
              </w:rPr>
              <w:br w:type="textWrapping"/>
            </w:r>
            <w:r>
              <w:rPr>
                <w:rFonts w:hint="eastAsia" w:ascii="宋体" w:hAnsi="宋体" w:eastAsia="宋体" w:cs="宋体"/>
                <w:sz w:val="21"/>
                <w:szCs w:val="21"/>
                <w:vertAlign w:val="baseline"/>
                <w:lang w:val="en-US" w:eastAsia="zh-CN"/>
              </w:rPr>
              <w:t>4.医院重大、疑难问题收集、整理、反馈。</w:t>
            </w:r>
          </w:p>
          <w:p w14:paraId="64338E2A">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5.对接医院、医共体中心的专项人员等，沟通协调事务；</w:t>
            </w:r>
            <w:r>
              <w:rPr>
                <w:rFonts w:hint="eastAsia" w:ascii="宋体" w:hAnsi="宋体" w:eastAsia="宋体" w:cs="宋体"/>
                <w:sz w:val="21"/>
                <w:szCs w:val="21"/>
                <w:vertAlign w:val="baseline"/>
                <w:lang w:val="en-US" w:eastAsia="zh-CN"/>
              </w:rPr>
              <w:br w:type="textWrapping"/>
            </w:r>
            <w:r>
              <w:rPr>
                <w:rFonts w:hint="eastAsia" w:ascii="宋体" w:hAnsi="宋体" w:eastAsia="宋体" w:cs="宋体"/>
                <w:sz w:val="21"/>
                <w:szCs w:val="21"/>
                <w:vertAlign w:val="baseline"/>
                <w:lang w:val="en-US" w:eastAsia="zh-CN"/>
              </w:rPr>
              <w:t>6.对接研发部，医共体平台专项技术支持；</w:t>
            </w:r>
          </w:p>
          <w:p w14:paraId="02DE1AC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7.医院重点需求/BUG验证、登记、反馈及跟踪处理；</w:t>
            </w:r>
          </w:p>
          <w:p w14:paraId="5894CE9B">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8.第三方接口技术咨询分析；</w:t>
            </w:r>
          </w:p>
          <w:p w14:paraId="2DAED07D">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9.重大业务数据问题处理、数据库安全巡检及技术支持；</w:t>
            </w:r>
          </w:p>
          <w:p w14:paraId="05225FF1">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10.重大事务协调、统筹、汇报工作；</w:t>
            </w:r>
          </w:p>
          <w:p w14:paraId="0DCF6386">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11.医院服务巡检、年度服务报告;</w:t>
            </w:r>
          </w:p>
          <w:p w14:paraId="74DE7680">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sz w:val="21"/>
                <w:szCs w:val="21"/>
                <w:vertAlign w:val="baseline"/>
                <w:lang w:val="en-US" w:eastAsia="zh-CN"/>
              </w:rPr>
              <w:t>12.完成接口开发及调</w:t>
            </w:r>
            <w:r>
              <w:rPr>
                <w:rFonts w:hint="eastAsia" w:ascii="宋体" w:hAnsi="宋体" w:eastAsia="宋体" w:cs="宋体"/>
                <w:color w:val="auto"/>
                <w:sz w:val="21"/>
                <w:szCs w:val="21"/>
                <w:vertAlign w:val="baseline"/>
                <w:lang w:val="en-US" w:eastAsia="zh-CN"/>
              </w:rPr>
              <w:t>试、部署、测试以及后续接口问题整改和维护；</w:t>
            </w:r>
          </w:p>
          <w:p w14:paraId="12867D2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13.至少年度回访，以及回访问题跟踪与服务。</w:t>
            </w:r>
          </w:p>
          <w:p w14:paraId="5D010B2D">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14.包含所有涉及与区域协同平台接口对接，不涉及额外费用。</w:t>
            </w:r>
          </w:p>
          <w:p w14:paraId="53FA06E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四、售后方式</w:t>
            </w:r>
          </w:p>
          <w:p w14:paraId="6A4B4200">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1.电话支持服务</w:t>
            </w:r>
          </w:p>
          <w:p w14:paraId="499E6B95">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支持24小时售后服务，处理软件问题；服务响应时间：7*24小时。</w:t>
            </w:r>
          </w:p>
          <w:p w14:paraId="2798324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2.网络远程服务</w:t>
            </w:r>
          </w:p>
          <w:p w14:paraId="278368E1">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color w:val="auto"/>
                <w:sz w:val="21"/>
                <w:szCs w:val="21"/>
                <w:vertAlign w:val="baseline"/>
                <w:lang w:val="en-US" w:eastAsia="zh-CN"/>
              </w:rPr>
              <w:t>技术工程师通过远程对出现的故障进行</w:t>
            </w:r>
            <w:r>
              <w:rPr>
                <w:rFonts w:hint="eastAsia" w:ascii="宋体" w:hAnsi="宋体" w:eastAsia="宋体" w:cs="宋体"/>
                <w:sz w:val="21"/>
                <w:szCs w:val="21"/>
                <w:vertAlign w:val="baseline"/>
                <w:lang w:val="en-US" w:eastAsia="zh-CN"/>
              </w:rPr>
              <w:t>诊断、分析、解决。为确保系统的安全。</w:t>
            </w:r>
          </w:p>
          <w:p w14:paraId="6EEEC1F1">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服务响应时间：7*8小时。</w:t>
            </w:r>
          </w:p>
          <w:p w14:paraId="3DCA207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3.软件故障现场处理</w:t>
            </w:r>
          </w:p>
          <w:p w14:paraId="50E40430">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针对电话、远程解决不了，需派服务工程师现场处理，然后根据问题紧急程度分级现场处理。</w:t>
            </w:r>
          </w:p>
        </w:tc>
      </w:tr>
      <w:tr w14:paraId="7ED98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5F0E4D9">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w:t>
            </w:r>
          </w:p>
        </w:tc>
        <w:tc>
          <w:tcPr>
            <w:tcW w:w="0" w:type="auto"/>
            <w:vAlign w:val="center"/>
          </w:tcPr>
          <w:p w14:paraId="0B909150">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短信费用</w:t>
            </w:r>
          </w:p>
        </w:tc>
        <w:tc>
          <w:tcPr>
            <w:tcW w:w="0" w:type="auto"/>
            <w:vAlign w:val="center"/>
          </w:tcPr>
          <w:p w14:paraId="047CB600">
            <w:pPr>
              <w:pStyle w:val="10"/>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1.短信平台与健康管理中心中科体检系统进行对接，实现查询报告，预约体检，查询体检卡余额使用中的验证码发送，及体检信息短信推送等（短信对接费包含在报价中）。</w:t>
            </w:r>
          </w:p>
          <w:p w14:paraId="4D6B9FFE">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kern w:val="2"/>
                <w:sz w:val="21"/>
                <w:szCs w:val="21"/>
                <w:vertAlign w:val="baseline"/>
                <w:lang w:val="en-US" w:eastAsia="zh-CN" w:bidi="ar-SA"/>
              </w:rPr>
              <w:t>2.为医院体检患者提供体检相关信息短信推送服务，包含短信条数不低于7万条（短信条数年底未使用完不会清零）。</w:t>
            </w:r>
          </w:p>
        </w:tc>
      </w:tr>
      <w:tr w14:paraId="6B15C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89142F9">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8</w:t>
            </w:r>
          </w:p>
        </w:tc>
        <w:tc>
          <w:tcPr>
            <w:tcW w:w="0" w:type="auto"/>
            <w:vAlign w:val="center"/>
          </w:tcPr>
          <w:p w14:paraId="421ADB64">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金沙老年医学科床头卡及呼叫屏维护服务</w:t>
            </w:r>
          </w:p>
        </w:tc>
        <w:tc>
          <w:tcPr>
            <w:tcW w:w="0" w:type="auto"/>
            <w:vAlign w:val="center"/>
          </w:tcPr>
          <w:p w14:paraId="4F28A09A">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一、项目概述</w:t>
            </w:r>
          </w:p>
          <w:p w14:paraId="7DAF3A34">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1.保障所运维信息系统网络数据安全以及系统正常稳定运行。</w:t>
            </w:r>
          </w:p>
          <w:p w14:paraId="69812945">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2.涉及网络安全及安全修复。</w:t>
            </w:r>
          </w:p>
          <w:p w14:paraId="60197538">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二、项目概述</w:t>
            </w:r>
          </w:p>
          <w:p w14:paraId="7DFFA9B9">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服务目标：确保系统7×24小时稳定运行，故障响应及时，保障患者安全与医疗秩序</w:t>
            </w:r>
          </w:p>
          <w:p w14:paraId="77CA5569">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三、维保服务范围</w:t>
            </w:r>
          </w:p>
          <w:p w14:paraId="5E4D266B">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lang w:eastAsia="zh-CN"/>
              </w:rPr>
              <w:t>系统设备清单</w:t>
            </w:r>
          </w:p>
          <w:p w14:paraId="2BFE6DAA">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设备类型 数量 安装位置 备注</w:t>
            </w:r>
          </w:p>
          <w:p w14:paraId="034F5D53">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 xml:space="preserve">床头分机 </w:t>
            </w:r>
            <w:r>
              <w:rPr>
                <w:rFonts w:hint="eastAsia" w:ascii="宋体" w:hAnsi="宋体" w:eastAsia="宋体" w:cs="宋体"/>
                <w:sz w:val="21"/>
                <w:szCs w:val="21"/>
                <w:vertAlign w:val="baseline"/>
                <w:lang w:val="en-US" w:eastAsia="zh-CN"/>
              </w:rPr>
              <w:t>289</w:t>
            </w:r>
            <w:r>
              <w:rPr>
                <w:rFonts w:hint="eastAsia" w:ascii="宋体" w:hAnsi="宋体" w:eastAsia="宋体" w:cs="宋体"/>
                <w:sz w:val="21"/>
                <w:szCs w:val="21"/>
                <w:vertAlign w:val="baseline"/>
                <w:lang w:eastAsia="zh-CN"/>
              </w:rPr>
              <w:t>台 各病床床头 含呼叫按钮、对讲功能</w:t>
            </w:r>
          </w:p>
          <w:p w14:paraId="208983F5">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门口分机 95台  每个病房门口分机。</w:t>
            </w:r>
          </w:p>
          <w:p w14:paraId="5E200479">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 xml:space="preserve">护士站主机 </w:t>
            </w:r>
            <w:r>
              <w:rPr>
                <w:rFonts w:hint="eastAsia" w:ascii="宋体" w:hAnsi="宋体" w:eastAsia="宋体" w:cs="宋体"/>
                <w:sz w:val="21"/>
                <w:szCs w:val="21"/>
                <w:vertAlign w:val="baseline"/>
                <w:lang w:val="en-US" w:eastAsia="zh-CN"/>
              </w:rPr>
              <w:t>6</w:t>
            </w:r>
            <w:r>
              <w:rPr>
                <w:rFonts w:hint="eastAsia" w:ascii="宋体" w:hAnsi="宋体" w:eastAsia="宋体" w:cs="宋体"/>
                <w:sz w:val="21"/>
                <w:szCs w:val="21"/>
                <w:vertAlign w:val="baseline"/>
                <w:lang w:eastAsia="zh-CN"/>
              </w:rPr>
              <w:t>台 护士站 主控设备</w:t>
            </w:r>
          </w:p>
          <w:p w14:paraId="4531999A">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 xml:space="preserve">走廊显示屏 </w:t>
            </w:r>
            <w:r>
              <w:rPr>
                <w:rFonts w:hint="eastAsia" w:ascii="宋体" w:hAnsi="宋体" w:eastAsia="宋体" w:cs="宋体"/>
                <w:sz w:val="21"/>
                <w:szCs w:val="21"/>
                <w:vertAlign w:val="baseline"/>
                <w:lang w:val="en-US" w:eastAsia="zh-CN"/>
              </w:rPr>
              <w:t>6</w:t>
            </w:r>
            <w:r>
              <w:rPr>
                <w:rFonts w:hint="eastAsia" w:ascii="宋体" w:hAnsi="宋体" w:eastAsia="宋体" w:cs="宋体"/>
                <w:sz w:val="21"/>
                <w:szCs w:val="21"/>
                <w:vertAlign w:val="baseline"/>
                <w:lang w:eastAsia="zh-CN"/>
              </w:rPr>
              <w:t>块 病区走廊 显示呼叫信息</w:t>
            </w:r>
          </w:p>
          <w:p w14:paraId="3B8E36E9">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 xml:space="preserve">卫生间紧急按钮 </w:t>
            </w:r>
            <w:r>
              <w:rPr>
                <w:rFonts w:hint="eastAsia" w:ascii="宋体" w:hAnsi="宋体" w:eastAsia="宋体" w:cs="宋体"/>
                <w:sz w:val="21"/>
                <w:szCs w:val="21"/>
                <w:vertAlign w:val="baseline"/>
                <w:lang w:val="en-US" w:eastAsia="zh-CN"/>
              </w:rPr>
              <w:t>95</w:t>
            </w:r>
            <w:r>
              <w:rPr>
                <w:rFonts w:hint="eastAsia" w:ascii="宋体" w:hAnsi="宋体" w:eastAsia="宋体" w:cs="宋体"/>
                <w:sz w:val="21"/>
                <w:szCs w:val="21"/>
                <w:vertAlign w:val="baseline"/>
                <w:lang w:eastAsia="zh-CN"/>
              </w:rPr>
              <w:t>个 卫生间 紧急呼叫装置</w:t>
            </w:r>
          </w:p>
          <w:p w14:paraId="61261260">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 xml:space="preserve">系统主机/服务器 </w:t>
            </w: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lang w:eastAsia="zh-CN"/>
              </w:rPr>
              <w:t>套 机房 核心控制设备</w:t>
            </w:r>
          </w:p>
          <w:p w14:paraId="0F58736F">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线缆及配件 若干 全系统 包括网线、电源线等</w:t>
            </w:r>
          </w:p>
          <w:p w14:paraId="769D98CF">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服务内容</w:t>
            </w:r>
          </w:p>
          <w:p w14:paraId="033D5CA4">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日常巡检：每</w:t>
            </w:r>
            <w:r>
              <w:rPr>
                <w:rFonts w:hint="eastAsia" w:ascii="宋体" w:hAnsi="宋体" w:eastAsia="宋体" w:cs="宋体"/>
                <w:sz w:val="21"/>
                <w:szCs w:val="21"/>
                <w:vertAlign w:val="baseline"/>
                <w:lang w:val="en-US" w:eastAsia="zh-CN"/>
              </w:rPr>
              <w:t>半年至</w:t>
            </w:r>
            <w:r>
              <w:rPr>
                <w:rFonts w:hint="eastAsia" w:ascii="宋体" w:hAnsi="宋体" w:eastAsia="宋体" w:cs="宋体"/>
                <w:sz w:val="21"/>
                <w:szCs w:val="21"/>
                <w:vertAlign w:val="baseline"/>
                <w:lang w:eastAsia="zh-CN"/>
              </w:rPr>
              <w:t>少1次全面巡检，检查设备运行状态</w:t>
            </w:r>
          </w:p>
          <w:p w14:paraId="662342E7">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定期保养：每</w:t>
            </w:r>
            <w:r>
              <w:rPr>
                <w:rFonts w:hint="eastAsia" w:ascii="宋体" w:hAnsi="宋体" w:eastAsia="宋体" w:cs="宋体"/>
                <w:sz w:val="21"/>
                <w:szCs w:val="21"/>
                <w:vertAlign w:val="baseline"/>
                <w:lang w:val="en-US" w:eastAsia="zh-CN"/>
              </w:rPr>
              <w:t>年</w:t>
            </w:r>
            <w:r>
              <w:rPr>
                <w:rFonts w:hint="eastAsia" w:ascii="宋体" w:hAnsi="宋体" w:eastAsia="宋体" w:cs="宋体"/>
                <w:sz w:val="21"/>
                <w:szCs w:val="21"/>
                <w:vertAlign w:val="baseline"/>
                <w:lang w:eastAsia="zh-CN"/>
              </w:rPr>
              <w:t>1次深度维护，包括清洁、参数校准、软件更新（</w:t>
            </w:r>
            <w:r>
              <w:rPr>
                <w:rFonts w:hint="eastAsia" w:ascii="宋体" w:hAnsi="宋体" w:eastAsia="宋体" w:cs="宋体"/>
                <w:sz w:val="21"/>
                <w:szCs w:val="21"/>
                <w:vertAlign w:val="baseline"/>
                <w:lang w:val="en-US" w:eastAsia="zh-CN"/>
              </w:rPr>
              <w:t>如有</w:t>
            </w:r>
            <w:r>
              <w:rPr>
                <w:rFonts w:hint="eastAsia" w:ascii="宋体" w:hAnsi="宋体" w:eastAsia="宋体" w:cs="宋体"/>
                <w:sz w:val="21"/>
                <w:szCs w:val="21"/>
                <w:vertAlign w:val="baseline"/>
                <w:lang w:eastAsia="zh-CN"/>
              </w:rPr>
              <w:t>）。</w:t>
            </w:r>
          </w:p>
          <w:p w14:paraId="098F4A3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应急响应：故障报修后响应时间要求（见响应标准）</w:t>
            </w:r>
          </w:p>
          <w:p w14:paraId="2FB96D4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备件更换：易损件更换、老化设备更换建议</w:t>
            </w:r>
          </w:p>
          <w:p w14:paraId="5CFE48A6">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四、维保服务标准</w:t>
            </w:r>
          </w:p>
          <w:p w14:paraId="55F3003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lang w:eastAsia="zh-CN"/>
              </w:rPr>
              <w:t>响应时间要求</w:t>
            </w:r>
          </w:p>
          <w:p w14:paraId="7C4996F8">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故障级别定义响应时间修复时间要求</w:t>
            </w:r>
          </w:p>
          <w:p w14:paraId="7D73F254">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一级故障系统瘫痪，影响医疗安全</w:t>
            </w:r>
            <w:r>
              <w:rPr>
                <w:rFonts w:hint="eastAsia" w:ascii="宋体" w:hAnsi="宋体" w:eastAsia="宋体" w:cs="宋体"/>
                <w:sz w:val="21"/>
                <w:szCs w:val="21"/>
                <w:vertAlign w:val="baseline"/>
                <w:lang w:val="en-US" w:eastAsia="zh-CN"/>
              </w:rPr>
              <w:t>1小时</w:t>
            </w:r>
            <w:r>
              <w:rPr>
                <w:rFonts w:hint="eastAsia" w:ascii="宋体" w:hAnsi="宋体" w:eastAsia="宋体" w:cs="宋体"/>
                <w:sz w:val="21"/>
                <w:szCs w:val="21"/>
                <w:vertAlign w:val="baseline"/>
                <w:lang w:eastAsia="zh-CN"/>
              </w:rPr>
              <w:t>内响应，</w:t>
            </w: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lang w:eastAsia="zh-CN"/>
              </w:rPr>
              <w:t xml:space="preserve">2小时内到场 </w:t>
            </w: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4小时内修复</w:t>
            </w:r>
          </w:p>
          <w:p w14:paraId="242E470D">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二级故障 部分功能失效，影响使用</w:t>
            </w: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分钟内响应，</w:t>
            </w: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 xml:space="preserve">4小时内到场 </w:t>
            </w:r>
            <w:r>
              <w:rPr>
                <w:rFonts w:hint="eastAsia" w:ascii="宋体" w:hAnsi="宋体" w:eastAsia="宋体" w:cs="宋体"/>
                <w:sz w:val="21"/>
                <w:szCs w:val="21"/>
                <w:vertAlign w:val="baseline"/>
                <w:lang w:val="en-US" w:eastAsia="zh-CN"/>
              </w:rPr>
              <w:t>4</w:t>
            </w:r>
            <w:r>
              <w:rPr>
                <w:rFonts w:hint="eastAsia" w:ascii="宋体" w:hAnsi="宋体" w:eastAsia="宋体" w:cs="宋体"/>
                <w:sz w:val="21"/>
                <w:szCs w:val="21"/>
                <w:vertAlign w:val="baseline"/>
                <w:lang w:eastAsia="zh-CN"/>
              </w:rPr>
              <w:t>8小时内修复</w:t>
            </w:r>
          </w:p>
          <w:p w14:paraId="3EF5E9AE">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三级故障 单点设备故障，不影响整体 2小时内响应，</w:t>
            </w:r>
            <w:r>
              <w:rPr>
                <w:rFonts w:hint="eastAsia" w:ascii="宋体" w:hAnsi="宋体" w:eastAsia="宋体" w:cs="宋体"/>
                <w:sz w:val="21"/>
                <w:szCs w:val="21"/>
                <w:vertAlign w:val="baseline"/>
                <w:lang w:val="en-US" w:eastAsia="zh-CN"/>
              </w:rPr>
              <w:t>24</w:t>
            </w:r>
            <w:r>
              <w:rPr>
                <w:rFonts w:hint="eastAsia" w:ascii="宋体" w:hAnsi="宋体" w:eastAsia="宋体" w:cs="宋体"/>
                <w:sz w:val="21"/>
                <w:szCs w:val="21"/>
                <w:vertAlign w:val="baseline"/>
                <w:lang w:eastAsia="zh-CN"/>
              </w:rPr>
              <w:t xml:space="preserve">小时内到场 </w:t>
            </w:r>
            <w:r>
              <w:rPr>
                <w:rFonts w:hint="eastAsia" w:ascii="宋体" w:hAnsi="宋体" w:eastAsia="宋体" w:cs="宋体"/>
                <w:sz w:val="21"/>
                <w:szCs w:val="21"/>
                <w:vertAlign w:val="baseline"/>
                <w:lang w:val="en-US" w:eastAsia="zh-CN"/>
              </w:rPr>
              <w:t>48</w:t>
            </w:r>
            <w:r>
              <w:rPr>
                <w:rFonts w:hint="eastAsia" w:ascii="宋体" w:hAnsi="宋体" w:eastAsia="宋体" w:cs="宋体"/>
                <w:sz w:val="21"/>
                <w:szCs w:val="21"/>
                <w:vertAlign w:val="baseline"/>
                <w:lang w:eastAsia="zh-CN"/>
              </w:rPr>
              <w:t>小时内修复</w:t>
            </w:r>
          </w:p>
          <w:p w14:paraId="5181A1E9">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 xml:space="preserve"> 服务时间</w:t>
            </w:r>
          </w:p>
          <w:p w14:paraId="3982D36A">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常规服务：工作日8:30-17:30</w:t>
            </w:r>
          </w:p>
          <w:p w14:paraId="434CD558">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紧急服务：7×24小时响应（一级故障）</w:t>
            </w:r>
          </w:p>
          <w:p w14:paraId="4A529518">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节假日服务：安排值班人员，响应时间适当延长</w:t>
            </w:r>
          </w:p>
          <w:p w14:paraId="2267DA7A">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3.</w:t>
            </w:r>
            <w:r>
              <w:rPr>
                <w:rFonts w:hint="eastAsia" w:ascii="宋体" w:hAnsi="宋体" w:eastAsia="宋体" w:cs="宋体"/>
                <w:sz w:val="21"/>
                <w:szCs w:val="21"/>
                <w:vertAlign w:val="baseline"/>
                <w:lang w:eastAsia="zh-CN"/>
              </w:rPr>
              <w:t>服务质量指标</w:t>
            </w:r>
          </w:p>
          <w:p w14:paraId="611F128B">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系统可用性≥99.5%</w:t>
            </w:r>
          </w:p>
          <w:p w14:paraId="17110CB7">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故障修复率≥98%</w:t>
            </w:r>
          </w:p>
          <w:p w14:paraId="750BD4AB">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用户满意度≥95%</w:t>
            </w:r>
          </w:p>
          <w:p w14:paraId="41002855">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巡检完成率100%</w:t>
            </w:r>
          </w:p>
          <w:p w14:paraId="48B16DB2">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五、维保人员要求</w:t>
            </w:r>
          </w:p>
          <w:p w14:paraId="561E8587">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lang w:eastAsia="zh-CN"/>
              </w:rPr>
              <w:t>人员配置</w:t>
            </w:r>
          </w:p>
          <w:p w14:paraId="449CC411">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项目负责人</w:t>
            </w:r>
            <w:r>
              <w:rPr>
                <w:rFonts w:hint="eastAsia" w:ascii="宋体" w:hAnsi="宋体" w:eastAsia="宋体" w:cs="宋体"/>
                <w:sz w:val="21"/>
                <w:szCs w:val="21"/>
                <w:vertAlign w:val="baseline"/>
                <w:lang w:eastAsia="zh-CN"/>
              </w:rPr>
              <w:t>：1名（熟悉医院环境）</w:t>
            </w:r>
          </w:p>
          <w:p w14:paraId="2E4FC680">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技术支持团队：3-5人至少1名工程师熟悉医院呼叫系统业务</w:t>
            </w:r>
          </w:p>
          <w:p w14:paraId="23F90B53">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培训要求</w:t>
            </w:r>
          </w:p>
          <w:p w14:paraId="36B51662">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每年至少对医院操作人员进行1次培训</w:t>
            </w:r>
          </w:p>
          <w:p w14:paraId="1364D6BD">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提供操作手册、常见故障处理指南</w:t>
            </w:r>
          </w:p>
          <w:p w14:paraId="7908161E">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建立微信/电话技术支持群</w:t>
            </w:r>
          </w:p>
          <w:p w14:paraId="445E60A0">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六、备品备件管理</w:t>
            </w:r>
          </w:p>
          <w:p w14:paraId="02B3B85E">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lang w:eastAsia="zh-CN"/>
              </w:rPr>
              <w:t>备件储备</w:t>
            </w:r>
          </w:p>
          <w:p w14:paraId="340B2F54">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制定备件存贮计划。</w:t>
            </w:r>
          </w:p>
          <w:p w14:paraId="57516AAD">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备件更换原则</w:t>
            </w:r>
          </w:p>
          <w:p w14:paraId="57C97941">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免费更换：质保期内非人为损坏</w:t>
            </w:r>
          </w:p>
          <w:p w14:paraId="19BB2871">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有偿更换：超出质保期或人为损坏</w:t>
            </w:r>
          </w:p>
          <w:p w14:paraId="1699BDC9">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七、文档管理要求</w:t>
            </w:r>
          </w:p>
          <w:p w14:paraId="79FDA723">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lang w:eastAsia="zh-CN"/>
              </w:rPr>
              <w:t>服务记录</w:t>
            </w:r>
          </w:p>
          <w:p w14:paraId="070955DF">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巡检记录表（每次巡检后提交）</w:t>
            </w:r>
          </w:p>
          <w:p w14:paraId="1A7BDCD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故障处理记录（含故障描述、处理过程、修复时间）</w:t>
            </w:r>
          </w:p>
          <w:p w14:paraId="7D8A92B5">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备件更换记录（更换时间、原因）</w:t>
            </w:r>
          </w:p>
          <w:p w14:paraId="7D92DE55">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系统优化建议报告（每半年提交）</w:t>
            </w:r>
          </w:p>
          <w:p w14:paraId="30AA8A82">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报告要求</w:t>
            </w:r>
          </w:p>
          <w:p w14:paraId="08CE3494">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年度总结报告（全年服务总结、下年度建议）</w:t>
            </w:r>
          </w:p>
        </w:tc>
      </w:tr>
      <w:tr w14:paraId="44CC1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BF27C1C">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9</w:t>
            </w:r>
          </w:p>
        </w:tc>
        <w:tc>
          <w:tcPr>
            <w:tcW w:w="0" w:type="auto"/>
            <w:vAlign w:val="center"/>
          </w:tcPr>
          <w:p w14:paraId="1A8174A2">
            <w:pPr>
              <w:keepNext w:val="0"/>
              <w:keepLines w:val="0"/>
              <w:pageBreakBefore w:val="0"/>
              <w:widowControl w:val="0"/>
              <w:kinsoku/>
              <w:wordWrap/>
              <w:overflowPunct/>
              <w:topLinePunct w:val="0"/>
              <w:autoSpaceDE/>
              <w:autoSpaceDN/>
              <w:bidi w:val="0"/>
              <w:spacing w:line="240" w:lineRule="exact"/>
              <w:jc w:val="center"/>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南三路门诊、超声叫号屏维护服务</w:t>
            </w:r>
          </w:p>
        </w:tc>
        <w:tc>
          <w:tcPr>
            <w:tcW w:w="0" w:type="auto"/>
            <w:vAlign w:val="center"/>
          </w:tcPr>
          <w:p w14:paraId="4793D576">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一、项目概述</w:t>
            </w:r>
          </w:p>
          <w:p w14:paraId="7D9DE7FA">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1.保障所运维信息系统网络数据安全以及系统正常稳定运行。</w:t>
            </w:r>
          </w:p>
          <w:p w14:paraId="1C1D6DD1">
            <w:pPr>
              <w:keepNext w:val="0"/>
              <w:keepLines w:val="0"/>
              <w:pageBreakBefore w:val="0"/>
              <w:widowControl w:val="0"/>
              <w:kinsoku/>
              <w:wordWrap/>
              <w:overflowPunct/>
              <w:topLinePunct w:val="0"/>
              <w:autoSpaceDE/>
              <w:autoSpaceDN/>
              <w:bidi w:val="0"/>
              <w:spacing w:line="240" w:lineRule="exact"/>
              <w:jc w:val="both"/>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2.涉及网络安全及安全修复。</w:t>
            </w:r>
          </w:p>
          <w:p w14:paraId="216DC1BE">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z w:val="21"/>
                <w:szCs w:val="21"/>
                <w:vertAlign w:val="baseline"/>
                <w:lang w:eastAsia="zh-CN"/>
              </w:rPr>
              <w:t>二、</w:t>
            </w:r>
            <w:r>
              <w:rPr>
                <w:rFonts w:hint="eastAsia" w:ascii="宋体" w:hAnsi="宋体" w:eastAsia="宋体" w:cs="宋体"/>
                <w:b/>
                <w:bCs/>
                <w:sz w:val="21"/>
                <w:szCs w:val="21"/>
                <w:vertAlign w:val="baseline"/>
                <w:lang w:eastAsia="zh-CN"/>
              </w:rPr>
              <w:t>维</w:t>
            </w:r>
            <w:r>
              <w:rPr>
                <w:rFonts w:hint="eastAsia" w:ascii="宋体" w:hAnsi="宋体" w:eastAsia="宋体" w:cs="宋体"/>
                <w:b/>
                <w:bCs/>
                <w:kern w:val="2"/>
                <w:sz w:val="21"/>
                <w:szCs w:val="21"/>
                <w:vertAlign w:val="baseline"/>
                <w:lang w:val="en-US" w:eastAsia="zh-CN" w:bidi="ar-SA"/>
              </w:rPr>
              <w:t>护服务</w:t>
            </w:r>
          </w:p>
          <w:p w14:paraId="71BF9977">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1.定期巡检与保养服务</w:t>
            </w:r>
          </w:p>
          <w:p w14:paraId="5E6F615D">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1.1服务频次：每年不低于2次设备巡视维护。</w:t>
            </w:r>
          </w:p>
          <w:p w14:paraId="5EFB70A4">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1.2服务内容：设备运行状态全面检查；硬件功能测试与评估；软件系统运行状况检测；显示屏清晰度、触控灵敏度等性能测试；电源供应稳定性检查；网络连接质量评估。</w:t>
            </w:r>
          </w:p>
          <w:p w14:paraId="6F1D3EC2">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1.3服务报告：每次巡检后出具书面巡检报告。</w:t>
            </w:r>
          </w:p>
          <w:p w14:paraId="4FFD89FE">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2.定期保养与安全检测</w:t>
            </w:r>
          </w:p>
          <w:p w14:paraId="4CA3B64E">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2.1服务频次：每年提供至少2次全面保养和安全检测</w:t>
            </w:r>
          </w:p>
          <w:p w14:paraId="23B362A2">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2.2服务内容：设备内部除尘清洁；屏幕表面清洁与护理；</w:t>
            </w:r>
          </w:p>
          <w:p w14:paraId="0E8D75E0">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接口连接器检查与紧固；壁挂/吊挂装置安全性检查；</w:t>
            </w:r>
          </w:p>
          <w:p w14:paraId="7FC85666">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电源线路安全检测；设备固件/系统软件更新。</w:t>
            </w:r>
          </w:p>
          <w:p w14:paraId="6FCF00B8">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3.软件维护服务</w:t>
            </w:r>
          </w:p>
          <w:p w14:paraId="735B90C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3.1系统软件维护</w:t>
            </w:r>
          </w:p>
          <w:p w14:paraId="6ABF1ACC">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服务内容：门诊二次分诊系统版本维护与更新；设备驱动程序更新；显示管理软件维护；分屏显示功能维护；定时开关机功能维护；内容下载与播放系统维护。</w:t>
            </w:r>
          </w:p>
          <w:p w14:paraId="4073EE0F">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3.2系统对接服务</w:t>
            </w:r>
          </w:p>
          <w:p w14:paraId="3A808925">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服务内容：其他软件系统与本项目设备的对接工作。</w:t>
            </w:r>
          </w:p>
          <w:p w14:paraId="701A2628">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服务费用：免费配合对接，不收取任何费用。</w:t>
            </w:r>
          </w:p>
          <w:p w14:paraId="3636C4F1">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3.3系统升级服务</w:t>
            </w:r>
          </w:p>
          <w:p w14:paraId="29DEEBCE">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服务内容：系统软件功能升级；安全补丁更新；兼容性升级；免费升级。</w:t>
            </w:r>
          </w:p>
          <w:p w14:paraId="3CE17BEC">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4.配件耗材供应服务</w:t>
            </w:r>
          </w:p>
          <w:p w14:paraId="315BD5CA">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4.1零配件供应保障</w:t>
            </w:r>
          </w:p>
          <w:p w14:paraId="2B25840B">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供应期限：如设备停产，乙方保证停产后3年内对设备零配件供应。</w:t>
            </w:r>
          </w:p>
          <w:p w14:paraId="594775C8">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供货时效：甲方需备件时，乙方送达期限不超过10天。</w:t>
            </w:r>
          </w:p>
          <w:p w14:paraId="257E670E">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4.2常规备品备件</w:t>
            </w:r>
          </w:p>
          <w:p w14:paraId="7D443F0D">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交货时提供：乙方在设备交货时向甲方提供常规备品备件。</w:t>
            </w:r>
          </w:p>
          <w:p w14:paraId="13CE337F">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备件清单：常用电路板备件；显示屏连接线缆；电源适配器；USB连接线；安装固定件；</w:t>
            </w:r>
          </w:p>
          <w:p w14:paraId="00567A15">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5.培训与技术支持服务</w:t>
            </w:r>
          </w:p>
          <w:p w14:paraId="10962F61">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5.1操作培训服务</w:t>
            </w:r>
          </w:p>
          <w:p w14:paraId="042F35FC">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培训内容：设备的性能与原理讲解；标准操作流程培训；</w:t>
            </w:r>
          </w:p>
          <w:p w14:paraId="286C8DC9">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日常保养方法培训；简单故障排除培训。</w:t>
            </w:r>
          </w:p>
          <w:p w14:paraId="678815D5">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培训目标：达到甲方可独立使用的熟练程度</w:t>
            </w:r>
          </w:p>
          <w:p w14:paraId="6ABA86F6">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5.2技术咨询服务</w:t>
            </w:r>
          </w:p>
          <w:p w14:paraId="10D86B81">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服务内容：培训后免费提供持续技术咨询服务</w:t>
            </w:r>
          </w:p>
          <w:p w14:paraId="3531EEAB">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服务方式：专人负责售后服务联系；提供固定售后服务电话。</w:t>
            </w:r>
          </w:p>
          <w:p w14:paraId="56880765">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6.数据服务</w:t>
            </w:r>
          </w:p>
          <w:p w14:paraId="3B90934B">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6.1数据迁移服务</w:t>
            </w:r>
          </w:p>
          <w:p w14:paraId="346F89C6">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触发条件：双方停止合作时</w:t>
            </w:r>
          </w:p>
          <w:p w14:paraId="6CAA6571">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服务内容：数据免费导入新系统；保证新系统正常投入使用。</w:t>
            </w:r>
          </w:p>
          <w:p w14:paraId="0D6FBB8E">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三、维修服务</w:t>
            </w:r>
          </w:p>
          <w:p w14:paraId="127AE532">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1.上门维修服务</w:t>
            </w:r>
          </w:p>
          <w:p w14:paraId="0FB761E5">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响应时间：接到报修通知后24小时内到场，48小时内完成维修</w:t>
            </w:r>
          </w:p>
          <w:p w14:paraId="720C19C4">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服务内容： 硬件故障诊断与修复；系统软件故障排查与修复；显示屏故障维修；主板、芯片等核心部件维修或更换；</w:t>
            </w:r>
          </w:p>
          <w:p w14:paraId="426FABE2">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触摸屏失灵修复；音频系统故障排除；网络连接故障处理。</w:t>
            </w:r>
          </w:p>
          <w:p w14:paraId="5121DE6F">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 部件更换服务</w:t>
            </w:r>
          </w:p>
          <w:p w14:paraId="1B5F204B">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更换标准：设备需更换部件的，应在3个工作日内完成更换</w:t>
            </w:r>
          </w:p>
          <w:p w14:paraId="7C4E4B3F">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更换范围： 故障显示屏及显示模组；主板、电源板等核心电路板；存储设备（eMMC闪存）；内存模块；接口模块（USB、HDMI、音频接口）；扬声器/喇叭；内部散热风扇（如有）。</w:t>
            </w:r>
          </w:p>
          <w:p w14:paraId="03A20071">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四、服务保障承诺</w:t>
            </w:r>
          </w:p>
          <w:p w14:paraId="78F7AC90">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 质量保障</w:t>
            </w:r>
          </w:p>
          <w:p w14:paraId="50A41562">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维修后设备需达到合同约定的质量标准。</w:t>
            </w:r>
          </w:p>
          <w:p w14:paraId="41D54138">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经3次维修仍不能达到标准的，甲方有权要求更换设备。</w:t>
            </w:r>
          </w:p>
          <w:p w14:paraId="2D33DB69">
            <w:pPr>
              <w:keepNext w:val="0"/>
              <w:keepLines w:val="0"/>
              <w:pageBreakBefore w:val="0"/>
              <w:widowControl w:val="0"/>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 开机率保障</w:t>
            </w:r>
          </w:p>
          <w:p w14:paraId="39750B5C">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设备开机率标准：≥95%。</w:t>
            </w:r>
          </w:p>
          <w:p w14:paraId="5A419572">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开机率计算公式：实际开机天数/应开机天数。</w:t>
            </w:r>
          </w:p>
          <w:p w14:paraId="210F2C21">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开机率不达标的延长保修期标准：（应开机天数-实际开机天数）×5。</w:t>
            </w:r>
          </w:p>
          <w:p w14:paraId="2727BB57">
            <w:pPr>
              <w:keepNext w:val="0"/>
              <w:keepLines w:val="0"/>
              <w:pageBreakBefore w:val="0"/>
              <w:widowControl w:val="0"/>
              <w:numPr>
                <w:ilvl w:val="0"/>
                <w:numId w:val="2"/>
              </w:numPr>
              <w:tabs>
                <w:tab w:val="clear" w:pos="0"/>
              </w:tabs>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服务项目</w:t>
            </w:r>
          </w:p>
          <w:p w14:paraId="27B78EE2">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3.1定期巡检服务：每年2次设备巡视维护，每次含检测报告。</w:t>
            </w:r>
          </w:p>
          <w:p w14:paraId="50BFD84C">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3.2保养与安全检测：保养与安全检测。</w:t>
            </w:r>
          </w:p>
          <w:p w14:paraId="1F9226B4">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3.3上门维修服务：故障响应、诊断、修复。</w:t>
            </w:r>
          </w:p>
          <w:p w14:paraId="2FBD7AF2">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3.4部件更换费：更换故障零配件（核心部件）。</w:t>
            </w:r>
          </w:p>
          <w:p w14:paraId="09CA5770">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3.5软件维护更新：系统维护、升级、对接服务。</w:t>
            </w:r>
          </w:p>
          <w:p w14:paraId="32C48B46">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3.6技术培训咨询：操作培训、技术咨询服务。</w:t>
            </w:r>
          </w:p>
          <w:p w14:paraId="0C391095">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3.7备品备件供应：常规备件提供及3年零配件保障。</w:t>
            </w:r>
          </w:p>
          <w:p w14:paraId="1E0CB70C">
            <w:pPr>
              <w:keepNext w:val="0"/>
              <w:keepLines w:val="0"/>
              <w:pageBreakBefore w:val="0"/>
              <w:widowControl w:val="0"/>
              <w:numPr>
                <w:ilvl w:val="0"/>
                <w:numId w:val="0"/>
              </w:numPr>
              <w:kinsoku/>
              <w:wordWrap/>
              <w:overflowPunct/>
              <w:topLinePunct w:val="0"/>
              <w:autoSpaceDE/>
              <w:autoSpaceDN/>
              <w:bidi w:val="0"/>
              <w:spacing w:line="24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kern w:val="2"/>
                <w:sz w:val="21"/>
                <w:szCs w:val="21"/>
                <w:vertAlign w:val="baseline"/>
                <w:lang w:val="en-US" w:eastAsia="zh-CN" w:bidi="ar-SA"/>
              </w:rPr>
              <w:t>3.8数据迁移服务：合作终止时数据导入新系统。</w:t>
            </w:r>
          </w:p>
        </w:tc>
      </w:tr>
    </w:tbl>
    <w:p w14:paraId="1988A1C6">
      <w:pPr>
        <w:keepNext w:val="0"/>
        <w:keepLines w:val="0"/>
        <w:pageBreakBefore w:val="0"/>
        <w:widowControl w:val="0"/>
        <w:wordWrap/>
        <w:overflowPunct/>
        <w:topLinePunct w:val="0"/>
        <w:bidi w:val="0"/>
        <w:spacing w:line="480" w:lineRule="exact"/>
        <w:ind w:firstLine="482" w:firstLineChars="20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服务</w:t>
      </w:r>
      <w:r>
        <w:rPr>
          <w:rFonts w:hint="eastAsia" w:ascii="宋体" w:hAnsi="宋体" w:eastAsia="宋体" w:cs="宋体"/>
          <w:b/>
          <w:color w:val="auto"/>
          <w:kern w:val="0"/>
          <w:sz w:val="24"/>
          <w:szCs w:val="24"/>
          <w:highlight w:val="none"/>
          <w:lang w:val="en-US" w:eastAsia="zh-CN"/>
        </w:rPr>
        <w:t>要求</w:t>
      </w:r>
    </w:p>
    <w:p w14:paraId="29B3AF52">
      <w:pPr>
        <w:ind w:firstLine="482" w:firstLineChars="200"/>
        <w:jc w:val="both"/>
        <w:outlineLvl w:val="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售后现场要求</w:t>
      </w:r>
    </w:p>
    <w:p w14:paraId="56EB7E56">
      <w:pPr>
        <w:ind w:firstLine="480" w:firstLineChars="200"/>
        <w:jc w:val="both"/>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1.若需工程师现场排查解决问题，工程师需要在24小时内到达现场，紧急情况4小时内解决若不能解决需给出解决方案。</w:t>
      </w:r>
    </w:p>
    <w:p w14:paraId="4DD547BD">
      <w:pPr>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2.对供应商现场驻场工作人员。服务过程中需严格遵守医院规章制度，尊重医院工作流程，文明工作、规范操作，避免对医院正常医疗办公秩序造成影响；进入诊疗区域需遵守医院感染控制要求，做好个人防护。</w:t>
      </w:r>
    </w:p>
    <w:p w14:paraId="58D49E0F">
      <w:pPr>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供应商应建立健全安全生产管理制度，对参与现场服务的员工进行全面安全教育培训，确保员工熟悉安全操作规程及作业风险。乙方须为员工配备符合国家标准的安全防护用品（如防护手套等），并监督员工正确佩戴使用。维护作业全过程中，乙方对其员工的人身安全承担全部保障责任，若发生人身伤亡事故，由乙方负责立即处置、上报，并承担全部法律责任及经济赔偿（包括但不限于医疗费、赔偿金等）。乙方员工因违规操作、未遵守安全规定或乙方未履行安全保障义务导致的安全事故，甲方不承担任何责任。</w:t>
      </w:r>
    </w:p>
    <w:p w14:paraId="7E12DEF2">
      <w:pPr>
        <w:ind w:firstLine="480" w:firstLineChars="200"/>
        <w:jc w:val="both"/>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4.维护厂商提供每年至少一次现场走访记录。</w:t>
      </w:r>
    </w:p>
    <w:p w14:paraId="76B7133E">
      <w:pPr>
        <w:ind w:firstLine="482" w:firstLineChars="200"/>
        <w:jc w:val="both"/>
        <w:outlineLvl w:val="1"/>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服务质量和数据安全要求:</w:t>
      </w:r>
    </w:p>
    <w:p w14:paraId="6EE58537">
      <w:pPr>
        <w:ind w:firstLine="480" w:firstLineChars="200"/>
        <w:jc w:val="both"/>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在软件维护过程中，</w:t>
      </w:r>
      <w:r>
        <w:rPr>
          <w:rFonts w:hint="eastAsia" w:ascii="宋体" w:hAnsi="宋体" w:eastAsia="宋体" w:cs="宋体"/>
          <w:kern w:val="2"/>
          <w:sz w:val="24"/>
          <w:szCs w:val="24"/>
          <w:highlight w:val="none"/>
          <w:lang w:val="en-US" w:eastAsia="zh-CN" w:bidi="ar-SA"/>
        </w:rPr>
        <w:t>维护</w:t>
      </w:r>
      <w:r>
        <w:rPr>
          <w:rFonts w:hint="default" w:ascii="宋体" w:hAnsi="宋体" w:eastAsia="宋体" w:cs="宋体"/>
          <w:kern w:val="2"/>
          <w:sz w:val="24"/>
          <w:szCs w:val="24"/>
          <w:highlight w:val="none"/>
          <w:lang w:val="en-US" w:eastAsia="zh-CN" w:bidi="ar-SA"/>
        </w:rPr>
        <w:t>厂商必须严格遵守以下关键要求，确保服务质量与数据安全：</w:t>
      </w:r>
    </w:p>
    <w:p w14:paraId="6AEAEF96">
      <w:pPr>
        <w:jc w:val="both"/>
        <w:rPr>
          <w:rFonts w:hint="default" w:ascii="宋体" w:hAnsi="宋体" w:eastAsia="宋体" w:cs="宋体"/>
          <w:b/>
          <w:bCs/>
          <w:kern w:val="2"/>
          <w:sz w:val="24"/>
          <w:szCs w:val="24"/>
          <w:highlight w:val="none"/>
          <w:lang w:val="en-US" w:eastAsia="zh-CN" w:bidi="ar-SA"/>
        </w:rPr>
      </w:pPr>
      <w:r>
        <w:rPr>
          <w:rFonts w:hint="eastAsia" w:cs="宋体"/>
          <w:b/>
          <w:bCs/>
          <w:kern w:val="2"/>
          <w:sz w:val="24"/>
          <w:szCs w:val="24"/>
          <w:highlight w:val="none"/>
          <w:lang w:val="en-US" w:eastAsia="zh-CN" w:bidi="ar-SA"/>
        </w:rPr>
        <w:t xml:space="preserve">    </w:t>
      </w:r>
      <w:r>
        <w:rPr>
          <w:rFonts w:hint="default" w:ascii="宋体" w:hAnsi="宋体" w:eastAsia="宋体" w:cs="宋体"/>
          <w:b/>
          <w:bCs/>
          <w:kern w:val="2"/>
          <w:sz w:val="24"/>
          <w:szCs w:val="24"/>
          <w:highlight w:val="none"/>
          <w:lang w:val="en-US" w:eastAsia="zh-CN" w:bidi="ar-SA"/>
        </w:rPr>
        <w:t>数据安全</w:t>
      </w:r>
    </w:p>
    <w:p w14:paraId="1CE5BB6B">
      <w:pPr>
        <w:ind w:firstLine="480" w:firstLineChars="200"/>
        <w:jc w:val="both"/>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①</w:t>
      </w:r>
      <w:r>
        <w:rPr>
          <w:rFonts w:hint="default" w:ascii="宋体" w:hAnsi="宋体" w:eastAsia="宋体" w:cs="宋体"/>
          <w:kern w:val="2"/>
          <w:sz w:val="24"/>
          <w:szCs w:val="24"/>
          <w:highlight w:val="none"/>
          <w:lang w:val="en-US" w:eastAsia="zh-CN" w:bidi="ar-SA"/>
        </w:rPr>
        <w:t>对所有涉及的数据（含业务数据、日志、配置、备份等）实施最小权限访问控制。</w:t>
      </w:r>
    </w:p>
    <w:p w14:paraId="4BFDBA39">
      <w:pPr>
        <w:ind w:firstLine="480" w:firstLineChars="200"/>
        <w:jc w:val="both"/>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②</w:t>
      </w:r>
      <w:r>
        <w:rPr>
          <w:rFonts w:hint="default" w:ascii="宋体" w:hAnsi="宋体" w:eastAsia="宋体" w:cs="宋体"/>
          <w:kern w:val="2"/>
          <w:sz w:val="24"/>
          <w:szCs w:val="24"/>
          <w:highlight w:val="none"/>
          <w:lang w:val="en-US" w:eastAsia="zh-CN" w:bidi="ar-SA"/>
        </w:rPr>
        <w:t>禁止将数据带离甲方指定环境；如需远程接入，须使用甲方批准的 VPN/堡垒机，并开启全程录屏与操作日志。</w:t>
      </w:r>
    </w:p>
    <w:p w14:paraId="1CABE1B0">
      <w:pPr>
        <w:ind w:firstLine="480" w:firstLineChars="200"/>
        <w:jc w:val="both"/>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③</w:t>
      </w:r>
      <w:r>
        <w:rPr>
          <w:rFonts w:hint="default" w:ascii="宋体" w:hAnsi="宋体" w:eastAsia="宋体" w:cs="宋体"/>
          <w:kern w:val="2"/>
          <w:sz w:val="24"/>
          <w:szCs w:val="24"/>
          <w:highlight w:val="none"/>
          <w:lang w:val="en-US" w:eastAsia="zh-CN" w:bidi="ar-SA"/>
        </w:rPr>
        <w:t>发生或疑似发生数据泄露、篡改、丢失时，乙方须在 30 分钟内口头通报、2小时内书面通报，并立即启动应急预案。</w:t>
      </w:r>
    </w:p>
    <w:p w14:paraId="3F0C7DED">
      <w:pPr>
        <w:jc w:val="both"/>
        <w:rPr>
          <w:rFonts w:hint="default" w:ascii="宋体" w:hAnsi="宋体" w:eastAsia="宋体" w:cs="宋体"/>
          <w:b/>
          <w:bCs/>
          <w:kern w:val="2"/>
          <w:sz w:val="24"/>
          <w:szCs w:val="24"/>
          <w:highlight w:val="none"/>
          <w:lang w:val="en-US" w:eastAsia="zh-CN" w:bidi="ar-SA"/>
        </w:rPr>
      </w:pPr>
      <w:r>
        <w:rPr>
          <w:rFonts w:hint="eastAsia" w:cs="宋体"/>
          <w:b/>
          <w:bCs/>
          <w:kern w:val="2"/>
          <w:sz w:val="24"/>
          <w:szCs w:val="24"/>
          <w:highlight w:val="none"/>
          <w:lang w:val="en-US" w:eastAsia="zh-CN" w:bidi="ar-SA"/>
        </w:rPr>
        <w:t xml:space="preserve">   </w:t>
      </w:r>
      <w:r>
        <w:rPr>
          <w:rFonts w:hint="default" w:ascii="宋体" w:hAnsi="宋体" w:eastAsia="宋体" w:cs="宋体"/>
          <w:b/>
          <w:bCs/>
          <w:kern w:val="2"/>
          <w:sz w:val="24"/>
          <w:szCs w:val="24"/>
          <w:highlight w:val="none"/>
          <w:lang w:val="en-US" w:eastAsia="zh-CN" w:bidi="ar-SA"/>
        </w:rPr>
        <w:t>系统可用性与响应时间</w:t>
      </w:r>
    </w:p>
    <w:p w14:paraId="64993D02">
      <w:pPr>
        <w:ind w:firstLine="480" w:firstLineChars="200"/>
        <w:jc w:val="both"/>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①</w:t>
      </w:r>
      <w:r>
        <w:rPr>
          <w:rFonts w:hint="default" w:ascii="宋体" w:hAnsi="宋体" w:eastAsia="宋体" w:cs="宋体"/>
          <w:kern w:val="2"/>
          <w:sz w:val="24"/>
          <w:szCs w:val="24"/>
          <w:highlight w:val="none"/>
          <w:lang w:val="en-US" w:eastAsia="zh-CN" w:bidi="ar-SA"/>
        </w:rPr>
        <w:t>全年可用性≥99.9%，计划外停机≤</w:t>
      </w:r>
      <w:r>
        <w:rPr>
          <w:rFonts w:hint="eastAsia" w:ascii="宋体" w:hAnsi="宋体" w:eastAsia="宋体" w:cs="宋体"/>
          <w:kern w:val="2"/>
          <w:sz w:val="24"/>
          <w:szCs w:val="24"/>
          <w:highlight w:val="none"/>
          <w:lang w:val="en-US" w:eastAsia="zh-CN" w:bidi="ar-SA"/>
        </w:rPr>
        <w:t>24</w:t>
      </w:r>
      <w:r>
        <w:rPr>
          <w:rFonts w:hint="default" w:ascii="宋体" w:hAnsi="宋体" w:eastAsia="宋体" w:cs="宋体"/>
          <w:kern w:val="2"/>
          <w:sz w:val="24"/>
          <w:szCs w:val="24"/>
          <w:highlight w:val="none"/>
          <w:lang w:val="en-US" w:eastAsia="zh-CN" w:bidi="ar-SA"/>
        </w:rPr>
        <w:t>小时/年。</w:t>
      </w:r>
    </w:p>
    <w:p w14:paraId="25A2D033">
      <w:pPr>
        <w:ind w:firstLine="480" w:firstLineChars="200"/>
        <w:jc w:val="both"/>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②</w:t>
      </w:r>
      <w:r>
        <w:rPr>
          <w:rFonts w:hint="default" w:ascii="宋体" w:hAnsi="宋体" w:eastAsia="宋体" w:cs="宋体"/>
          <w:kern w:val="2"/>
          <w:sz w:val="24"/>
          <w:szCs w:val="24"/>
          <w:highlight w:val="none"/>
          <w:lang w:val="en-US" w:eastAsia="zh-CN" w:bidi="ar-SA"/>
        </w:rPr>
        <w:t>所有补丁、升级、配置变更须提前5个工作日</w:t>
      </w:r>
      <w:r>
        <w:rPr>
          <w:rFonts w:hint="eastAsia" w:ascii="宋体" w:hAnsi="宋体" w:eastAsia="宋体" w:cs="宋体"/>
          <w:kern w:val="2"/>
          <w:sz w:val="24"/>
          <w:szCs w:val="24"/>
          <w:highlight w:val="none"/>
          <w:lang w:val="en-US" w:eastAsia="zh-CN" w:bidi="ar-SA"/>
        </w:rPr>
        <w:t>告知甲方同意方可</w:t>
      </w:r>
      <w:r>
        <w:rPr>
          <w:rFonts w:hint="default" w:ascii="宋体" w:hAnsi="宋体" w:eastAsia="宋体" w:cs="宋体"/>
          <w:kern w:val="2"/>
          <w:sz w:val="24"/>
          <w:szCs w:val="24"/>
          <w:highlight w:val="none"/>
          <w:lang w:val="en-US" w:eastAsia="zh-CN" w:bidi="ar-SA"/>
        </w:rPr>
        <w:t>执行，同时提供回退方案。</w:t>
      </w:r>
    </w:p>
    <w:p w14:paraId="33D43D33">
      <w:pPr>
        <w:ind w:firstLine="480" w:firstLineChars="200"/>
        <w:jc w:val="both"/>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3.保密义务</w:t>
      </w:r>
    </w:p>
    <w:p w14:paraId="00952177">
      <w:pPr>
        <w:ind w:firstLine="480" w:firstLineChars="200"/>
        <w:jc w:val="both"/>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①</w:t>
      </w:r>
      <w:r>
        <w:rPr>
          <w:rFonts w:hint="default" w:ascii="宋体" w:hAnsi="宋体" w:eastAsia="宋体" w:cs="宋体"/>
          <w:kern w:val="2"/>
          <w:sz w:val="24"/>
          <w:szCs w:val="24"/>
          <w:highlight w:val="none"/>
          <w:lang w:val="en-US" w:eastAsia="zh-CN" w:bidi="ar-SA"/>
        </w:rPr>
        <w:t>项目启动前签署《保密协议》，覆盖所有能接触源代码、数据、文档</w:t>
      </w:r>
      <w:r>
        <w:rPr>
          <w:rFonts w:hint="eastAsia" w:ascii="宋体" w:hAnsi="宋体" w:eastAsia="宋体" w:cs="宋体"/>
          <w:kern w:val="2"/>
          <w:sz w:val="24"/>
          <w:szCs w:val="24"/>
          <w:highlight w:val="none"/>
          <w:lang w:val="en-US" w:eastAsia="zh-CN" w:bidi="ar-SA"/>
        </w:rPr>
        <w:t>、医疗数据及其他管理数据等重要数据</w:t>
      </w:r>
      <w:r>
        <w:rPr>
          <w:rFonts w:hint="default" w:ascii="宋体" w:hAnsi="宋体" w:eastAsia="宋体" w:cs="宋体"/>
          <w:kern w:val="2"/>
          <w:sz w:val="24"/>
          <w:szCs w:val="24"/>
          <w:highlight w:val="none"/>
          <w:lang w:val="en-US" w:eastAsia="zh-CN" w:bidi="ar-SA"/>
        </w:rPr>
        <w:t>的员工及第三方。</w:t>
      </w:r>
    </w:p>
    <w:p w14:paraId="42D7CDE8">
      <w:pPr>
        <w:ind w:firstLine="480" w:firstLineChars="200"/>
        <w:jc w:val="both"/>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②</w:t>
      </w:r>
      <w:r>
        <w:rPr>
          <w:rFonts w:hint="default" w:ascii="宋体" w:hAnsi="宋体" w:eastAsia="宋体" w:cs="宋体"/>
          <w:kern w:val="2"/>
          <w:sz w:val="24"/>
          <w:szCs w:val="24"/>
          <w:highlight w:val="none"/>
          <w:lang w:val="en-US" w:eastAsia="zh-CN" w:bidi="ar-SA"/>
        </w:rPr>
        <w:t>保密期限持续至合同终止后5年；</w:t>
      </w:r>
      <w:r>
        <w:rPr>
          <w:rFonts w:hint="eastAsia" w:ascii="宋体" w:hAnsi="宋体" w:eastAsia="宋体" w:cs="宋体"/>
          <w:kern w:val="2"/>
          <w:sz w:val="24"/>
          <w:szCs w:val="24"/>
          <w:highlight w:val="none"/>
          <w:lang w:val="en-US" w:eastAsia="zh-CN" w:bidi="ar-SA"/>
        </w:rPr>
        <w:t>不遵守保密协议</w:t>
      </w:r>
      <w:r>
        <w:rPr>
          <w:rFonts w:hint="default" w:ascii="宋体" w:hAnsi="宋体" w:eastAsia="宋体" w:cs="宋体"/>
          <w:kern w:val="2"/>
          <w:sz w:val="24"/>
          <w:szCs w:val="24"/>
          <w:highlight w:val="none"/>
          <w:lang w:val="en-US" w:eastAsia="zh-CN" w:bidi="ar-SA"/>
        </w:rPr>
        <w:t>按</w:t>
      </w:r>
      <w:r>
        <w:rPr>
          <w:rFonts w:hint="eastAsia" w:ascii="宋体" w:hAnsi="宋体" w:eastAsia="宋体" w:cs="宋体"/>
          <w:kern w:val="2"/>
          <w:sz w:val="24"/>
          <w:szCs w:val="24"/>
          <w:highlight w:val="none"/>
          <w:lang w:val="en-US" w:eastAsia="zh-CN" w:bidi="ar-SA"/>
        </w:rPr>
        <w:t>相关法律法规</w:t>
      </w:r>
      <w:r>
        <w:rPr>
          <w:rFonts w:hint="default" w:ascii="宋体" w:hAnsi="宋体" w:eastAsia="宋体" w:cs="宋体"/>
          <w:kern w:val="2"/>
          <w:sz w:val="24"/>
          <w:szCs w:val="24"/>
          <w:highlight w:val="none"/>
          <w:lang w:val="en-US" w:eastAsia="zh-CN" w:bidi="ar-SA"/>
        </w:rPr>
        <w:t>承担法律责任。</w:t>
      </w:r>
    </w:p>
    <w:p w14:paraId="5583910D">
      <w:pPr>
        <w:jc w:val="both"/>
        <w:rPr>
          <w:rFonts w:hint="default" w:ascii="宋体" w:hAnsi="宋体" w:eastAsia="宋体" w:cs="宋体"/>
          <w:b/>
          <w:bCs/>
          <w:kern w:val="2"/>
          <w:sz w:val="24"/>
          <w:szCs w:val="24"/>
          <w:highlight w:val="none"/>
          <w:lang w:val="en-US" w:eastAsia="zh-CN" w:bidi="ar-SA"/>
        </w:rPr>
      </w:pPr>
      <w:r>
        <w:rPr>
          <w:rFonts w:hint="eastAsia" w:cs="宋体"/>
          <w:b/>
          <w:bCs/>
          <w:kern w:val="2"/>
          <w:sz w:val="24"/>
          <w:szCs w:val="24"/>
          <w:highlight w:val="none"/>
          <w:lang w:val="en-US" w:eastAsia="zh-CN" w:bidi="ar-SA"/>
        </w:rPr>
        <w:t xml:space="preserve">   </w:t>
      </w:r>
      <w:bookmarkStart w:id="0" w:name="_GoBack"/>
      <w:bookmarkEnd w:id="0"/>
      <w:r>
        <w:rPr>
          <w:rFonts w:hint="default" w:ascii="宋体" w:hAnsi="宋体" w:eastAsia="宋体" w:cs="宋体"/>
          <w:b/>
          <w:bCs/>
          <w:kern w:val="2"/>
          <w:sz w:val="24"/>
          <w:szCs w:val="24"/>
          <w:highlight w:val="none"/>
          <w:lang w:val="en-US" w:eastAsia="zh-CN" w:bidi="ar-SA"/>
        </w:rPr>
        <w:t>维护记录与年终报告</w:t>
      </w:r>
    </w:p>
    <w:p w14:paraId="64168DA1">
      <w:pPr>
        <w:ind w:firstLine="480" w:firstLineChars="200"/>
        <w:jc w:val="both"/>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日常维护须填写</w:t>
      </w:r>
      <w:r>
        <w:rPr>
          <w:rFonts w:hint="eastAsia" w:ascii="宋体" w:hAnsi="宋体" w:eastAsia="宋体" w:cs="宋体"/>
          <w:kern w:val="2"/>
          <w:sz w:val="24"/>
          <w:szCs w:val="24"/>
          <w:highlight w:val="none"/>
          <w:lang w:val="en-US" w:eastAsia="zh-CN" w:bidi="ar-SA"/>
        </w:rPr>
        <w:t>相关</w:t>
      </w:r>
      <w:r>
        <w:rPr>
          <w:rFonts w:hint="default" w:ascii="宋体" w:hAnsi="宋体" w:eastAsia="宋体" w:cs="宋体"/>
          <w:kern w:val="2"/>
          <w:sz w:val="24"/>
          <w:szCs w:val="24"/>
          <w:highlight w:val="none"/>
          <w:lang w:val="en-US" w:eastAsia="zh-CN" w:bidi="ar-SA"/>
        </w:rPr>
        <w:t>维护工单，记录故障现象</w:t>
      </w:r>
      <w:r>
        <w:rPr>
          <w:rFonts w:hint="eastAsia" w:ascii="宋体" w:hAnsi="宋体" w:eastAsia="宋体" w:cs="宋体"/>
          <w:kern w:val="2"/>
          <w:sz w:val="24"/>
          <w:szCs w:val="24"/>
          <w:highlight w:val="none"/>
          <w:lang w:val="en-US" w:eastAsia="zh-CN" w:bidi="ar-SA"/>
        </w:rPr>
        <w:t>、改进等</w:t>
      </w:r>
      <w:r>
        <w:rPr>
          <w:rFonts w:hint="default" w:ascii="宋体" w:hAnsi="宋体" w:eastAsia="宋体" w:cs="宋体"/>
          <w:kern w:val="2"/>
          <w:sz w:val="24"/>
          <w:szCs w:val="24"/>
          <w:highlight w:val="none"/>
          <w:lang w:val="en-US" w:eastAsia="zh-CN" w:bidi="ar-SA"/>
        </w:rPr>
        <w:t>；年度</w:t>
      </w:r>
      <w:r>
        <w:rPr>
          <w:rFonts w:hint="eastAsia" w:ascii="宋体" w:hAnsi="宋体" w:eastAsia="宋体" w:cs="宋体"/>
          <w:kern w:val="2"/>
          <w:sz w:val="24"/>
          <w:szCs w:val="24"/>
          <w:highlight w:val="none"/>
          <w:lang w:val="en-US" w:eastAsia="zh-CN" w:bidi="ar-SA"/>
        </w:rPr>
        <w:t>维护完成后</w:t>
      </w:r>
      <w:r>
        <w:rPr>
          <w:rFonts w:hint="default" w:ascii="宋体" w:hAnsi="宋体" w:eastAsia="宋体" w:cs="宋体"/>
          <w:kern w:val="2"/>
          <w:sz w:val="24"/>
          <w:szCs w:val="24"/>
          <w:highlight w:val="none"/>
          <w:lang w:val="en-US" w:eastAsia="zh-CN" w:bidi="ar-SA"/>
        </w:rPr>
        <w:t>生成年度维护报告</w:t>
      </w:r>
      <w:r>
        <w:rPr>
          <w:rFonts w:hint="eastAsia" w:ascii="宋体" w:hAnsi="宋体" w:eastAsia="宋体" w:cs="宋体"/>
          <w:kern w:val="2"/>
          <w:sz w:val="24"/>
          <w:szCs w:val="24"/>
          <w:highlight w:val="none"/>
          <w:lang w:val="en-US" w:eastAsia="zh-CN" w:bidi="ar-SA"/>
        </w:rPr>
        <w:t>或记录</w:t>
      </w:r>
      <w:r>
        <w:rPr>
          <w:rFonts w:hint="default" w:ascii="宋体" w:hAnsi="宋体" w:eastAsia="宋体" w:cs="宋体"/>
          <w:kern w:val="2"/>
          <w:sz w:val="24"/>
          <w:szCs w:val="24"/>
          <w:highlight w:val="none"/>
          <w:lang w:val="en-US" w:eastAsia="zh-CN" w:bidi="ar-SA"/>
        </w:rPr>
        <w:t>，内容至少包括：</w:t>
      </w:r>
      <w:r>
        <w:rPr>
          <w:rFonts w:hint="eastAsia" w:ascii="宋体" w:hAnsi="宋体" w:eastAsia="宋体" w:cs="宋体"/>
          <w:kern w:val="2"/>
          <w:sz w:val="24"/>
          <w:szCs w:val="24"/>
          <w:highlight w:val="none"/>
          <w:lang w:val="en-US" w:eastAsia="zh-CN" w:bidi="ar-SA"/>
        </w:rPr>
        <w:t>故障时间、故障问题、解决方法等。</w:t>
      </w:r>
      <w:r>
        <w:rPr>
          <w:rFonts w:hint="default" w:ascii="宋体" w:hAnsi="宋体" w:eastAsia="宋体" w:cs="宋体"/>
          <w:kern w:val="2"/>
          <w:sz w:val="24"/>
          <w:szCs w:val="24"/>
          <w:highlight w:val="none"/>
          <w:lang w:val="en-US" w:eastAsia="zh-CN" w:bidi="ar-SA"/>
        </w:rPr>
        <w:t>变更及版本发布清单、漏洞修复与补丁记录</w:t>
      </w:r>
      <w:r>
        <w:rPr>
          <w:rFonts w:hint="eastAsia" w:ascii="宋体" w:hAnsi="宋体" w:eastAsia="宋体" w:cs="宋体"/>
          <w:kern w:val="2"/>
          <w:sz w:val="24"/>
          <w:szCs w:val="24"/>
          <w:highlight w:val="none"/>
          <w:lang w:val="en-US" w:eastAsia="zh-CN" w:bidi="ar-SA"/>
        </w:rPr>
        <w:t>；</w:t>
      </w:r>
      <w:r>
        <w:rPr>
          <w:rFonts w:hint="default" w:ascii="宋体" w:hAnsi="宋体" w:eastAsia="宋体" w:cs="宋体"/>
          <w:kern w:val="2"/>
          <w:sz w:val="24"/>
          <w:szCs w:val="24"/>
          <w:highlight w:val="none"/>
          <w:lang w:val="en-US" w:eastAsia="zh-CN" w:bidi="ar-SA"/>
        </w:rPr>
        <w:t>下一年度改进计划</w:t>
      </w:r>
      <w:r>
        <w:rPr>
          <w:rFonts w:hint="eastAsia" w:ascii="宋体" w:hAnsi="宋体" w:eastAsia="宋体" w:cs="宋体"/>
          <w:kern w:val="2"/>
          <w:sz w:val="24"/>
          <w:szCs w:val="24"/>
          <w:highlight w:val="none"/>
          <w:lang w:val="en-US" w:eastAsia="zh-CN" w:bidi="ar-SA"/>
        </w:rPr>
        <w:t>等</w:t>
      </w:r>
      <w:r>
        <w:rPr>
          <w:rFonts w:hint="default" w:ascii="宋体" w:hAnsi="宋体" w:eastAsia="宋体" w:cs="宋体"/>
          <w:kern w:val="2"/>
          <w:sz w:val="24"/>
          <w:szCs w:val="24"/>
          <w:highlight w:val="none"/>
          <w:lang w:val="en-US" w:eastAsia="zh-CN" w:bidi="ar-SA"/>
        </w:rPr>
        <w:t>。</w:t>
      </w:r>
    </w:p>
    <w:p w14:paraId="2CE26F48">
      <w:pPr>
        <w:pStyle w:val="9"/>
        <w:numPr>
          <w:ilvl w:val="1"/>
          <w:numId w:val="0"/>
        </w:numPr>
        <w:outlineLvl w:val="9"/>
        <w:rPr>
          <w:rFonts w:hint="eastAsia" w:ascii="宋体" w:hAnsi="宋体" w:eastAsia="宋体" w:cs="宋体"/>
          <w:b w:val="0"/>
          <w:kern w:val="2"/>
          <w:sz w:val="24"/>
          <w:szCs w:val="24"/>
          <w:highlight w:val="none"/>
          <w:lang w:val="en-US" w:eastAsia="zh-CN" w:bidi="ar-SA"/>
        </w:rPr>
      </w:pPr>
      <w:r>
        <w:rPr>
          <w:rFonts w:hint="default" w:ascii="宋体" w:hAnsi="宋体" w:eastAsia="宋体" w:cs="宋体"/>
          <w:b w:val="0"/>
          <w:kern w:val="2"/>
          <w:sz w:val="24"/>
          <w:szCs w:val="24"/>
          <w:highlight w:val="none"/>
          <w:lang w:val="en-US" w:eastAsia="zh-CN" w:bidi="ar-SA"/>
        </w:rPr>
        <w:t>年终报告须由乙方负责人签字确认</w:t>
      </w:r>
      <w:r>
        <w:rPr>
          <w:rFonts w:hint="eastAsia" w:ascii="宋体" w:hAnsi="宋体" w:eastAsia="宋体" w:cs="宋体"/>
          <w:b w:val="0"/>
          <w:kern w:val="2"/>
          <w:sz w:val="24"/>
          <w:szCs w:val="24"/>
          <w:highlight w:val="none"/>
          <w:lang w:val="en-US" w:eastAsia="zh-CN" w:bidi="ar-SA"/>
        </w:rPr>
        <w:t>移交甲方。</w:t>
      </w:r>
    </w:p>
    <w:p w14:paraId="0F6797DD">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leftChars="0" w:right="0" w:firstLine="470" w:firstLineChars="200"/>
        <w:textAlignment w:val="baseline"/>
        <w:outlineLvl w:val="1"/>
        <w:rPr>
          <w:sz w:val="24"/>
          <w:szCs w:val="24"/>
        </w:rPr>
      </w:pPr>
      <w:r>
        <w:rPr>
          <w:b/>
          <w:bCs/>
          <w:spacing w:val="-3"/>
          <w:sz w:val="24"/>
          <w:szCs w:val="24"/>
        </w:rPr>
        <w:t>三、合同价款、支付方式和付款进度安排</w:t>
      </w:r>
    </w:p>
    <w:p w14:paraId="2F4DFF91">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leftChars="0" w:right="0" w:firstLine="472" w:firstLineChars="200"/>
        <w:textAlignment w:val="baseline"/>
        <w:outlineLvl w:val="2"/>
        <w:rPr>
          <w:sz w:val="24"/>
          <w:szCs w:val="24"/>
        </w:rPr>
      </w:pPr>
      <w:r>
        <w:rPr>
          <w:spacing w:val="-2"/>
          <w:sz w:val="24"/>
          <w:szCs w:val="24"/>
        </w:rPr>
        <w:t>3.1.合同价款</w:t>
      </w:r>
    </w:p>
    <w:p w14:paraId="36253134">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leftChars="0" w:right="0" w:firstLine="464" w:firstLineChars="200"/>
        <w:textAlignment w:val="baseline"/>
        <w:rPr>
          <w:sz w:val="24"/>
          <w:szCs w:val="24"/>
        </w:rPr>
      </w:pPr>
      <w:r>
        <w:rPr>
          <w:spacing w:val="-4"/>
          <w:sz w:val="24"/>
          <w:szCs w:val="24"/>
        </w:rPr>
        <w:t>本合同总金额为</w:t>
      </w:r>
      <w:r>
        <w:rPr>
          <w:rFonts w:hint="eastAsia"/>
          <w:spacing w:val="-4"/>
          <w:sz w:val="24"/>
          <w:szCs w:val="24"/>
          <w:lang w:eastAsia="zh-CN"/>
        </w:rPr>
        <w:t>：</w:t>
      </w:r>
      <w:r>
        <w:rPr>
          <w:rFonts w:hint="eastAsia"/>
          <w:spacing w:val="-4"/>
          <w:sz w:val="24"/>
          <w:szCs w:val="24"/>
          <w:lang w:val="en-US" w:eastAsia="zh-CN"/>
        </w:rPr>
        <w:t xml:space="preserve">               </w:t>
      </w:r>
      <w:r>
        <w:rPr>
          <w:spacing w:val="-4"/>
          <w:sz w:val="24"/>
          <w:szCs w:val="24"/>
        </w:rPr>
        <w:t>元（大</w:t>
      </w:r>
      <w:r>
        <w:rPr>
          <w:spacing w:val="-5"/>
          <w:sz w:val="24"/>
          <w:szCs w:val="24"/>
        </w:rPr>
        <w:t>写</w:t>
      </w:r>
      <w:r>
        <w:rPr>
          <w:spacing w:val="-57"/>
          <w:sz w:val="24"/>
          <w:szCs w:val="24"/>
        </w:rPr>
        <w:t>：</w:t>
      </w:r>
      <w:r>
        <w:rPr>
          <w:rFonts w:hint="eastAsia"/>
          <w:spacing w:val="-57"/>
          <w:sz w:val="24"/>
          <w:szCs w:val="24"/>
          <w:lang w:val="en-US" w:eastAsia="zh-CN"/>
        </w:rPr>
        <w:t xml:space="preserve">                  </w:t>
      </w:r>
      <w:r>
        <w:rPr>
          <w:spacing w:val="-1"/>
          <w:sz w:val="24"/>
          <w:szCs w:val="24"/>
        </w:rPr>
        <w:t>元</w:t>
      </w:r>
    </w:p>
    <w:p w14:paraId="47AA611B">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leftChars="0" w:right="0" w:firstLine="472" w:firstLineChars="200"/>
        <w:textAlignment w:val="baseline"/>
        <w:outlineLvl w:val="2"/>
        <w:rPr>
          <w:sz w:val="24"/>
          <w:szCs w:val="24"/>
        </w:rPr>
      </w:pPr>
      <w:r>
        <w:rPr>
          <w:spacing w:val="-2"/>
          <w:sz w:val="24"/>
          <w:szCs w:val="24"/>
        </w:rPr>
        <w:t>3.</w:t>
      </w:r>
      <w:r>
        <w:rPr>
          <w:rFonts w:hint="eastAsia"/>
          <w:spacing w:val="-2"/>
          <w:sz w:val="24"/>
          <w:szCs w:val="24"/>
          <w:lang w:val="en-US" w:eastAsia="zh-CN"/>
        </w:rPr>
        <w:t>2.</w:t>
      </w:r>
      <w:r>
        <w:rPr>
          <w:spacing w:val="-2"/>
          <w:sz w:val="24"/>
          <w:szCs w:val="24"/>
        </w:rPr>
        <w:t>付款进度安排</w:t>
      </w:r>
    </w:p>
    <w:p w14:paraId="334E5B80">
      <w:pPr>
        <w:spacing w:line="117" w:lineRule="exact"/>
      </w:pPr>
    </w:p>
    <w:tbl>
      <w:tblPr>
        <w:tblStyle w:val="8"/>
        <w:tblW w:w="8082"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664"/>
        <w:gridCol w:w="1653"/>
        <w:gridCol w:w="1189"/>
        <w:gridCol w:w="1009"/>
        <w:gridCol w:w="2103"/>
        <w:gridCol w:w="1464"/>
      </w:tblGrid>
      <w:tr w14:paraId="36800B3A">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752" w:hRule="atLeast"/>
        </w:trPr>
        <w:tc>
          <w:tcPr>
            <w:tcW w:w="664" w:type="dxa"/>
            <w:vAlign w:val="top"/>
          </w:tcPr>
          <w:p w14:paraId="00ED768A">
            <w:pPr>
              <w:pStyle w:val="7"/>
              <w:spacing w:before="281" w:line="230" w:lineRule="auto"/>
              <w:ind w:left="148"/>
              <w:rPr>
                <w:sz w:val="18"/>
                <w:szCs w:val="18"/>
              </w:rPr>
            </w:pPr>
            <w:r>
              <w:rPr>
                <w:b/>
                <w:bCs/>
                <w:spacing w:val="3"/>
                <w:sz w:val="18"/>
                <w:szCs w:val="18"/>
              </w:rPr>
              <w:t>期次</w:t>
            </w:r>
          </w:p>
        </w:tc>
        <w:tc>
          <w:tcPr>
            <w:tcW w:w="1653" w:type="dxa"/>
            <w:vAlign w:val="top"/>
          </w:tcPr>
          <w:p w14:paraId="2A6CAACF">
            <w:pPr>
              <w:pStyle w:val="7"/>
              <w:spacing w:before="281" w:line="230" w:lineRule="auto"/>
              <w:ind w:left="227"/>
              <w:rPr>
                <w:sz w:val="18"/>
                <w:szCs w:val="18"/>
              </w:rPr>
            </w:pPr>
            <w:r>
              <w:rPr>
                <w:b/>
                <w:bCs/>
                <w:spacing w:val="5"/>
                <w:sz w:val="18"/>
                <w:szCs w:val="18"/>
              </w:rPr>
              <w:t>支付金额（元）</w:t>
            </w:r>
          </w:p>
        </w:tc>
        <w:tc>
          <w:tcPr>
            <w:tcW w:w="1189" w:type="dxa"/>
            <w:vAlign w:val="top"/>
          </w:tcPr>
          <w:p w14:paraId="631B00FD">
            <w:pPr>
              <w:pStyle w:val="7"/>
              <w:spacing w:before="125" w:line="316" w:lineRule="auto"/>
              <w:ind w:left="101" w:right="138" w:hanging="2"/>
              <w:rPr>
                <w:sz w:val="18"/>
                <w:szCs w:val="18"/>
              </w:rPr>
            </w:pPr>
            <w:r>
              <w:rPr>
                <w:b/>
                <w:bCs/>
                <w:spacing w:val="7"/>
                <w:sz w:val="18"/>
                <w:szCs w:val="18"/>
              </w:rPr>
              <w:t>计划支付日</w:t>
            </w:r>
            <w:r>
              <w:rPr>
                <w:b/>
                <w:bCs/>
                <w:spacing w:val="-2"/>
                <w:sz w:val="18"/>
                <w:szCs w:val="18"/>
              </w:rPr>
              <w:t>期</w:t>
            </w:r>
          </w:p>
        </w:tc>
        <w:tc>
          <w:tcPr>
            <w:tcW w:w="1009" w:type="dxa"/>
            <w:vAlign w:val="top"/>
          </w:tcPr>
          <w:p w14:paraId="6EAE7EB3">
            <w:pPr>
              <w:pStyle w:val="7"/>
              <w:spacing w:before="281" w:line="230" w:lineRule="auto"/>
              <w:ind w:left="107"/>
              <w:rPr>
                <w:sz w:val="18"/>
                <w:szCs w:val="18"/>
              </w:rPr>
            </w:pPr>
            <w:r>
              <w:rPr>
                <w:b/>
                <w:bCs/>
                <w:spacing w:val="3"/>
                <w:sz w:val="18"/>
                <w:szCs w:val="18"/>
              </w:rPr>
              <w:t>收款人</w:t>
            </w:r>
          </w:p>
        </w:tc>
        <w:tc>
          <w:tcPr>
            <w:tcW w:w="2103" w:type="dxa"/>
            <w:vAlign w:val="top"/>
          </w:tcPr>
          <w:p w14:paraId="608941EC">
            <w:pPr>
              <w:pStyle w:val="7"/>
              <w:spacing w:before="281" w:line="230" w:lineRule="auto"/>
              <w:ind w:left="102"/>
              <w:rPr>
                <w:sz w:val="18"/>
                <w:szCs w:val="18"/>
              </w:rPr>
            </w:pPr>
            <w:r>
              <w:rPr>
                <w:b/>
                <w:bCs/>
                <w:spacing w:val="6"/>
                <w:sz w:val="18"/>
                <w:szCs w:val="18"/>
              </w:rPr>
              <w:t>支付说明</w:t>
            </w:r>
          </w:p>
        </w:tc>
        <w:tc>
          <w:tcPr>
            <w:tcW w:w="1464" w:type="dxa"/>
            <w:vAlign w:val="top"/>
          </w:tcPr>
          <w:p w14:paraId="39D38FF0">
            <w:pPr>
              <w:pStyle w:val="7"/>
              <w:spacing w:before="281" w:line="230" w:lineRule="auto"/>
              <w:ind w:left="105"/>
              <w:rPr>
                <w:sz w:val="18"/>
                <w:szCs w:val="18"/>
              </w:rPr>
            </w:pPr>
            <w:r>
              <w:rPr>
                <w:b/>
                <w:bCs/>
                <w:spacing w:val="6"/>
                <w:sz w:val="18"/>
                <w:szCs w:val="18"/>
              </w:rPr>
              <w:t>是否预付款</w:t>
            </w:r>
          </w:p>
        </w:tc>
      </w:tr>
      <w:tr w14:paraId="10425C2F">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66" w:hRule="atLeast"/>
        </w:trPr>
        <w:tc>
          <w:tcPr>
            <w:tcW w:w="664" w:type="dxa"/>
            <w:vAlign w:val="top"/>
          </w:tcPr>
          <w:p w14:paraId="1F6F1A78">
            <w:pPr>
              <w:spacing w:line="475" w:lineRule="auto"/>
              <w:rPr>
                <w:rFonts w:ascii="Arial"/>
                <w:sz w:val="21"/>
              </w:rPr>
            </w:pPr>
          </w:p>
          <w:p w14:paraId="711B6F5E">
            <w:pPr>
              <w:pStyle w:val="7"/>
              <w:spacing w:before="59" w:line="245" w:lineRule="exact"/>
              <w:ind w:left="302"/>
              <w:rPr>
                <w:sz w:val="18"/>
                <w:szCs w:val="18"/>
              </w:rPr>
            </w:pPr>
            <w:r>
              <w:rPr>
                <w:position w:val="1"/>
                <w:sz w:val="18"/>
                <w:szCs w:val="18"/>
              </w:rPr>
              <w:t>1</w:t>
            </w:r>
          </w:p>
        </w:tc>
        <w:tc>
          <w:tcPr>
            <w:tcW w:w="1653" w:type="dxa"/>
            <w:vAlign w:val="top"/>
          </w:tcPr>
          <w:p w14:paraId="09D102EA">
            <w:pPr>
              <w:spacing w:line="320" w:lineRule="auto"/>
              <w:rPr>
                <w:rFonts w:ascii="Arial"/>
                <w:sz w:val="21"/>
              </w:rPr>
            </w:pPr>
          </w:p>
          <w:p w14:paraId="5FA5A61A">
            <w:pPr>
              <w:pStyle w:val="7"/>
              <w:tabs>
                <w:tab w:val="left" w:pos="191"/>
              </w:tabs>
              <w:spacing w:before="59" w:line="322" w:lineRule="auto"/>
              <w:ind w:left="98" w:right="94" w:hanging="7"/>
              <w:rPr>
                <w:sz w:val="18"/>
                <w:szCs w:val="18"/>
              </w:rPr>
            </w:pPr>
            <w:r>
              <w:rPr>
                <w:sz w:val="18"/>
                <w:szCs w:val="18"/>
                <w:shd w:val="clear" w:fill="FFFF00"/>
              </w:rPr>
              <w:tab/>
            </w:r>
          </w:p>
        </w:tc>
        <w:tc>
          <w:tcPr>
            <w:tcW w:w="1189" w:type="dxa"/>
            <w:vAlign w:val="top"/>
          </w:tcPr>
          <w:p w14:paraId="2022167D">
            <w:pPr>
              <w:pStyle w:val="7"/>
              <w:spacing w:before="164" w:line="903" w:lineRule="exact"/>
              <w:ind w:firstLine="92"/>
            </w:pPr>
          </w:p>
        </w:tc>
        <w:tc>
          <w:tcPr>
            <w:tcW w:w="1009" w:type="dxa"/>
            <w:vAlign w:val="top"/>
          </w:tcPr>
          <w:p w14:paraId="15E5C7D2">
            <w:pPr>
              <w:spacing w:line="318" w:lineRule="auto"/>
              <w:rPr>
                <w:rFonts w:ascii="Arial"/>
                <w:sz w:val="21"/>
              </w:rPr>
            </w:pPr>
          </w:p>
          <w:p w14:paraId="35E4ECEE">
            <w:pPr>
              <w:pStyle w:val="7"/>
              <w:spacing w:line="591" w:lineRule="exact"/>
              <w:ind w:firstLine="93"/>
            </w:pPr>
          </w:p>
        </w:tc>
        <w:tc>
          <w:tcPr>
            <w:tcW w:w="2103" w:type="dxa"/>
            <w:vAlign w:val="top"/>
          </w:tcPr>
          <w:p w14:paraId="7AE81CC0">
            <w:pPr>
              <w:pStyle w:val="7"/>
              <w:spacing w:line="591" w:lineRule="exact"/>
              <w:ind w:firstLine="94"/>
            </w:pPr>
            <w:r>
              <w:rPr>
                <w:rFonts w:hint="eastAsia"/>
                <w:color w:val="auto"/>
                <w:highlight w:val="none"/>
                <w:lang w:val="en-US" w:eastAsia="zh-CN"/>
              </w:rPr>
              <w:t>。</w:t>
            </w:r>
          </w:p>
        </w:tc>
        <w:tc>
          <w:tcPr>
            <w:tcW w:w="1464" w:type="dxa"/>
            <w:vAlign w:val="top"/>
          </w:tcPr>
          <w:p w14:paraId="053BF943">
            <w:pPr>
              <w:spacing w:line="318" w:lineRule="auto"/>
              <w:rPr>
                <w:rFonts w:ascii="Arial"/>
                <w:sz w:val="21"/>
              </w:rPr>
            </w:pPr>
          </w:p>
          <w:p w14:paraId="07863906">
            <w:pPr>
              <w:pStyle w:val="7"/>
              <w:spacing w:line="591" w:lineRule="exact"/>
              <w:ind w:firstLine="95"/>
            </w:pPr>
          </w:p>
        </w:tc>
      </w:tr>
    </w:tbl>
    <w:p w14:paraId="59B2447C">
      <w:pPr>
        <w:pStyle w:val="3"/>
        <w:keepNext w:val="0"/>
        <w:keepLines w:val="0"/>
        <w:pageBreakBefore w:val="0"/>
        <w:overflowPunct/>
        <w:topLinePunct w:val="0"/>
        <w:bidi w:val="0"/>
        <w:spacing w:line="480" w:lineRule="exact"/>
        <w:ind w:left="0" w:right="0" w:firstLine="450" w:firstLineChars="200"/>
        <w:outlineLvl w:val="1"/>
        <w:rPr>
          <w:rFonts w:hint="eastAsia" w:ascii="宋体" w:hAnsi="宋体" w:eastAsia="宋体" w:cs="宋体"/>
          <w:sz w:val="24"/>
          <w:szCs w:val="24"/>
        </w:rPr>
      </w:pPr>
      <w:r>
        <w:rPr>
          <w:rFonts w:hint="eastAsia" w:ascii="宋体" w:hAnsi="宋体" w:eastAsia="宋体" w:cs="宋体"/>
          <w:b/>
          <w:bCs/>
          <w:spacing w:val="-8"/>
          <w:sz w:val="24"/>
          <w:szCs w:val="24"/>
        </w:rPr>
        <w:t>四、合同履行</w:t>
      </w:r>
    </w:p>
    <w:p w14:paraId="0C040208">
      <w:pPr>
        <w:pStyle w:val="3"/>
        <w:keepNext w:val="0"/>
        <w:keepLines w:val="0"/>
        <w:pageBreakBefore w:val="0"/>
        <w:overflowPunct/>
        <w:topLinePunct w:val="0"/>
        <w:bidi w:val="0"/>
        <w:spacing w:line="480" w:lineRule="exact"/>
        <w:ind w:left="0"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w:t>
      </w:r>
      <w:r>
        <w:rPr>
          <w:rFonts w:hint="eastAsia" w:ascii="宋体" w:hAnsi="宋体" w:eastAsia="宋体" w:cs="宋体"/>
          <w:sz w:val="24"/>
          <w:szCs w:val="24"/>
          <w:highlight w:val="none"/>
        </w:rPr>
        <w:t>.1.服务期限</w:t>
      </w:r>
      <w:r>
        <w:rPr>
          <w:rFonts w:hint="eastAsia" w:ascii="宋体" w:hAnsi="宋体" w:eastAsia="宋体" w:cs="宋体"/>
          <w:spacing w:val="-73"/>
          <w:w w:val="87"/>
          <w:sz w:val="24"/>
          <w:szCs w:val="24"/>
          <w:highlight w:val="none"/>
        </w:rPr>
        <w:t>：</w:t>
      </w:r>
      <w:r>
        <w:rPr>
          <w:rFonts w:hint="eastAsia" w:ascii="宋体" w:hAnsi="宋体" w:cs="宋体"/>
          <w:sz w:val="24"/>
          <w:szCs w:val="24"/>
          <w:highlight w:val="none"/>
          <w:lang w:val="en-US" w:eastAsia="zh-CN"/>
        </w:rPr>
        <w:t>三年，合同一年一签(考核合格后续签合同</w:t>
      </w:r>
      <w:r>
        <w:rPr>
          <w:rFonts w:hint="eastAsia" w:ascii="宋体" w:cs="宋体"/>
          <w:sz w:val="24"/>
          <w:szCs w:val="24"/>
          <w:highlight w:val="none"/>
          <w:lang w:val="en-US" w:eastAsia="zh-CN"/>
        </w:rPr>
        <w:t>,考核表详见附件</w:t>
      </w:r>
      <w:r>
        <w:rPr>
          <w:rFonts w:hint="eastAsia" w:ascii="宋体" w:hAnsi="宋体" w:cs="宋体"/>
          <w:sz w:val="24"/>
          <w:szCs w:val="24"/>
          <w:highlight w:val="none"/>
          <w:lang w:val="en-US" w:eastAsia="zh-CN"/>
        </w:rPr>
        <w:t>)</w:t>
      </w:r>
      <w:r>
        <w:rPr>
          <w:rFonts w:hint="eastAsia" w:cs="宋体"/>
          <w:highlight w:val="none"/>
          <w:lang w:val="en-US" w:eastAsia="zh-CN"/>
        </w:rPr>
        <w:t>；</w:t>
      </w:r>
    </w:p>
    <w:p w14:paraId="7AAA8B56">
      <w:pPr>
        <w:pStyle w:val="3"/>
        <w:keepNext w:val="0"/>
        <w:keepLines w:val="0"/>
        <w:pageBreakBefore w:val="0"/>
        <w:overflowPunct/>
        <w:topLinePunct w:val="0"/>
        <w:bidi w:val="0"/>
        <w:spacing w:line="480" w:lineRule="exact"/>
        <w:ind w:left="0" w:right="0" w:firstLine="484" w:firstLineChars="200"/>
        <w:rPr>
          <w:rFonts w:hint="eastAsia" w:ascii="宋体" w:hAnsi="宋体" w:eastAsia="宋体" w:cs="宋体"/>
          <w:sz w:val="24"/>
          <w:szCs w:val="24"/>
          <w:lang w:val="en-US" w:eastAsia="zh-CN"/>
        </w:rPr>
      </w:pPr>
      <w:r>
        <w:rPr>
          <w:rFonts w:hint="eastAsia" w:ascii="宋体" w:hAnsi="宋体" w:eastAsia="宋体" w:cs="宋体"/>
          <w:spacing w:val="1"/>
          <w:sz w:val="24"/>
          <w:szCs w:val="24"/>
        </w:rPr>
        <w:t>4.2.服务地点</w:t>
      </w:r>
      <w:r>
        <w:rPr>
          <w:rFonts w:hint="eastAsia" w:ascii="宋体" w:hAnsi="宋体" w:eastAsia="宋体" w:cs="宋体"/>
          <w:spacing w:val="-76"/>
          <w:w w:val="90"/>
          <w:sz w:val="24"/>
          <w:szCs w:val="24"/>
        </w:rPr>
        <w:t>：</w:t>
      </w:r>
      <w:r>
        <w:rPr>
          <w:rFonts w:hint="eastAsia" w:cs="宋体"/>
          <w:sz w:val="24"/>
          <w:szCs w:val="24"/>
          <w:lang w:val="en-US" w:eastAsia="zh-CN"/>
        </w:rPr>
        <w:t>雅安市雨城区人民医院</w:t>
      </w:r>
    </w:p>
    <w:p w14:paraId="144AA195">
      <w:pPr>
        <w:pStyle w:val="3"/>
        <w:keepNext w:val="0"/>
        <w:keepLines w:val="0"/>
        <w:pageBreakBefore w:val="0"/>
        <w:overflowPunct/>
        <w:topLinePunct w:val="0"/>
        <w:bidi w:val="0"/>
        <w:spacing w:line="480" w:lineRule="exact"/>
        <w:ind w:left="0" w:right="0" w:firstLine="468" w:firstLineChars="200"/>
        <w:rPr>
          <w:rFonts w:hint="eastAsia" w:ascii="宋体" w:hAnsi="宋体" w:eastAsia="宋体" w:cs="宋体"/>
          <w:sz w:val="24"/>
          <w:szCs w:val="24"/>
          <w:lang w:val="en-US" w:eastAsia="zh-CN"/>
        </w:rPr>
      </w:pPr>
      <w:r>
        <w:rPr>
          <w:rFonts w:hint="eastAsia" w:ascii="宋体" w:hAnsi="宋体" w:eastAsia="宋体" w:cs="宋体"/>
          <w:spacing w:val="-3"/>
          <w:sz w:val="24"/>
          <w:szCs w:val="24"/>
        </w:rPr>
        <w:t>4.3.分期履行要求：</w:t>
      </w:r>
      <w:r>
        <w:rPr>
          <w:rFonts w:hint="eastAsia" w:ascii="宋体" w:hAnsi="宋体" w:eastAsia="宋体" w:cs="宋体"/>
          <w:spacing w:val="-74"/>
          <w:sz w:val="24"/>
          <w:szCs w:val="24"/>
          <w:lang w:val="en-US" w:eastAsia="zh-CN"/>
        </w:rPr>
        <w:t>/</w:t>
      </w:r>
    </w:p>
    <w:p w14:paraId="1BB7A186">
      <w:pPr>
        <w:pStyle w:val="3"/>
        <w:keepNext w:val="0"/>
        <w:keepLines w:val="0"/>
        <w:pageBreakBefore w:val="0"/>
        <w:overflowPunct/>
        <w:topLinePunct w:val="0"/>
        <w:bidi w:val="0"/>
        <w:spacing w:line="480" w:lineRule="exact"/>
        <w:ind w:left="0" w:right="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4.4.风险处置措施和替代方案：</w:t>
      </w:r>
    </w:p>
    <w:p w14:paraId="6D435EBE">
      <w:pPr>
        <w:pStyle w:val="3"/>
        <w:keepNext w:val="0"/>
        <w:keepLines w:val="0"/>
        <w:pageBreakBefore w:val="0"/>
        <w:overflowPunct/>
        <w:topLinePunct w:val="0"/>
        <w:bidi w:val="0"/>
        <w:spacing w:line="480" w:lineRule="exact"/>
        <w:ind w:left="0" w:right="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该采购项目按照《政府采购需求管理办法》第二十五条规定，本项目是否需要组织风险判断、提出处置措施和替代方案：</w:t>
      </w:r>
      <w:r>
        <w:rPr>
          <w:rFonts w:hint="eastAsia" w:ascii="宋体" w:cs="宋体"/>
          <w:sz w:val="24"/>
          <w:szCs w:val="24"/>
          <w:lang w:val="en-US" w:eastAsia="zh-CN"/>
        </w:rPr>
        <w:t>□</w:t>
      </w:r>
      <w:r>
        <w:rPr>
          <w:rFonts w:hint="eastAsia" w:ascii="宋体" w:hAnsi="宋体" w:eastAsia="宋体" w:cs="宋体"/>
          <w:sz w:val="24"/>
          <w:szCs w:val="24"/>
          <w:lang w:val="en-US" w:eastAsia="zh-CN"/>
        </w:rPr>
        <w:t xml:space="preserve"> 是  </w:t>
      </w:r>
      <w:r>
        <w:rPr>
          <w:rFonts w:hint="eastAsia" w:ascii="宋体" w:hAnsi="宋体" w:eastAsia="宋体" w:cs="宋体"/>
          <w:sz w:val="24"/>
          <w:szCs w:val="24"/>
          <w:lang w:val="en-US" w:eastAsia="zh-CN"/>
        </w:rPr>
        <w:sym w:font="Wingdings 2" w:char="0052"/>
      </w:r>
      <w:r>
        <w:rPr>
          <w:rFonts w:hint="eastAsia" w:ascii="宋体" w:hAnsi="宋体" w:eastAsia="宋体" w:cs="宋体"/>
          <w:sz w:val="24"/>
          <w:szCs w:val="24"/>
          <w:lang w:val="en-US" w:eastAsia="zh-CN"/>
        </w:rPr>
        <w:t xml:space="preserve"> 否</w:t>
      </w:r>
    </w:p>
    <w:p w14:paraId="1072E678">
      <w:pPr>
        <w:pStyle w:val="3"/>
        <w:keepNext w:val="0"/>
        <w:keepLines w:val="0"/>
        <w:pageBreakBefore w:val="0"/>
        <w:overflowPunct/>
        <w:topLinePunct w:val="0"/>
        <w:bidi w:val="0"/>
        <w:spacing w:line="480" w:lineRule="exact"/>
        <w:ind w:left="0" w:right="0" w:firstLine="466" w:firstLineChars="200"/>
        <w:outlineLvl w:val="1"/>
        <w:rPr>
          <w:rFonts w:hint="eastAsia" w:ascii="宋体" w:hAnsi="宋体" w:eastAsia="宋体" w:cs="宋体"/>
          <w:sz w:val="24"/>
          <w:szCs w:val="24"/>
        </w:rPr>
      </w:pPr>
      <w:r>
        <w:rPr>
          <w:rFonts w:hint="eastAsia" w:ascii="宋体" w:hAnsi="宋体" w:eastAsia="宋体" w:cs="宋体"/>
          <w:b/>
          <w:bCs/>
          <w:spacing w:val="-4"/>
          <w:sz w:val="24"/>
          <w:szCs w:val="24"/>
        </w:rPr>
        <w:t>五、验收、交付标准和方法</w:t>
      </w:r>
    </w:p>
    <w:p w14:paraId="6DEB7B54">
      <w:pPr>
        <w:keepNext w:val="0"/>
        <w:keepLines w:val="0"/>
        <w:pageBreakBefore w:val="0"/>
        <w:widowControl w:val="0"/>
        <w:kinsoku/>
        <w:wordWrap/>
        <w:overflowPunct/>
        <w:topLinePunct w:val="0"/>
        <w:autoSpaceDE/>
        <w:autoSpaceDN/>
        <w:bidi w:val="0"/>
        <w:adjustRightInd/>
        <w:snapToGrid/>
        <w:spacing w:line="480" w:lineRule="exact"/>
        <w:ind w:left="0" w:right="0" w:firstLine="480" w:firstLineChars="200"/>
        <w:textAlignment w:val="auto"/>
        <w:rPr>
          <w:rFonts w:hint="eastAsia" w:ascii="宋体" w:hAnsi="宋体" w:eastAsia="宋体" w:cs="宋体"/>
          <w:i w:val="0"/>
          <w:iCs w:val="0"/>
          <w:caps w:val="0"/>
          <w:color w:val="333333"/>
          <w:spacing w:val="0"/>
          <w:sz w:val="24"/>
          <w:szCs w:val="24"/>
          <w:highlight w:val="none"/>
          <w:shd w:val="clear" w:fill="FFFFFF"/>
        </w:rPr>
      </w:pPr>
      <w:r>
        <w:rPr>
          <w:rFonts w:hint="eastAsia" w:ascii="宋体" w:hAnsi="宋体" w:eastAsia="宋体" w:cs="宋体"/>
          <w:i w:val="0"/>
          <w:iCs w:val="0"/>
          <w:caps w:val="0"/>
          <w:color w:val="333333"/>
          <w:spacing w:val="0"/>
          <w:sz w:val="24"/>
          <w:szCs w:val="24"/>
          <w:highlight w:val="none"/>
          <w:shd w:val="clear" w:fill="FFFFFF"/>
        </w:rPr>
        <w:t>履约验收方案</w:t>
      </w:r>
    </w:p>
    <w:p w14:paraId="43A01D38">
      <w:pPr>
        <w:keepNext w:val="0"/>
        <w:keepLines w:val="0"/>
        <w:pageBreakBefore w:val="0"/>
        <w:widowControl w:val="0"/>
        <w:kinsoku/>
        <w:wordWrap/>
        <w:overflowPunct/>
        <w:topLinePunct w:val="0"/>
        <w:autoSpaceDE/>
        <w:autoSpaceDN/>
        <w:bidi w:val="0"/>
        <w:adjustRightInd/>
        <w:snapToGrid/>
        <w:spacing w:line="480" w:lineRule="exact"/>
        <w:ind w:left="0" w:right="0" w:firstLine="480" w:firstLineChars="200"/>
        <w:textAlignment w:val="auto"/>
        <w:rPr>
          <w:rFonts w:hint="eastAsia" w:ascii="宋体" w:hAnsi="宋体" w:eastAsia="宋体" w:cs="宋体"/>
          <w:i w:val="0"/>
          <w:iCs w:val="0"/>
          <w:caps w:val="0"/>
          <w:color w:val="333333"/>
          <w:spacing w:val="0"/>
          <w:sz w:val="24"/>
          <w:szCs w:val="24"/>
          <w:highlight w:val="none"/>
          <w:shd w:val="clear" w:fill="FFFFFF"/>
        </w:rPr>
      </w:pPr>
      <w:r>
        <w:rPr>
          <w:rFonts w:hint="eastAsia" w:ascii="宋体" w:hAnsi="宋体" w:eastAsia="宋体" w:cs="宋体"/>
          <w:i w:val="0"/>
          <w:iCs w:val="0"/>
          <w:caps w:val="0"/>
          <w:color w:val="333333"/>
          <w:spacing w:val="0"/>
          <w:sz w:val="24"/>
          <w:szCs w:val="24"/>
          <w:highlight w:val="none"/>
          <w:shd w:val="clear" w:fill="FFFFFF"/>
        </w:rPr>
        <w:t>1）验收组织方式：</w:t>
      </w:r>
      <w:r>
        <w:rPr>
          <w:rFonts w:hint="eastAsia" w:ascii="宋体" w:hAnsi="宋体" w:eastAsia="宋体" w:cs="宋体"/>
          <w:i w:val="0"/>
          <w:iCs w:val="0"/>
          <w:caps w:val="0"/>
          <w:color w:val="333333"/>
          <w:spacing w:val="0"/>
          <w:sz w:val="24"/>
          <w:szCs w:val="24"/>
          <w:highlight w:val="none"/>
          <w:shd w:val="clear" w:fill="FFFFFF"/>
          <w:lang w:val="en-US" w:eastAsia="zh-CN"/>
        </w:rPr>
        <w:t>☑ 自行验收</w:t>
      </w:r>
      <w:r>
        <w:rPr>
          <w:rFonts w:hint="eastAsia" w:ascii="宋体" w:hAnsi="宋体" w:eastAsia="宋体" w:cs="宋体"/>
          <w:i w:val="0"/>
          <w:iCs w:val="0"/>
          <w:caps w:val="0"/>
          <w:color w:val="333333"/>
          <w:spacing w:val="0"/>
          <w:sz w:val="24"/>
          <w:szCs w:val="24"/>
          <w:highlight w:val="none"/>
          <w:shd w:val="clear" w:fill="FFFFFF"/>
        </w:rPr>
        <w:t xml:space="preserve">  □ 委托第三方验收</w:t>
      </w:r>
    </w:p>
    <w:p w14:paraId="54A4214E">
      <w:pPr>
        <w:keepNext w:val="0"/>
        <w:keepLines w:val="0"/>
        <w:pageBreakBefore w:val="0"/>
        <w:widowControl w:val="0"/>
        <w:kinsoku/>
        <w:wordWrap/>
        <w:overflowPunct/>
        <w:topLinePunct w:val="0"/>
        <w:autoSpaceDE/>
        <w:autoSpaceDN/>
        <w:bidi w:val="0"/>
        <w:adjustRightInd/>
        <w:snapToGrid/>
        <w:spacing w:line="480" w:lineRule="exact"/>
        <w:ind w:left="0" w:right="0" w:firstLine="480" w:firstLineChars="200"/>
        <w:textAlignment w:val="auto"/>
        <w:rPr>
          <w:rFonts w:hint="eastAsia" w:ascii="宋体" w:hAnsi="宋体" w:eastAsia="宋体" w:cs="宋体"/>
          <w:i w:val="0"/>
          <w:iCs w:val="0"/>
          <w:caps w:val="0"/>
          <w:color w:val="333333"/>
          <w:spacing w:val="0"/>
          <w:sz w:val="24"/>
          <w:szCs w:val="24"/>
          <w:highlight w:val="none"/>
          <w:shd w:val="clear" w:fill="FFFFFF"/>
        </w:rPr>
      </w:pPr>
      <w:r>
        <w:rPr>
          <w:rFonts w:hint="eastAsia" w:ascii="宋体" w:hAnsi="宋体" w:eastAsia="宋体" w:cs="宋体"/>
          <w:i w:val="0"/>
          <w:iCs w:val="0"/>
          <w:caps w:val="0"/>
          <w:color w:val="333333"/>
          <w:spacing w:val="0"/>
          <w:sz w:val="24"/>
          <w:szCs w:val="24"/>
          <w:highlight w:val="none"/>
          <w:shd w:val="clear" w:fill="FFFFFF"/>
        </w:rPr>
        <w:t xml:space="preserve">2）是否邀请本项目的其他供应商：□ 是  </w:t>
      </w:r>
      <w:r>
        <w:rPr>
          <w:rFonts w:hint="eastAsia" w:ascii="宋体" w:hAnsi="宋体" w:eastAsia="宋体" w:cs="宋体"/>
          <w:i w:val="0"/>
          <w:iCs w:val="0"/>
          <w:caps w:val="0"/>
          <w:color w:val="333333"/>
          <w:spacing w:val="0"/>
          <w:sz w:val="24"/>
          <w:szCs w:val="24"/>
          <w:highlight w:val="none"/>
          <w:shd w:val="clear" w:fill="FFFFFF"/>
          <w:lang w:val="en-US" w:eastAsia="zh-CN"/>
        </w:rPr>
        <w:t>☑ 否</w:t>
      </w:r>
    </w:p>
    <w:p w14:paraId="018E60A1">
      <w:pPr>
        <w:keepNext w:val="0"/>
        <w:keepLines w:val="0"/>
        <w:pageBreakBefore w:val="0"/>
        <w:widowControl w:val="0"/>
        <w:kinsoku/>
        <w:wordWrap/>
        <w:overflowPunct/>
        <w:topLinePunct w:val="0"/>
        <w:autoSpaceDE/>
        <w:autoSpaceDN/>
        <w:bidi w:val="0"/>
        <w:adjustRightInd/>
        <w:snapToGrid/>
        <w:spacing w:line="480" w:lineRule="exact"/>
        <w:ind w:left="0" w:right="0" w:firstLine="480" w:firstLineChars="200"/>
        <w:textAlignment w:val="auto"/>
        <w:rPr>
          <w:rFonts w:hint="eastAsia" w:ascii="宋体" w:hAnsi="宋体" w:eastAsia="宋体" w:cs="宋体"/>
          <w:i w:val="0"/>
          <w:iCs w:val="0"/>
          <w:caps w:val="0"/>
          <w:color w:val="333333"/>
          <w:spacing w:val="0"/>
          <w:sz w:val="24"/>
          <w:szCs w:val="24"/>
          <w:highlight w:val="none"/>
          <w:shd w:val="clear" w:fill="FFFFFF"/>
        </w:rPr>
      </w:pPr>
      <w:r>
        <w:rPr>
          <w:rFonts w:hint="eastAsia" w:ascii="宋体" w:hAnsi="宋体" w:eastAsia="宋体" w:cs="宋体"/>
          <w:i w:val="0"/>
          <w:iCs w:val="0"/>
          <w:caps w:val="0"/>
          <w:color w:val="333333"/>
          <w:spacing w:val="0"/>
          <w:sz w:val="24"/>
          <w:szCs w:val="24"/>
          <w:highlight w:val="none"/>
          <w:shd w:val="clear" w:fill="FFFFFF"/>
        </w:rPr>
        <w:t>3）是否邀请专家：</w:t>
      </w:r>
      <w:r>
        <w:rPr>
          <w:rFonts w:hint="eastAsia" w:cs="宋体"/>
          <w:i w:val="0"/>
          <w:iCs w:val="0"/>
          <w:caps w:val="0"/>
          <w:color w:val="333333"/>
          <w:spacing w:val="0"/>
          <w:sz w:val="24"/>
          <w:szCs w:val="24"/>
          <w:highlight w:val="none"/>
          <w:shd w:val="clear" w:fill="FFFFFF"/>
          <w:lang w:eastAsia="zh-CN"/>
        </w:rPr>
        <w:t>☑</w:t>
      </w:r>
      <w:r>
        <w:rPr>
          <w:rFonts w:hint="eastAsia" w:ascii="宋体" w:hAnsi="宋体" w:eastAsia="宋体" w:cs="宋体"/>
          <w:i w:val="0"/>
          <w:iCs w:val="0"/>
          <w:caps w:val="0"/>
          <w:color w:val="333333"/>
          <w:spacing w:val="0"/>
          <w:sz w:val="24"/>
          <w:szCs w:val="24"/>
          <w:highlight w:val="none"/>
          <w:shd w:val="clear" w:fill="FFFFFF"/>
        </w:rPr>
        <w:t xml:space="preserve"> 是 </w:t>
      </w:r>
      <w:r>
        <w:rPr>
          <w:rFonts w:hint="eastAsia" w:ascii="宋体" w:hAnsi="宋体" w:eastAsia="宋体" w:cs="宋体"/>
          <w:i w:val="0"/>
          <w:iCs w:val="0"/>
          <w:caps w:val="0"/>
          <w:color w:val="333333"/>
          <w:spacing w:val="0"/>
          <w:sz w:val="24"/>
          <w:szCs w:val="24"/>
          <w:highlight w:val="none"/>
          <w:shd w:val="clear" w:fill="FFFFFF"/>
          <w:lang w:val="en-US" w:eastAsia="zh-CN"/>
        </w:rPr>
        <w:t xml:space="preserve"> </w:t>
      </w:r>
      <w:r>
        <w:rPr>
          <w:rFonts w:hint="eastAsia" w:ascii="宋体" w:hAnsi="宋体" w:eastAsia="宋体" w:cs="宋体"/>
          <w:i w:val="0"/>
          <w:iCs w:val="0"/>
          <w:caps w:val="0"/>
          <w:color w:val="333333"/>
          <w:spacing w:val="0"/>
          <w:sz w:val="24"/>
          <w:szCs w:val="24"/>
          <w:highlight w:val="none"/>
          <w:shd w:val="clear" w:fill="FFFFFF"/>
          <w:lang w:val="en-US" w:eastAsia="zh-CN"/>
        </w:rPr>
        <w:sym w:font="Wingdings 2" w:char="00A3"/>
      </w:r>
      <w:r>
        <w:rPr>
          <w:rFonts w:hint="eastAsia" w:ascii="宋体" w:hAnsi="宋体" w:eastAsia="宋体" w:cs="宋体"/>
          <w:i w:val="0"/>
          <w:iCs w:val="0"/>
          <w:caps w:val="0"/>
          <w:color w:val="333333"/>
          <w:spacing w:val="0"/>
          <w:sz w:val="24"/>
          <w:szCs w:val="24"/>
          <w:highlight w:val="none"/>
          <w:shd w:val="clear" w:fill="FFFFFF"/>
          <w:lang w:val="en-US" w:eastAsia="zh-CN"/>
        </w:rPr>
        <w:t xml:space="preserve"> 否</w:t>
      </w:r>
    </w:p>
    <w:p w14:paraId="20D43F07">
      <w:pPr>
        <w:keepNext w:val="0"/>
        <w:keepLines w:val="0"/>
        <w:pageBreakBefore w:val="0"/>
        <w:widowControl w:val="0"/>
        <w:kinsoku/>
        <w:wordWrap/>
        <w:overflowPunct/>
        <w:topLinePunct w:val="0"/>
        <w:autoSpaceDE/>
        <w:autoSpaceDN/>
        <w:bidi w:val="0"/>
        <w:adjustRightInd/>
        <w:snapToGrid/>
        <w:spacing w:line="480" w:lineRule="exact"/>
        <w:ind w:left="0" w:right="0" w:firstLine="480" w:firstLineChars="200"/>
        <w:textAlignment w:val="auto"/>
        <w:rPr>
          <w:rFonts w:hint="eastAsia" w:ascii="宋体" w:hAnsi="宋体" w:eastAsia="宋体" w:cs="宋体"/>
          <w:i w:val="0"/>
          <w:iCs w:val="0"/>
          <w:caps w:val="0"/>
          <w:color w:val="333333"/>
          <w:spacing w:val="0"/>
          <w:sz w:val="24"/>
          <w:szCs w:val="24"/>
          <w:highlight w:val="none"/>
          <w:shd w:val="clear" w:fill="FFFFFF"/>
          <w:lang w:val="en-US" w:eastAsia="zh-CN"/>
        </w:rPr>
      </w:pPr>
      <w:r>
        <w:rPr>
          <w:rFonts w:hint="eastAsia" w:ascii="宋体" w:hAnsi="宋体" w:eastAsia="宋体" w:cs="宋体"/>
          <w:i w:val="0"/>
          <w:iCs w:val="0"/>
          <w:caps w:val="0"/>
          <w:color w:val="333333"/>
          <w:spacing w:val="0"/>
          <w:sz w:val="24"/>
          <w:szCs w:val="24"/>
          <w:highlight w:val="none"/>
          <w:shd w:val="clear" w:fill="FFFFFF"/>
        </w:rPr>
        <w:t xml:space="preserve">4）是否邀请服务对象：□ 是 </w:t>
      </w:r>
      <w:r>
        <w:rPr>
          <w:rFonts w:hint="eastAsia" w:ascii="宋体" w:hAnsi="宋体" w:eastAsia="宋体" w:cs="宋体"/>
          <w:i w:val="0"/>
          <w:iCs w:val="0"/>
          <w:caps w:val="0"/>
          <w:color w:val="333333"/>
          <w:spacing w:val="0"/>
          <w:sz w:val="24"/>
          <w:szCs w:val="24"/>
          <w:highlight w:val="none"/>
          <w:shd w:val="clear" w:fill="FFFFFF"/>
          <w:lang w:val="en-US" w:eastAsia="zh-CN"/>
        </w:rPr>
        <w:t xml:space="preserve"> </w:t>
      </w:r>
      <w:r>
        <w:rPr>
          <w:rFonts w:hint="eastAsia" w:ascii="宋体" w:hAnsi="宋体" w:eastAsia="宋体" w:cs="宋体"/>
          <w:i w:val="0"/>
          <w:iCs w:val="0"/>
          <w:caps w:val="0"/>
          <w:color w:val="333333"/>
          <w:spacing w:val="0"/>
          <w:sz w:val="24"/>
          <w:szCs w:val="24"/>
          <w:highlight w:val="none"/>
          <w:shd w:val="clear" w:fill="FFFFFF"/>
          <w:lang w:val="en-US" w:eastAsia="zh-CN"/>
        </w:rPr>
        <w:sym w:font="Wingdings 2" w:char="0052"/>
      </w:r>
      <w:r>
        <w:rPr>
          <w:rFonts w:hint="eastAsia" w:ascii="宋体" w:hAnsi="宋体" w:eastAsia="宋体" w:cs="宋体"/>
          <w:i w:val="0"/>
          <w:iCs w:val="0"/>
          <w:caps w:val="0"/>
          <w:color w:val="333333"/>
          <w:spacing w:val="0"/>
          <w:sz w:val="24"/>
          <w:szCs w:val="24"/>
          <w:highlight w:val="none"/>
          <w:shd w:val="clear" w:fill="FFFFFF"/>
          <w:lang w:val="en-US" w:eastAsia="zh-CN"/>
        </w:rPr>
        <w:t xml:space="preserve"> 否</w:t>
      </w:r>
    </w:p>
    <w:p w14:paraId="53CE695E">
      <w:pPr>
        <w:keepNext w:val="0"/>
        <w:keepLines w:val="0"/>
        <w:pageBreakBefore w:val="0"/>
        <w:widowControl w:val="0"/>
        <w:kinsoku/>
        <w:wordWrap/>
        <w:overflowPunct/>
        <w:topLinePunct w:val="0"/>
        <w:autoSpaceDE/>
        <w:autoSpaceDN/>
        <w:bidi w:val="0"/>
        <w:adjustRightInd/>
        <w:snapToGrid/>
        <w:spacing w:line="480" w:lineRule="exact"/>
        <w:ind w:left="0" w:right="0" w:firstLine="480" w:firstLineChars="200"/>
        <w:textAlignment w:val="auto"/>
        <w:rPr>
          <w:rFonts w:hint="eastAsia" w:ascii="宋体" w:hAnsi="宋体" w:eastAsia="宋体" w:cs="宋体"/>
          <w:i w:val="0"/>
          <w:iCs w:val="0"/>
          <w:caps w:val="0"/>
          <w:color w:val="333333"/>
          <w:spacing w:val="0"/>
          <w:sz w:val="24"/>
          <w:szCs w:val="24"/>
          <w:highlight w:val="none"/>
          <w:shd w:val="clear" w:fill="FFFFFF"/>
          <w:lang w:val="en-US" w:eastAsia="zh-CN"/>
        </w:rPr>
      </w:pPr>
      <w:r>
        <w:rPr>
          <w:rFonts w:hint="eastAsia" w:ascii="宋体" w:hAnsi="宋体" w:eastAsia="宋体" w:cs="宋体"/>
          <w:i w:val="0"/>
          <w:iCs w:val="0"/>
          <w:caps w:val="0"/>
          <w:color w:val="333333"/>
          <w:spacing w:val="0"/>
          <w:sz w:val="24"/>
          <w:szCs w:val="24"/>
          <w:highlight w:val="none"/>
          <w:shd w:val="clear" w:fill="FFFFFF"/>
        </w:rPr>
        <w:t xml:space="preserve">5）是否邀请第三方检测机构：□ 是  </w:t>
      </w:r>
      <w:r>
        <w:rPr>
          <w:rFonts w:hint="eastAsia" w:ascii="宋体" w:hAnsi="宋体" w:eastAsia="宋体" w:cs="宋体"/>
          <w:i w:val="0"/>
          <w:iCs w:val="0"/>
          <w:caps w:val="0"/>
          <w:color w:val="333333"/>
          <w:spacing w:val="0"/>
          <w:sz w:val="24"/>
          <w:szCs w:val="24"/>
          <w:highlight w:val="none"/>
          <w:shd w:val="clear" w:fill="FFFFFF"/>
          <w:lang w:val="en-US" w:eastAsia="zh-CN"/>
        </w:rPr>
        <w:t>☑ 否</w:t>
      </w:r>
    </w:p>
    <w:p w14:paraId="5BE07D7A">
      <w:pPr>
        <w:keepNext w:val="0"/>
        <w:keepLines w:val="0"/>
        <w:pageBreakBefore w:val="0"/>
        <w:widowControl w:val="0"/>
        <w:kinsoku/>
        <w:wordWrap/>
        <w:overflowPunct/>
        <w:topLinePunct w:val="0"/>
        <w:autoSpaceDE/>
        <w:autoSpaceDN/>
        <w:bidi w:val="0"/>
        <w:adjustRightInd/>
        <w:snapToGrid/>
        <w:spacing w:line="480" w:lineRule="exact"/>
        <w:ind w:left="0" w:right="0" w:firstLine="480" w:firstLineChars="200"/>
        <w:textAlignment w:val="auto"/>
        <w:rPr>
          <w:rFonts w:hint="eastAsia" w:ascii="宋体" w:hAnsi="宋体" w:eastAsia="宋体" w:cs="宋体"/>
          <w:i w:val="0"/>
          <w:iCs w:val="0"/>
          <w:caps w:val="0"/>
          <w:color w:val="333333"/>
          <w:spacing w:val="0"/>
          <w:sz w:val="24"/>
          <w:szCs w:val="24"/>
          <w:highlight w:val="none"/>
          <w:shd w:val="clear" w:fill="FFFFFF"/>
        </w:rPr>
      </w:pPr>
      <w:r>
        <w:rPr>
          <w:rFonts w:hint="eastAsia" w:ascii="宋体" w:hAnsi="宋体" w:eastAsia="宋体" w:cs="宋体"/>
          <w:i w:val="0"/>
          <w:iCs w:val="0"/>
          <w:caps w:val="0"/>
          <w:color w:val="333333"/>
          <w:spacing w:val="0"/>
          <w:sz w:val="24"/>
          <w:szCs w:val="24"/>
          <w:highlight w:val="none"/>
          <w:shd w:val="clear" w:fill="FFFFFF"/>
        </w:rPr>
        <w:t>6）履约验收程序：</w:t>
      </w:r>
      <w:r>
        <w:rPr>
          <w:rFonts w:hint="eastAsia" w:ascii="宋体" w:hAnsi="宋体" w:eastAsia="宋体" w:cs="宋体"/>
          <w:i w:val="0"/>
          <w:iCs w:val="0"/>
          <w:caps w:val="0"/>
          <w:color w:val="333333"/>
          <w:spacing w:val="0"/>
          <w:sz w:val="24"/>
          <w:szCs w:val="24"/>
          <w:highlight w:val="none"/>
          <w:shd w:val="clear" w:fill="FFFFFF"/>
          <w:lang w:val="en-US" w:eastAsia="zh-CN"/>
        </w:rPr>
        <w:sym w:font="Wingdings 2" w:char="0052"/>
      </w:r>
      <w:r>
        <w:rPr>
          <w:rFonts w:hint="eastAsia" w:ascii="宋体" w:hAnsi="宋体" w:eastAsia="宋体" w:cs="宋体"/>
          <w:i w:val="0"/>
          <w:iCs w:val="0"/>
          <w:caps w:val="0"/>
          <w:color w:val="333333"/>
          <w:spacing w:val="0"/>
          <w:sz w:val="24"/>
          <w:szCs w:val="24"/>
          <w:highlight w:val="none"/>
          <w:shd w:val="clear" w:fill="FFFFFF"/>
          <w:lang w:val="en-US" w:eastAsia="zh-CN"/>
        </w:rPr>
        <w:t xml:space="preserve"> 一次性验收</w:t>
      </w:r>
      <w:r>
        <w:rPr>
          <w:rFonts w:hint="eastAsia" w:ascii="宋体" w:hAnsi="宋体" w:eastAsia="宋体" w:cs="宋体"/>
          <w:i w:val="0"/>
          <w:iCs w:val="0"/>
          <w:caps w:val="0"/>
          <w:color w:val="333333"/>
          <w:spacing w:val="0"/>
          <w:sz w:val="24"/>
          <w:szCs w:val="24"/>
          <w:highlight w:val="none"/>
          <w:shd w:val="clear" w:fill="FFFFFF"/>
        </w:rPr>
        <w:t xml:space="preserve">  </w:t>
      </w:r>
      <w:r>
        <w:rPr>
          <w:rFonts w:hint="eastAsia" w:ascii="宋体" w:hAnsi="宋体" w:eastAsia="宋体" w:cs="宋体"/>
          <w:i w:val="0"/>
          <w:iCs w:val="0"/>
          <w:caps w:val="0"/>
          <w:color w:val="333333"/>
          <w:spacing w:val="0"/>
          <w:sz w:val="24"/>
          <w:szCs w:val="24"/>
          <w:highlight w:val="none"/>
          <w:shd w:val="clear" w:fill="FFFFFF"/>
          <w:lang w:val="en-US" w:eastAsia="zh-CN"/>
        </w:rPr>
        <w:sym w:font="Wingdings 2" w:char="00A3"/>
      </w:r>
      <w:r>
        <w:rPr>
          <w:rFonts w:hint="eastAsia" w:ascii="宋体" w:hAnsi="宋体" w:eastAsia="宋体" w:cs="宋体"/>
          <w:i w:val="0"/>
          <w:iCs w:val="0"/>
          <w:caps w:val="0"/>
          <w:color w:val="333333"/>
          <w:spacing w:val="0"/>
          <w:sz w:val="24"/>
          <w:szCs w:val="24"/>
          <w:highlight w:val="none"/>
          <w:shd w:val="clear" w:fill="FFFFFF"/>
          <w:lang w:val="en-US" w:eastAsia="zh-CN"/>
        </w:rPr>
        <w:t xml:space="preserve"> 分段/分期验收</w:t>
      </w:r>
    </w:p>
    <w:p w14:paraId="55416367">
      <w:pPr>
        <w:keepNext w:val="0"/>
        <w:keepLines w:val="0"/>
        <w:pageBreakBefore w:val="0"/>
        <w:widowControl w:val="0"/>
        <w:kinsoku/>
        <w:wordWrap/>
        <w:overflowPunct/>
        <w:topLinePunct w:val="0"/>
        <w:autoSpaceDE/>
        <w:autoSpaceDN/>
        <w:bidi w:val="0"/>
        <w:adjustRightInd/>
        <w:snapToGrid/>
        <w:spacing w:line="480" w:lineRule="exact"/>
        <w:ind w:left="0" w:right="0" w:firstLine="480" w:firstLineChars="200"/>
        <w:textAlignment w:val="auto"/>
        <w:rPr>
          <w:rFonts w:hint="eastAsia" w:ascii="宋体" w:hAnsi="宋体" w:eastAsia="宋体" w:cs="宋体"/>
          <w:i w:val="0"/>
          <w:iCs w:val="0"/>
          <w:caps w:val="0"/>
          <w:color w:val="333333"/>
          <w:spacing w:val="0"/>
          <w:sz w:val="24"/>
          <w:szCs w:val="24"/>
          <w:highlight w:val="none"/>
          <w:shd w:val="clear" w:fill="FFFFFF"/>
        </w:rPr>
      </w:pPr>
      <w:r>
        <w:rPr>
          <w:rFonts w:hint="eastAsia" w:ascii="宋体" w:hAnsi="宋体" w:eastAsia="宋体" w:cs="宋体"/>
          <w:i w:val="0"/>
          <w:iCs w:val="0"/>
          <w:caps w:val="0"/>
          <w:color w:val="333333"/>
          <w:spacing w:val="0"/>
          <w:sz w:val="24"/>
          <w:szCs w:val="24"/>
          <w:highlight w:val="none"/>
          <w:shd w:val="clear" w:fill="FFFFFF"/>
        </w:rPr>
        <w:t>7）履约验收时间：</w:t>
      </w:r>
    </w:p>
    <w:p w14:paraId="7866E650">
      <w:pPr>
        <w:keepNext w:val="0"/>
        <w:keepLines w:val="0"/>
        <w:pageBreakBefore w:val="0"/>
        <w:widowControl w:val="0"/>
        <w:kinsoku/>
        <w:wordWrap/>
        <w:overflowPunct/>
        <w:topLinePunct w:val="0"/>
        <w:autoSpaceDE/>
        <w:autoSpaceDN/>
        <w:bidi w:val="0"/>
        <w:adjustRightInd/>
        <w:snapToGrid/>
        <w:spacing w:line="480" w:lineRule="exact"/>
        <w:ind w:left="0" w:right="0" w:firstLine="480" w:firstLineChars="200"/>
        <w:textAlignment w:val="auto"/>
        <w:rPr>
          <w:rFonts w:hint="eastAsia" w:ascii="宋体" w:hAnsi="宋体" w:eastAsia="宋体" w:cs="宋体"/>
          <w:i w:val="0"/>
          <w:iCs w:val="0"/>
          <w:caps w:val="0"/>
          <w:color w:val="333333"/>
          <w:spacing w:val="0"/>
          <w:sz w:val="24"/>
          <w:szCs w:val="24"/>
          <w:highlight w:val="none"/>
          <w:shd w:val="clear" w:fill="FFFFFF"/>
        </w:rPr>
      </w:pPr>
      <w:r>
        <w:rPr>
          <w:rFonts w:hint="eastAsia" w:ascii="宋体" w:hAnsi="宋体" w:eastAsia="宋体" w:cs="宋体"/>
          <w:i w:val="0"/>
          <w:iCs w:val="0"/>
          <w:caps w:val="0"/>
          <w:color w:val="333333"/>
          <w:spacing w:val="0"/>
          <w:sz w:val="24"/>
          <w:szCs w:val="24"/>
          <w:highlight w:val="none"/>
          <w:shd w:val="clear" w:fill="FFFFFF"/>
        </w:rPr>
        <w:t xml:space="preserve">□ 计划于何时验收：计划于 XXXX 年 XX 月 XX 日组织验收  </w:t>
      </w:r>
    </w:p>
    <w:p w14:paraId="3496B64D">
      <w:pPr>
        <w:keepNext w:val="0"/>
        <w:keepLines w:val="0"/>
        <w:pageBreakBefore w:val="0"/>
        <w:widowControl w:val="0"/>
        <w:kinsoku/>
        <w:wordWrap/>
        <w:overflowPunct/>
        <w:topLinePunct w:val="0"/>
        <w:autoSpaceDE/>
        <w:autoSpaceDN/>
        <w:bidi w:val="0"/>
        <w:adjustRightInd/>
        <w:snapToGrid/>
        <w:spacing w:line="480" w:lineRule="exact"/>
        <w:ind w:left="0" w:right="0" w:firstLine="480" w:firstLineChars="200"/>
        <w:textAlignment w:val="auto"/>
        <w:rPr>
          <w:rFonts w:hint="eastAsia" w:ascii="宋体" w:hAnsi="宋体" w:eastAsia="宋体" w:cs="宋体"/>
          <w:i w:val="0"/>
          <w:iCs w:val="0"/>
          <w:caps w:val="0"/>
          <w:color w:val="333333"/>
          <w:spacing w:val="0"/>
          <w:sz w:val="24"/>
          <w:szCs w:val="24"/>
          <w:highlight w:val="none"/>
          <w:shd w:val="clear" w:fill="FFFFFF"/>
        </w:rPr>
      </w:pPr>
      <w:r>
        <w:rPr>
          <w:rFonts w:hint="eastAsia" w:ascii="宋体" w:hAnsi="宋体" w:eastAsia="宋体" w:cs="宋体"/>
          <w:i w:val="0"/>
          <w:iCs w:val="0"/>
          <w:caps w:val="0"/>
          <w:color w:val="333333"/>
          <w:spacing w:val="0"/>
          <w:sz w:val="24"/>
          <w:szCs w:val="24"/>
          <w:highlight w:val="none"/>
          <w:shd w:val="clear" w:fill="FFFFFF"/>
          <w:lang w:val="en-US" w:eastAsia="zh-CN"/>
        </w:rPr>
        <w:t xml:space="preserve">☑ </w:t>
      </w:r>
      <w:r>
        <w:rPr>
          <w:rFonts w:hint="eastAsia" w:ascii="宋体" w:hAnsi="宋体" w:eastAsia="宋体" w:cs="宋体"/>
          <w:i w:val="0"/>
          <w:iCs w:val="0"/>
          <w:caps w:val="0"/>
          <w:color w:val="333333"/>
          <w:spacing w:val="0"/>
          <w:sz w:val="24"/>
          <w:szCs w:val="24"/>
          <w:highlight w:val="none"/>
          <w:shd w:val="clear" w:fill="FFFFFF"/>
        </w:rPr>
        <w:t>供应商提出验收申请之日起</w:t>
      </w:r>
      <w:r>
        <w:rPr>
          <w:rFonts w:hint="eastAsia" w:ascii="宋体" w:hAnsi="宋体" w:eastAsia="宋体" w:cs="宋体"/>
          <w:i w:val="0"/>
          <w:iCs w:val="0"/>
          <w:caps w:val="0"/>
          <w:color w:val="333333"/>
          <w:spacing w:val="0"/>
          <w:sz w:val="24"/>
          <w:szCs w:val="24"/>
          <w:highlight w:val="none"/>
          <w:shd w:val="clear" w:fill="FFFFFF"/>
          <w:lang w:val="en-US" w:eastAsia="zh-CN"/>
        </w:rPr>
        <w:t>5日</w:t>
      </w:r>
      <w:r>
        <w:rPr>
          <w:rFonts w:hint="eastAsia" w:ascii="宋体" w:hAnsi="宋体" w:eastAsia="宋体" w:cs="宋体"/>
          <w:i w:val="0"/>
          <w:iCs w:val="0"/>
          <w:caps w:val="0"/>
          <w:color w:val="333333"/>
          <w:spacing w:val="0"/>
          <w:sz w:val="24"/>
          <w:szCs w:val="24"/>
          <w:highlight w:val="none"/>
          <w:shd w:val="clear" w:fill="FFFFFF"/>
        </w:rPr>
        <w:t xml:space="preserve">内组织验收  </w:t>
      </w:r>
    </w:p>
    <w:p w14:paraId="615FB6A8">
      <w:pPr>
        <w:keepNext w:val="0"/>
        <w:keepLines w:val="0"/>
        <w:pageBreakBefore w:val="0"/>
        <w:widowControl w:val="0"/>
        <w:kinsoku/>
        <w:wordWrap/>
        <w:overflowPunct/>
        <w:topLinePunct w:val="0"/>
        <w:autoSpaceDE/>
        <w:autoSpaceDN/>
        <w:bidi w:val="0"/>
        <w:adjustRightInd/>
        <w:snapToGrid/>
        <w:spacing w:line="480" w:lineRule="exact"/>
        <w:ind w:left="0" w:right="0" w:firstLine="480" w:firstLineChars="200"/>
        <w:textAlignment w:val="auto"/>
        <w:rPr>
          <w:rFonts w:hint="eastAsia" w:ascii="宋体" w:hAnsi="宋体" w:eastAsia="宋体" w:cs="宋体"/>
          <w:i w:val="0"/>
          <w:iCs w:val="0"/>
          <w:caps w:val="0"/>
          <w:color w:val="333333"/>
          <w:spacing w:val="0"/>
          <w:sz w:val="24"/>
          <w:szCs w:val="24"/>
          <w:highlight w:val="none"/>
          <w:shd w:val="clear" w:fill="FFFFFF"/>
        </w:rPr>
      </w:pPr>
      <w:r>
        <w:rPr>
          <w:rFonts w:hint="eastAsia" w:ascii="宋体" w:hAnsi="宋体" w:eastAsia="宋体" w:cs="宋体"/>
          <w:i w:val="0"/>
          <w:iCs w:val="0"/>
          <w:caps w:val="0"/>
          <w:color w:val="333333"/>
          <w:spacing w:val="0"/>
          <w:sz w:val="24"/>
          <w:szCs w:val="24"/>
          <w:highlight w:val="none"/>
          <w:shd w:val="clear" w:fill="FFFFFF"/>
        </w:rPr>
        <w:t>8）验收组织的其他事项：</w:t>
      </w:r>
    </w:p>
    <w:p w14:paraId="45CDDB98">
      <w:pPr>
        <w:pStyle w:val="9"/>
        <w:keepNext w:val="0"/>
        <w:keepLines w:val="0"/>
        <w:pageBreakBefore w:val="0"/>
        <w:widowControl w:val="0"/>
        <w:numPr>
          <w:ilvl w:val="255"/>
          <w:numId w:val="0"/>
        </w:numPr>
        <w:kinsoku/>
        <w:wordWrap w:val="0"/>
        <w:overflowPunct/>
        <w:topLinePunct/>
        <w:autoSpaceDE/>
        <w:autoSpaceDN/>
        <w:bidi w:val="0"/>
        <w:adjustRightInd w:val="0"/>
        <w:snapToGrid w:val="0"/>
        <w:spacing w:line="480" w:lineRule="exact"/>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cs="宋体"/>
          <w:b w:val="0"/>
          <w:bCs/>
          <w:highlight w:val="none"/>
        </w:rPr>
        <w:t>其他未尽事宜应严格按照《财政部关于进一步加强政府采购需求和履约验收管理的指导意见》(财库〔2016〕205号)、《政府采购需求管理办法》(财库〔2021〕22 号)、《雅安市财政局关于规范政府采购履约验收工作的通知》（雅财采〔2021〕50号）及</w:t>
      </w:r>
      <w:r>
        <w:rPr>
          <w:rFonts w:hint="eastAsia" w:cs="宋体"/>
          <w:b w:val="0"/>
          <w:bCs/>
          <w:highlight w:val="none"/>
          <w:lang w:eastAsia="zh-CN"/>
        </w:rPr>
        <w:t>采购</w:t>
      </w:r>
      <w:r>
        <w:rPr>
          <w:rFonts w:hint="eastAsia" w:cs="宋体"/>
          <w:b w:val="0"/>
          <w:bCs/>
          <w:highlight w:val="none"/>
        </w:rPr>
        <w:t>文件相关规定组织验收</w:t>
      </w:r>
      <w:r>
        <w:rPr>
          <w:rFonts w:hint="eastAsia" w:ascii="宋体" w:hAnsi="宋体" w:eastAsia="宋体" w:cs="宋体"/>
          <w:color w:val="auto"/>
          <w:kern w:val="2"/>
          <w:sz w:val="24"/>
          <w:szCs w:val="24"/>
          <w:highlight w:val="none"/>
          <w:lang w:val="en-US" w:eastAsia="zh-CN" w:bidi="ar-SA"/>
        </w:rPr>
        <w:t>。</w:t>
      </w:r>
    </w:p>
    <w:p w14:paraId="5C7900D8">
      <w:pPr>
        <w:widowControl w:val="0"/>
        <w:numPr>
          <w:ilvl w:val="3"/>
          <w:numId w:val="0"/>
        </w:numPr>
        <w:wordWrap w:val="0"/>
        <w:topLinePunct/>
        <w:adjustRightInd w:val="0"/>
        <w:snapToGrid w:val="0"/>
        <w:spacing w:line="480" w:lineRule="exact"/>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9）技术履约验收内容：</w:t>
      </w:r>
    </w:p>
    <w:p w14:paraId="4DACB6C3">
      <w:pPr>
        <w:widowControl w:val="0"/>
        <w:numPr>
          <w:ilvl w:val="3"/>
          <w:numId w:val="0"/>
        </w:numPr>
        <w:wordWrap w:val="0"/>
        <w:topLinePunct/>
        <w:adjustRightInd w:val="0"/>
        <w:snapToGrid w:val="0"/>
        <w:spacing w:line="480" w:lineRule="exact"/>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包括采购内容、具体技术参数指标（技术服务要求）、商务条件、售后服务等涉及本项目服务质量的所有内容。</w:t>
      </w:r>
    </w:p>
    <w:p w14:paraId="3BD222C5">
      <w:pPr>
        <w:widowControl w:val="0"/>
        <w:numPr>
          <w:ilvl w:val="3"/>
          <w:numId w:val="0"/>
        </w:numPr>
        <w:wordWrap w:val="0"/>
        <w:topLinePunct/>
        <w:adjustRightInd w:val="0"/>
        <w:snapToGrid w:val="0"/>
        <w:spacing w:line="480" w:lineRule="exact"/>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10）商务履约验收内容：</w:t>
      </w:r>
    </w:p>
    <w:p w14:paraId="0DBA36E0">
      <w:pPr>
        <w:widowControl w:val="0"/>
        <w:numPr>
          <w:ilvl w:val="3"/>
          <w:numId w:val="0"/>
        </w:numPr>
        <w:wordWrap w:val="0"/>
        <w:topLinePunct/>
        <w:adjustRightInd w:val="0"/>
        <w:snapToGrid w:val="0"/>
        <w:spacing w:line="480" w:lineRule="exact"/>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验收时如发现所提供的服务不符合标准及合同规定之情形者，采购人应做出详尽的现场记录，或由采购双方签署备忘录，此现场记录或备忘录可用作补充、缺失和整改的有效证据，由此产生的时间延误与有关费用由供应商承担，验收期限相应顺延；</w:t>
      </w:r>
    </w:p>
    <w:p w14:paraId="193A4A82">
      <w:pPr>
        <w:widowControl w:val="0"/>
        <w:numPr>
          <w:ilvl w:val="3"/>
          <w:numId w:val="0"/>
        </w:numPr>
        <w:wordWrap w:val="0"/>
        <w:topLinePunct/>
        <w:adjustRightInd w:val="0"/>
        <w:snapToGrid w:val="0"/>
        <w:spacing w:line="480" w:lineRule="exact"/>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2.如验收合格，双方签署验收报告；</w:t>
      </w:r>
    </w:p>
    <w:p w14:paraId="4DC7CC79">
      <w:pPr>
        <w:widowControl w:val="0"/>
        <w:numPr>
          <w:ilvl w:val="3"/>
          <w:numId w:val="0"/>
        </w:numPr>
        <w:wordWrap w:val="0"/>
        <w:topLinePunct/>
        <w:adjustRightInd w:val="0"/>
        <w:snapToGrid w:val="0"/>
        <w:spacing w:line="480" w:lineRule="exact"/>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3.项目验收结果合格的，供应商凭《验收报告》办理相关手续；验收不合格且拒不整改的，将不予支付采购资金，还可能上报本项目同级财政部门按照政府采购法律法规等有关规定给予行政处罚。</w:t>
      </w:r>
    </w:p>
    <w:p w14:paraId="5E5B1524">
      <w:pPr>
        <w:widowControl w:val="0"/>
        <w:numPr>
          <w:ilvl w:val="3"/>
          <w:numId w:val="0"/>
        </w:numPr>
        <w:wordWrap w:val="0"/>
        <w:topLinePunct/>
        <w:adjustRightInd w:val="0"/>
        <w:snapToGrid w:val="0"/>
        <w:spacing w:line="480" w:lineRule="exact"/>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11）履约验收标准：</w:t>
      </w:r>
    </w:p>
    <w:p w14:paraId="4C9AADA7">
      <w:pPr>
        <w:widowControl w:val="0"/>
        <w:numPr>
          <w:ilvl w:val="3"/>
          <w:numId w:val="0"/>
        </w:numPr>
        <w:wordWrap w:val="0"/>
        <w:topLinePunct/>
        <w:adjustRightInd w:val="0"/>
        <w:snapToGrid w:val="0"/>
        <w:spacing w:line="480" w:lineRule="exact"/>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按国家有关规定以及采购文件的质量要求和技术指标(包括每一项技术和商务要求的履约情况)、供应商的响应文件及承诺与本合同约定标准进行验收；采购双方如对质量要求和技术指标的约定标准有相互抵触或异议的事项，由采购人在国家有关规定、采购文件、响应文件及承诺与采购合同约定中按质量要求和技术指标比较优胜的原则确定该项的约定标准进行验收</w:t>
      </w:r>
    </w:p>
    <w:p w14:paraId="219D80D5">
      <w:pPr>
        <w:widowControl w:val="0"/>
        <w:numPr>
          <w:ilvl w:val="3"/>
          <w:numId w:val="0"/>
        </w:numPr>
        <w:wordWrap w:val="0"/>
        <w:topLinePunct/>
        <w:adjustRightInd w:val="0"/>
        <w:snapToGrid w:val="0"/>
        <w:spacing w:line="480" w:lineRule="exact"/>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12）履约验收其他事项：</w:t>
      </w:r>
    </w:p>
    <w:p w14:paraId="43CCDCE1">
      <w:pPr>
        <w:pStyle w:val="9"/>
        <w:keepNext w:val="0"/>
        <w:keepLines w:val="0"/>
        <w:pageBreakBefore w:val="0"/>
        <w:widowControl w:val="0"/>
        <w:numPr>
          <w:ilvl w:val="255"/>
          <w:numId w:val="0"/>
        </w:numPr>
        <w:kinsoku/>
        <w:wordWrap w:val="0"/>
        <w:overflowPunct/>
        <w:topLinePunct/>
        <w:autoSpaceDE/>
        <w:autoSpaceDN/>
        <w:bidi w:val="0"/>
        <w:adjustRightInd w:val="0"/>
        <w:snapToGrid w:val="0"/>
        <w:spacing w:line="480" w:lineRule="exact"/>
        <w:ind w:left="0" w:leftChars="0" w:firstLine="480" w:firstLineChars="200"/>
        <w:textAlignment w:val="auto"/>
        <w:rPr>
          <w:rFonts w:hint="eastAsia" w:cs="宋体"/>
          <w:b w:val="0"/>
          <w:bCs/>
          <w:highlight w:val="none"/>
        </w:rPr>
      </w:pPr>
      <w:r>
        <w:rPr>
          <w:rFonts w:hint="eastAsia" w:cs="宋体"/>
          <w:b w:val="0"/>
          <w:bCs/>
          <w:highlight w:val="none"/>
        </w:rPr>
        <w:t>其他未尽事宜应严格按照《财政部关于进一步加强政府采购需求和履约验收管理的指导意见》(财库〔2016〕205号)、《政府采购需求管理办法》(财库〔2021〕22 号)、《雅安市财政局关于规范政府采购履约验收工作的通知》（雅财采〔2021〕50号）及</w:t>
      </w:r>
      <w:r>
        <w:rPr>
          <w:rFonts w:hint="eastAsia" w:cs="宋体"/>
          <w:b w:val="0"/>
          <w:bCs/>
          <w:highlight w:val="none"/>
          <w:lang w:eastAsia="zh-CN"/>
        </w:rPr>
        <w:t>采购</w:t>
      </w:r>
      <w:r>
        <w:rPr>
          <w:rFonts w:hint="eastAsia" w:cs="宋体"/>
          <w:b w:val="0"/>
          <w:bCs/>
          <w:highlight w:val="none"/>
        </w:rPr>
        <w:t>文件相关规定组织验收。</w:t>
      </w:r>
    </w:p>
    <w:p w14:paraId="06D0E0DF">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76" w:firstLineChars="200"/>
        <w:textAlignment w:val="baseline"/>
        <w:rPr>
          <w:rFonts w:hint="default" w:eastAsia="宋体"/>
          <w:sz w:val="24"/>
          <w:szCs w:val="24"/>
          <w:lang w:val="en-US" w:eastAsia="zh-CN"/>
        </w:rPr>
      </w:pPr>
      <w:r>
        <w:rPr>
          <w:spacing w:val="-1"/>
          <w:sz w:val="24"/>
          <w:szCs w:val="24"/>
        </w:rPr>
        <w:t>是否以采购活动中供应商提供的样品作为参考</w:t>
      </w:r>
      <w:r>
        <w:rPr>
          <w:rFonts w:hint="eastAsia"/>
          <w:spacing w:val="-1"/>
          <w:sz w:val="24"/>
          <w:szCs w:val="24"/>
          <w:lang w:eastAsia="zh-CN"/>
        </w:rPr>
        <w:t>：</w:t>
      </w:r>
      <w:r>
        <w:rPr>
          <w:rFonts w:hint="eastAsia"/>
          <w:spacing w:val="-1"/>
          <w:sz w:val="24"/>
          <w:szCs w:val="24"/>
          <w:lang w:val="en-US" w:eastAsia="zh-CN"/>
        </w:rPr>
        <w:t>否</w:t>
      </w:r>
    </w:p>
    <w:p w14:paraId="66E86D4F">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480" w:lineRule="exact"/>
        <w:ind w:left="0" w:leftChars="0" w:right="0" w:rightChars="0" w:firstLine="466" w:firstLineChars="200"/>
        <w:textAlignment w:val="baseline"/>
        <w:outlineLvl w:val="1"/>
        <w:rPr>
          <w:b/>
          <w:bCs/>
          <w:spacing w:val="-4"/>
          <w:sz w:val="24"/>
          <w:szCs w:val="24"/>
        </w:rPr>
      </w:pPr>
      <w:r>
        <w:rPr>
          <w:rFonts w:hint="eastAsia"/>
          <w:b/>
          <w:bCs/>
          <w:spacing w:val="-4"/>
          <w:sz w:val="24"/>
          <w:szCs w:val="24"/>
          <w:lang w:val="en-US" w:eastAsia="zh-CN"/>
        </w:rPr>
        <w:t>六、</w:t>
      </w:r>
      <w:r>
        <w:rPr>
          <w:b/>
          <w:bCs/>
          <w:spacing w:val="-4"/>
          <w:sz w:val="24"/>
          <w:szCs w:val="24"/>
        </w:rPr>
        <w:t>甲方的权利和义务</w:t>
      </w:r>
    </w:p>
    <w:p w14:paraId="242AE865">
      <w:pPr>
        <w:widowControl w:val="0"/>
        <w:numPr>
          <w:ilvl w:val="3"/>
          <w:numId w:val="0"/>
        </w:numPr>
        <w:wordWrap w:val="0"/>
        <w:topLinePunct/>
        <w:adjustRightInd w:val="0"/>
        <w:snapToGrid w:val="0"/>
        <w:spacing w:line="480" w:lineRule="exact"/>
        <w:ind w:firstLine="480" w:firstLineChars="200"/>
        <w:jc w:val="left"/>
        <w:rPr>
          <w:rFonts w:hint="eastAsia" w:ascii="宋体" w:hAnsi="宋体" w:eastAsia="宋体" w:cs="宋体"/>
          <w:b w:val="0"/>
          <w:bCs w:val="0"/>
          <w:color w:val="auto"/>
          <w:kern w:val="2"/>
          <w:sz w:val="24"/>
          <w:szCs w:val="24"/>
          <w:highlight w:val="none"/>
          <w:shd w:val="clear" w:color="auto" w:fill="FFFFFF"/>
          <w:lang w:val="en-US" w:eastAsia="zh-CN" w:bidi="ar-SA"/>
        </w:rPr>
      </w:pPr>
      <w:r>
        <w:rPr>
          <w:rFonts w:hint="eastAsia" w:ascii="宋体" w:hAnsi="宋体" w:eastAsia="宋体" w:cs="宋体"/>
          <w:b w:val="0"/>
          <w:bCs w:val="0"/>
          <w:color w:val="auto"/>
          <w:kern w:val="2"/>
          <w:sz w:val="24"/>
          <w:szCs w:val="24"/>
          <w:highlight w:val="none"/>
          <w:shd w:val="clear" w:color="auto" w:fill="FFFFFF"/>
          <w:lang w:val="en-US" w:eastAsia="zh-CN" w:bidi="ar-SA"/>
        </w:rPr>
        <w:t>6.1.甲方有权依据双方签订的合同对乙方提供的服务进行检查、验收。对于乙方未按照采购文件及响应文件要求执行的事项，有权要求乙方进行整改。</w:t>
      </w:r>
    </w:p>
    <w:p w14:paraId="25A97B9F">
      <w:pPr>
        <w:widowControl w:val="0"/>
        <w:numPr>
          <w:ilvl w:val="3"/>
          <w:numId w:val="0"/>
        </w:numPr>
        <w:wordWrap w:val="0"/>
        <w:topLinePunct/>
        <w:adjustRightInd w:val="0"/>
        <w:snapToGrid w:val="0"/>
        <w:spacing w:line="480" w:lineRule="exact"/>
        <w:ind w:firstLine="480" w:firstLineChars="200"/>
        <w:jc w:val="left"/>
        <w:rPr>
          <w:rFonts w:hint="eastAsia" w:ascii="宋体" w:hAnsi="宋体" w:eastAsia="宋体" w:cs="宋体"/>
          <w:b w:val="0"/>
          <w:bCs w:val="0"/>
          <w:color w:val="auto"/>
          <w:kern w:val="2"/>
          <w:sz w:val="24"/>
          <w:szCs w:val="24"/>
          <w:highlight w:val="none"/>
          <w:shd w:val="clear" w:color="auto" w:fill="FFFFFF"/>
          <w:lang w:val="en-US" w:eastAsia="zh-CN" w:bidi="ar-SA"/>
        </w:rPr>
      </w:pPr>
      <w:r>
        <w:rPr>
          <w:rFonts w:hint="eastAsia" w:ascii="宋体" w:hAnsi="宋体" w:eastAsia="宋体" w:cs="宋体"/>
          <w:b w:val="0"/>
          <w:bCs w:val="0"/>
          <w:color w:val="auto"/>
          <w:kern w:val="2"/>
          <w:sz w:val="24"/>
          <w:szCs w:val="24"/>
          <w:highlight w:val="none"/>
          <w:shd w:val="clear" w:color="auto" w:fill="FFFFFF"/>
          <w:lang w:val="en-US" w:eastAsia="zh-CN" w:bidi="ar-SA"/>
        </w:rPr>
        <w:t>6.2.甲方应当配合乙方完成相关项目实施工作。</w:t>
      </w:r>
    </w:p>
    <w:p w14:paraId="4C54E89F">
      <w:pPr>
        <w:widowControl w:val="0"/>
        <w:numPr>
          <w:ilvl w:val="3"/>
          <w:numId w:val="0"/>
        </w:numPr>
        <w:wordWrap w:val="0"/>
        <w:topLinePunct/>
        <w:adjustRightInd w:val="0"/>
        <w:snapToGrid w:val="0"/>
        <w:spacing w:line="480" w:lineRule="exact"/>
        <w:ind w:firstLine="480" w:firstLineChars="200"/>
        <w:jc w:val="left"/>
        <w:rPr>
          <w:rFonts w:hint="eastAsia" w:ascii="宋体" w:hAnsi="宋体" w:eastAsia="宋体" w:cs="宋体"/>
          <w:b w:val="0"/>
          <w:bCs w:val="0"/>
          <w:color w:val="auto"/>
          <w:kern w:val="2"/>
          <w:sz w:val="24"/>
          <w:szCs w:val="24"/>
          <w:highlight w:val="none"/>
          <w:shd w:val="clear" w:color="auto" w:fill="FFFFFF"/>
          <w:lang w:val="en-US" w:eastAsia="zh-CN" w:bidi="ar-SA"/>
        </w:rPr>
      </w:pPr>
      <w:r>
        <w:rPr>
          <w:rFonts w:hint="eastAsia" w:ascii="宋体" w:hAnsi="宋体" w:eastAsia="宋体" w:cs="宋体"/>
          <w:b w:val="0"/>
          <w:bCs w:val="0"/>
          <w:color w:val="auto"/>
          <w:kern w:val="2"/>
          <w:sz w:val="24"/>
          <w:szCs w:val="24"/>
          <w:highlight w:val="none"/>
          <w:shd w:val="clear" w:color="auto" w:fill="FFFFFF"/>
          <w:lang w:val="en-US" w:eastAsia="zh-CN" w:bidi="ar-SA"/>
        </w:rPr>
        <w:t>6.3.甲方应当根据采购文件、响应文件、合同约定和履约验收情况向乙方支付费用。满足约定支付条件的，甲方应当自收到发票后10 个工作日内将资金支付到合同约定的供应商账户，不得以机构变动、人员更替、政策调整等为由延迟付款，不得将采购文件和合同中未规定的义务作为向供应商付款的条件。</w:t>
      </w:r>
    </w:p>
    <w:p w14:paraId="042605D0">
      <w:pPr>
        <w:widowControl w:val="0"/>
        <w:numPr>
          <w:ilvl w:val="3"/>
          <w:numId w:val="0"/>
        </w:numPr>
        <w:wordWrap w:val="0"/>
        <w:topLinePunct/>
        <w:adjustRightInd w:val="0"/>
        <w:snapToGrid w:val="0"/>
        <w:spacing w:line="480" w:lineRule="exact"/>
        <w:ind w:firstLine="480" w:firstLineChars="200"/>
        <w:jc w:val="left"/>
        <w:rPr>
          <w:rFonts w:hint="eastAsia" w:ascii="宋体" w:hAnsi="宋体" w:eastAsia="宋体" w:cs="宋体"/>
          <w:b w:val="0"/>
          <w:bCs w:val="0"/>
          <w:color w:val="auto"/>
          <w:kern w:val="2"/>
          <w:sz w:val="24"/>
          <w:szCs w:val="24"/>
          <w:highlight w:val="none"/>
          <w:shd w:val="clear" w:color="auto" w:fill="FFFFFF"/>
          <w:lang w:val="en-US" w:eastAsia="zh-CN" w:bidi="ar-SA"/>
        </w:rPr>
      </w:pPr>
      <w:r>
        <w:rPr>
          <w:rFonts w:hint="eastAsia" w:ascii="宋体" w:hAnsi="宋体" w:eastAsia="宋体" w:cs="宋体"/>
          <w:b w:val="0"/>
          <w:bCs w:val="0"/>
          <w:color w:val="auto"/>
          <w:kern w:val="2"/>
          <w:sz w:val="24"/>
          <w:szCs w:val="24"/>
          <w:highlight w:val="none"/>
          <w:shd w:val="clear" w:color="auto" w:fill="FFFFFF"/>
          <w:lang w:val="en-US" w:eastAsia="zh-CN" w:bidi="ar-SA"/>
        </w:rPr>
        <w:t>6.4.出现因不可抗力致使不能实现合同目的等法定情形时，甲方有权解除合同。</w:t>
      </w:r>
    </w:p>
    <w:p w14:paraId="725558A1">
      <w:pPr>
        <w:pStyle w:val="3"/>
        <w:keepNext w:val="0"/>
        <w:keepLines w:val="0"/>
        <w:pageBreakBefore w:val="0"/>
        <w:wordWrap/>
        <w:overflowPunct/>
        <w:topLinePunct w:val="0"/>
        <w:bidi w:val="0"/>
        <w:adjustRightInd w:val="0"/>
        <w:snapToGrid w:val="0"/>
        <w:spacing w:line="480" w:lineRule="exact"/>
        <w:ind w:left="0" w:leftChars="0" w:right="0" w:firstLine="470" w:firstLineChars="200"/>
        <w:outlineLvl w:val="1"/>
        <w:rPr>
          <w:rFonts w:hint="eastAsia" w:ascii="宋体" w:hAnsi="宋体" w:eastAsia="宋体" w:cs="宋体"/>
          <w:sz w:val="24"/>
          <w:szCs w:val="24"/>
        </w:rPr>
      </w:pPr>
      <w:r>
        <w:rPr>
          <w:rFonts w:hint="eastAsia" w:ascii="宋体" w:hAnsi="宋体" w:eastAsia="宋体" w:cs="宋体"/>
          <w:b/>
          <w:bCs/>
          <w:spacing w:val="-3"/>
          <w:sz w:val="24"/>
          <w:szCs w:val="24"/>
        </w:rPr>
        <w:t>七、乙方的权利和义务</w:t>
      </w:r>
    </w:p>
    <w:p w14:paraId="224FB55C">
      <w:pPr>
        <w:pStyle w:val="3"/>
        <w:keepNext w:val="0"/>
        <w:keepLines w:val="0"/>
        <w:pageBreakBefore w:val="0"/>
        <w:wordWrap/>
        <w:overflowPunct/>
        <w:topLinePunct w:val="0"/>
        <w:bidi w:val="0"/>
        <w:adjustRightInd w:val="0"/>
        <w:snapToGrid w:val="0"/>
        <w:spacing w:line="480" w:lineRule="exact"/>
        <w:ind w:left="0" w:leftChars="0" w:right="0" w:firstLine="436" w:firstLineChars="200"/>
        <w:jc w:val="both"/>
        <w:rPr>
          <w:rFonts w:hint="eastAsia" w:ascii="宋体" w:hAnsi="宋体" w:eastAsia="宋体" w:cs="宋体"/>
          <w:sz w:val="24"/>
          <w:szCs w:val="24"/>
        </w:rPr>
      </w:pPr>
      <w:r>
        <w:rPr>
          <w:rFonts w:hint="eastAsia" w:ascii="宋体" w:hAnsi="宋体" w:eastAsia="宋体" w:cs="宋体"/>
          <w:spacing w:val="-11"/>
          <w:sz w:val="24"/>
          <w:szCs w:val="24"/>
        </w:rPr>
        <w:t>7.1.乙方承诺遵守《中华人民共和国劳动合同法》有关规定和《中</w:t>
      </w:r>
      <w:r>
        <w:rPr>
          <w:rFonts w:hint="eastAsia" w:ascii="宋体" w:hAnsi="宋体" w:eastAsia="宋体" w:cs="宋体"/>
          <w:spacing w:val="-5"/>
          <w:sz w:val="24"/>
          <w:szCs w:val="24"/>
        </w:rPr>
        <w:t>华人民共和国妇女权益保障法》中关于“劳动和社会保障权益</w:t>
      </w:r>
      <w:r>
        <w:rPr>
          <w:rFonts w:hint="eastAsia" w:ascii="宋体" w:hAnsi="宋体" w:eastAsia="宋体" w:cs="宋体"/>
          <w:spacing w:val="-97"/>
          <w:sz w:val="24"/>
          <w:szCs w:val="24"/>
        </w:rPr>
        <w:t xml:space="preserve"> </w:t>
      </w:r>
      <w:r>
        <w:rPr>
          <w:rFonts w:hint="eastAsia" w:ascii="宋体" w:hAnsi="宋体" w:eastAsia="宋体" w:cs="宋体"/>
          <w:spacing w:val="-5"/>
          <w:sz w:val="24"/>
          <w:szCs w:val="24"/>
        </w:rPr>
        <w:t>”的有</w:t>
      </w:r>
      <w:r>
        <w:rPr>
          <w:rFonts w:hint="eastAsia" w:ascii="宋体" w:hAnsi="宋体" w:eastAsia="宋体" w:cs="宋体"/>
          <w:spacing w:val="-3"/>
          <w:sz w:val="24"/>
          <w:szCs w:val="24"/>
        </w:rPr>
        <w:t>关要求。</w:t>
      </w:r>
    </w:p>
    <w:p w14:paraId="3C18E6D7">
      <w:pPr>
        <w:pStyle w:val="3"/>
        <w:keepNext w:val="0"/>
        <w:keepLines w:val="0"/>
        <w:pageBreakBefore w:val="0"/>
        <w:wordWrap/>
        <w:overflowPunct/>
        <w:topLinePunct w:val="0"/>
        <w:bidi w:val="0"/>
        <w:adjustRightInd w:val="0"/>
        <w:snapToGrid w:val="0"/>
        <w:spacing w:line="480" w:lineRule="exact"/>
        <w:ind w:left="0" w:leftChars="0" w:right="0" w:firstLine="480" w:firstLineChars="200"/>
        <w:rPr>
          <w:rFonts w:hint="eastAsia" w:ascii="宋体" w:hAnsi="宋体" w:eastAsia="宋体" w:cs="宋体"/>
          <w:b w:val="0"/>
          <w:bCs w:val="0"/>
          <w:snapToGrid w:val="0"/>
          <w:color w:val="auto"/>
          <w:kern w:val="2"/>
          <w:sz w:val="24"/>
          <w:szCs w:val="24"/>
          <w:highlight w:val="none"/>
          <w:shd w:val="clear" w:color="auto" w:fill="FFFFFF"/>
          <w:lang w:val="en-US" w:eastAsia="zh-CN" w:bidi="ar-SA"/>
        </w:rPr>
      </w:pPr>
      <w:r>
        <w:rPr>
          <w:rFonts w:hint="eastAsia" w:ascii="宋体" w:hAnsi="宋体" w:eastAsia="宋体" w:cs="宋体"/>
          <w:b w:val="0"/>
          <w:bCs w:val="0"/>
          <w:snapToGrid w:val="0"/>
          <w:color w:val="auto"/>
          <w:kern w:val="2"/>
          <w:sz w:val="24"/>
          <w:szCs w:val="24"/>
          <w:highlight w:val="none"/>
          <w:shd w:val="clear" w:color="auto" w:fill="FFFFFF"/>
          <w:lang w:val="en-US" w:eastAsia="zh-CN" w:bidi="ar-SA"/>
        </w:rPr>
        <w:t>7.2.乙方有权根据本合同约定向甲方收取合同价款。</w:t>
      </w:r>
    </w:p>
    <w:p w14:paraId="5F817EB8">
      <w:pPr>
        <w:pStyle w:val="3"/>
        <w:keepNext w:val="0"/>
        <w:keepLines w:val="0"/>
        <w:pageBreakBefore w:val="0"/>
        <w:wordWrap/>
        <w:overflowPunct/>
        <w:topLinePunct w:val="0"/>
        <w:bidi w:val="0"/>
        <w:adjustRightInd w:val="0"/>
        <w:snapToGrid w:val="0"/>
        <w:spacing w:line="480" w:lineRule="exact"/>
        <w:ind w:left="0" w:leftChars="0" w:right="0" w:firstLine="480" w:firstLineChars="200"/>
        <w:outlineLvl w:val="1"/>
        <w:rPr>
          <w:rFonts w:hint="eastAsia" w:ascii="宋体" w:hAnsi="宋体" w:eastAsia="宋体" w:cs="宋体"/>
          <w:b w:val="0"/>
          <w:bCs w:val="0"/>
          <w:snapToGrid w:val="0"/>
          <w:color w:val="auto"/>
          <w:kern w:val="2"/>
          <w:sz w:val="24"/>
          <w:szCs w:val="24"/>
          <w:highlight w:val="none"/>
          <w:shd w:val="clear" w:color="auto" w:fill="FFFFFF"/>
          <w:lang w:val="en-US" w:eastAsia="zh-CN" w:bidi="ar-SA"/>
        </w:rPr>
      </w:pPr>
      <w:r>
        <w:rPr>
          <w:rFonts w:hint="eastAsia" w:ascii="宋体" w:hAnsi="宋体" w:eastAsia="宋体" w:cs="宋体"/>
          <w:b w:val="0"/>
          <w:bCs w:val="0"/>
          <w:snapToGrid w:val="0"/>
          <w:color w:val="auto"/>
          <w:kern w:val="2"/>
          <w:sz w:val="24"/>
          <w:szCs w:val="24"/>
          <w:highlight w:val="none"/>
          <w:shd w:val="clear" w:color="auto" w:fill="FFFFFF"/>
          <w:lang w:val="en-US" w:eastAsia="zh-CN" w:bidi="ar-SA"/>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14:paraId="2B69416F">
      <w:pPr>
        <w:pStyle w:val="3"/>
        <w:keepNext w:val="0"/>
        <w:keepLines w:val="0"/>
        <w:pageBreakBefore w:val="0"/>
        <w:wordWrap/>
        <w:overflowPunct/>
        <w:topLinePunct w:val="0"/>
        <w:bidi w:val="0"/>
        <w:adjustRightInd w:val="0"/>
        <w:snapToGrid w:val="0"/>
        <w:spacing w:line="480" w:lineRule="exact"/>
        <w:ind w:left="0" w:leftChars="0" w:right="0" w:firstLine="462" w:firstLineChars="200"/>
        <w:outlineLvl w:val="1"/>
        <w:rPr>
          <w:rFonts w:hint="eastAsia" w:ascii="宋体" w:hAnsi="宋体" w:eastAsia="宋体" w:cs="宋体"/>
          <w:sz w:val="24"/>
          <w:szCs w:val="24"/>
        </w:rPr>
      </w:pPr>
      <w:r>
        <w:rPr>
          <w:rFonts w:hint="eastAsia" w:ascii="宋体" w:hAnsi="宋体" w:eastAsia="宋体" w:cs="宋体"/>
          <w:b/>
          <w:bCs/>
          <w:spacing w:val="-5"/>
          <w:sz w:val="24"/>
          <w:szCs w:val="24"/>
        </w:rPr>
        <w:t>八、违约责任</w:t>
      </w:r>
    </w:p>
    <w:p w14:paraId="612A77DA">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firstLine="480" w:firstLineChars="200"/>
        <w:jc w:val="both"/>
        <w:textAlignment w:val="auto"/>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(一)甲方违约责任</w:t>
      </w:r>
    </w:p>
    <w:p w14:paraId="001048A4">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firstLine="480" w:firstLineChars="200"/>
        <w:jc w:val="both"/>
        <w:textAlignment w:val="auto"/>
        <w:rPr>
          <w:rFonts w:hint="eastAsia" w:cs="宋体"/>
          <w:snapToGrid w:val="0"/>
          <w:color w:val="auto"/>
          <w:kern w:val="2"/>
          <w:sz w:val="24"/>
          <w:szCs w:val="24"/>
          <w:highlight w:val="none"/>
          <w:lang w:val="en-US" w:eastAsia="zh-CN" w:bidi="ar-SA"/>
        </w:rPr>
      </w:pPr>
      <w:r>
        <w:rPr>
          <w:rFonts w:hint="eastAsia" w:cs="宋体"/>
          <w:snapToGrid w:val="0"/>
          <w:color w:val="auto"/>
          <w:kern w:val="2"/>
          <w:sz w:val="24"/>
          <w:szCs w:val="24"/>
          <w:highlight w:val="none"/>
          <w:lang w:val="en-US" w:eastAsia="zh-CN" w:bidi="ar-SA"/>
        </w:rPr>
        <w:t>1.甲方逾期支付合同款的，除应及时付足合同款外，应向乙方偿付逾期欠款总额以合同订立时1年期贷款市场报价利率(日利率)的违约金；逾期付款超过 30 天的，乙方有权终止合同；</w:t>
      </w:r>
    </w:p>
    <w:p w14:paraId="0FBA14F7">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firstLine="480" w:firstLineChars="200"/>
        <w:jc w:val="both"/>
        <w:textAlignment w:val="auto"/>
        <w:rPr>
          <w:rFonts w:hint="eastAsia" w:ascii="宋体" w:hAnsi="宋体" w:eastAsia="宋体" w:cs="宋体"/>
          <w:snapToGrid w:val="0"/>
          <w:color w:val="auto"/>
          <w:kern w:val="2"/>
          <w:sz w:val="24"/>
          <w:szCs w:val="24"/>
          <w:highlight w:val="none"/>
          <w:lang w:val="en-US" w:eastAsia="zh-CN" w:bidi="ar-SA"/>
        </w:rPr>
      </w:pPr>
      <w:r>
        <w:rPr>
          <w:rFonts w:hint="eastAsia" w:cs="宋体"/>
          <w:snapToGrid w:val="0"/>
          <w:color w:val="auto"/>
          <w:kern w:val="2"/>
          <w:sz w:val="24"/>
          <w:szCs w:val="24"/>
          <w:highlight w:val="none"/>
          <w:lang w:val="en-US" w:eastAsia="zh-CN" w:bidi="ar-SA"/>
        </w:rPr>
        <w:t>2.甲方偿付的违约金不足以弥补乙方损失的，还应按乙方经济损失尚未弥补的部分，支付赔偿金给乙方</w:t>
      </w:r>
      <w:r>
        <w:rPr>
          <w:rFonts w:hint="eastAsia" w:ascii="宋体" w:hAnsi="宋体" w:eastAsia="宋体" w:cs="宋体"/>
          <w:snapToGrid w:val="0"/>
          <w:color w:val="auto"/>
          <w:kern w:val="2"/>
          <w:sz w:val="24"/>
          <w:szCs w:val="24"/>
          <w:highlight w:val="none"/>
          <w:lang w:val="en-US" w:eastAsia="zh-CN" w:bidi="ar-SA"/>
        </w:rPr>
        <w:t>。</w:t>
      </w:r>
    </w:p>
    <w:p w14:paraId="3501B331">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firstLine="480" w:firstLineChars="200"/>
        <w:jc w:val="both"/>
        <w:textAlignment w:val="auto"/>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(二)乙方违约责任</w:t>
      </w:r>
    </w:p>
    <w:p w14:paraId="507B467C">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firstLine="480" w:firstLineChars="200"/>
        <w:jc w:val="both"/>
        <w:textAlignment w:val="auto"/>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 xml:space="preserve">（1）乙方必须遵守采购合同并执行合同中的各项规定，保证采购合同的正常履行。 </w:t>
      </w:r>
    </w:p>
    <w:p w14:paraId="4ACA7052">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firstLine="480" w:firstLineChars="200"/>
        <w:jc w:val="both"/>
        <w:textAlignment w:val="auto"/>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 xml:space="preserve">（2）如因乙方工作人员在履行职务过程中的疏忽、失职、过错等故意或者过失原因给甲方造成损失或侵害，包括但不限于甲方本身的财产损失、由此而导致的甲方对任何第三方的法律责任等，乙方对此均应承担全部的赔偿责任。 </w:t>
      </w:r>
    </w:p>
    <w:p w14:paraId="654F9420">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firstLine="480" w:firstLineChars="200"/>
        <w:jc w:val="both"/>
        <w:textAlignment w:val="auto"/>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 xml:space="preserve">（3）乙方必须遵守采购合同按时完成合同相关工作，若由于乙方原因导致合同迟延履行，乙方应承担采购合同中约定的违约责任。 </w:t>
      </w:r>
    </w:p>
    <w:p w14:paraId="5C397574">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firstLine="480" w:firstLineChars="200"/>
        <w:jc w:val="both"/>
        <w:textAlignment w:val="auto"/>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 xml:space="preserve">（4）乙方交付的服务不符合合同规定的，乙方应向甲方支付合同总价的5%的违约金，并须在合同规定的交付时间内交付合格的服务（成果）给甲方，否则，视作乙方不能交付服务而违约，按本条本款下述第“（5）”项规定由乙方偿付违约赔偿金给甲方。 </w:t>
      </w:r>
    </w:p>
    <w:p w14:paraId="1EC316DB">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firstLine="480" w:firstLineChars="200"/>
        <w:jc w:val="both"/>
        <w:textAlignment w:val="auto"/>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 xml:space="preserve">（5）乙方不能交付服务或逾期交付服务而违约的，除应及时交付服务外，应向甲方偿付逾期交付部分费用总额的万分之五/天的违约金；逾期交付超过30天，甲方有权终止合同，乙方则应按合同总价的20%的款额向甲方偿付赔偿金，并须全额退还甲方已经付给乙方的合同费用及其利息。 </w:t>
      </w:r>
    </w:p>
    <w:p w14:paraId="4DA65A35">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firstLine="480" w:firstLineChars="200"/>
        <w:jc w:val="both"/>
        <w:textAlignment w:val="auto"/>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 xml:space="preserve">（6）乙方应当遵守甲方的相关项目需求及相关技术要求及实质性条款，实施完成采购合同应当完全满足相关项目需求及相关技术要求及实质性条款，若乙方瑕疵履行采购合同，甲方有权向乙方要求赔偿合同总价款20%的违约金，若造成相关损失的，甲方有权要求乙方承担所有赔偿责任。 </w:t>
      </w:r>
    </w:p>
    <w:p w14:paraId="7AB7ABCC">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firstLine="480" w:firstLineChars="200"/>
        <w:jc w:val="both"/>
        <w:textAlignment w:val="auto"/>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 xml:space="preserve">（7）乙方提供的服务经甲方送交具有法定资格条件的技术监督机构检测后，如检测结果认定不符合本合同规定标准的，则视为乙方没有按时交付而违约，乙方须在7日内无条件提供符合规定的服务，如逾期不能提供符合规定的服务，甲方有权终止本合同，乙方应另付合同总价的5%的赔偿金给甲方。 </w:t>
      </w:r>
    </w:p>
    <w:p w14:paraId="7F464874">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firstLine="480" w:firstLineChars="200"/>
        <w:jc w:val="both"/>
        <w:textAlignment w:val="auto"/>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（8）乙方偿付的违约金不足以弥补甲方损失的，还应按甲方损失尚未弥补的部分，支付赔偿金给甲方。</w:t>
      </w:r>
    </w:p>
    <w:p w14:paraId="37DE90BA">
      <w:pPr>
        <w:pStyle w:val="3"/>
        <w:keepNext w:val="0"/>
        <w:keepLines w:val="0"/>
        <w:pageBreakBefore w:val="0"/>
        <w:wordWrap/>
        <w:overflowPunct/>
        <w:topLinePunct w:val="0"/>
        <w:bidi w:val="0"/>
        <w:adjustRightInd w:val="0"/>
        <w:snapToGrid w:val="0"/>
        <w:spacing w:line="480" w:lineRule="exact"/>
        <w:ind w:left="0" w:leftChars="0" w:right="0" w:firstLine="462" w:firstLineChars="200"/>
        <w:outlineLvl w:val="1"/>
        <w:rPr>
          <w:rFonts w:hint="eastAsia" w:ascii="宋体" w:hAnsi="宋体" w:eastAsia="宋体" w:cs="宋体"/>
          <w:sz w:val="24"/>
          <w:szCs w:val="24"/>
        </w:rPr>
      </w:pPr>
      <w:r>
        <w:rPr>
          <w:rFonts w:hint="eastAsia" w:ascii="宋体" w:hAnsi="宋体" w:eastAsia="宋体" w:cs="宋体"/>
          <w:b/>
          <w:bCs/>
          <w:spacing w:val="-5"/>
          <w:sz w:val="24"/>
          <w:szCs w:val="24"/>
        </w:rPr>
        <w:t>九、争议解决方法</w:t>
      </w:r>
    </w:p>
    <w:p w14:paraId="1C776487">
      <w:pPr>
        <w:pStyle w:val="3"/>
        <w:keepNext w:val="0"/>
        <w:keepLines w:val="0"/>
        <w:pageBreakBefore w:val="0"/>
        <w:wordWrap/>
        <w:overflowPunct/>
        <w:topLinePunct w:val="0"/>
        <w:bidi w:val="0"/>
        <w:adjustRightInd w:val="0"/>
        <w:snapToGrid w:val="0"/>
        <w:spacing w:line="480" w:lineRule="exact"/>
        <w:ind w:left="0" w:leftChars="0" w:right="0" w:firstLine="480" w:firstLineChars="200"/>
        <w:outlineLvl w:val="1"/>
        <w:rPr>
          <w:rFonts w:hint="eastAsia" w:ascii="宋体" w:hAnsi="宋体" w:eastAsia="宋体" w:cs="宋体"/>
          <w:b/>
          <w:bCs/>
          <w:spacing w:val="-5"/>
          <w:sz w:val="24"/>
          <w:szCs w:val="24"/>
        </w:rPr>
      </w:pPr>
      <w:r>
        <w:rPr>
          <w:rFonts w:hint="eastAsia" w:ascii="宋体" w:hAnsi="宋体" w:eastAsia="宋体" w:cs="宋体"/>
          <w:snapToGrid w:val="0"/>
          <w:color w:val="auto"/>
          <w:kern w:val="2"/>
          <w:sz w:val="24"/>
          <w:szCs w:val="24"/>
          <w:highlight w:val="none"/>
          <w:lang w:val="en-US" w:eastAsia="zh-CN" w:bidi="ar-SA"/>
        </w:rPr>
        <w:t>合同履行期间,若双方发生争议，可协商或由有关部门调解解决，协商或调解不成的， 向甲方所在地人民法院起诉。</w:t>
      </w:r>
    </w:p>
    <w:p w14:paraId="1878FEB5">
      <w:pPr>
        <w:pStyle w:val="3"/>
        <w:keepNext w:val="0"/>
        <w:keepLines w:val="0"/>
        <w:pageBreakBefore w:val="0"/>
        <w:wordWrap/>
        <w:overflowPunct/>
        <w:topLinePunct w:val="0"/>
        <w:bidi w:val="0"/>
        <w:adjustRightInd w:val="0"/>
        <w:snapToGrid w:val="0"/>
        <w:spacing w:line="480" w:lineRule="exact"/>
        <w:ind w:left="0" w:leftChars="0" w:right="0" w:firstLine="466" w:firstLineChars="200"/>
        <w:outlineLvl w:val="1"/>
        <w:rPr>
          <w:rFonts w:hint="eastAsia" w:ascii="宋体" w:hAnsi="宋体" w:eastAsia="宋体" w:cs="宋体"/>
          <w:sz w:val="24"/>
          <w:szCs w:val="24"/>
        </w:rPr>
      </w:pPr>
      <w:r>
        <w:rPr>
          <w:rFonts w:hint="eastAsia" w:ascii="宋体" w:hAnsi="宋体" w:eastAsia="宋体" w:cs="宋体"/>
          <w:b/>
          <w:bCs/>
          <w:spacing w:val="-4"/>
          <w:sz w:val="24"/>
          <w:szCs w:val="24"/>
        </w:rPr>
        <w:t>十、组成合同的文件</w:t>
      </w:r>
    </w:p>
    <w:p w14:paraId="2B5A6445">
      <w:pPr>
        <w:pStyle w:val="3"/>
        <w:keepNext w:val="0"/>
        <w:keepLines w:val="0"/>
        <w:pageBreakBefore w:val="0"/>
        <w:wordWrap/>
        <w:overflowPunct/>
        <w:topLinePunct w:val="0"/>
        <w:bidi w:val="0"/>
        <w:adjustRightInd w:val="0"/>
        <w:snapToGrid w:val="0"/>
        <w:spacing w:line="480" w:lineRule="exact"/>
        <w:ind w:left="0" w:leftChars="0" w:right="0" w:firstLine="464" w:firstLineChars="200"/>
        <w:rPr>
          <w:rFonts w:hint="eastAsia" w:ascii="宋体" w:hAnsi="宋体" w:eastAsia="宋体" w:cs="宋体"/>
          <w:sz w:val="24"/>
          <w:szCs w:val="24"/>
        </w:rPr>
      </w:pPr>
      <w:r>
        <w:rPr>
          <w:rFonts w:hint="eastAsia" w:ascii="宋体" w:hAnsi="宋体" w:eastAsia="宋体" w:cs="宋体"/>
          <w:spacing w:val="-4"/>
          <w:sz w:val="24"/>
          <w:szCs w:val="24"/>
        </w:rPr>
        <w:t>本合同与下列文件一起构成合同文件，如下述文件之间有任何抵</w:t>
      </w:r>
      <w:r>
        <w:rPr>
          <w:rFonts w:hint="eastAsia" w:ascii="宋体" w:hAnsi="宋体" w:eastAsia="宋体" w:cs="宋体"/>
          <w:spacing w:val="-1"/>
          <w:sz w:val="24"/>
          <w:szCs w:val="24"/>
        </w:rPr>
        <w:t>触、矛盾或歧义，应按以下顺序解释：</w:t>
      </w:r>
    </w:p>
    <w:p w14:paraId="26D9431A">
      <w:pPr>
        <w:pStyle w:val="3"/>
        <w:keepNext w:val="0"/>
        <w:keepLines w:val="0"/>
        <w:pageBreakBefore w:val="0"/>
        <w:wordWrap/>
        <w:overflowPunct/>
        <w:topLinePunct w:val="0"/>
        <w:bidi w:val="0"/>
        <w:adjustRightInd w:val="0"/>
        <w:snapToGrid w:val="0"/>
        <w:spacing w:line="480" w:lineRule="exact"/>
        <w:ind w:left="0" w:leftChars="0" w:right="0" w:firstLine="472" w:firstLineChars="200"/>
        <w:rPr>
          <w:rFonts w:hint="eastAsia" w:ascii="宋体" w:hAnsi="宋体" w:eastAsia="宋体" w:cs="宋体"/>
          <w:sz w:val="24"/>
          <w:szCs w:val="24"/>
        </w:rPr>
      </w:pPr>
      <w:r>
        <w:rPr>
          <w:rFonts w:hint="eastAsia" w:ascii="宋体" w:hAnsi="宋体" w:eastAsia="宋体" w:cs="宋体"/>
          <w:spacing w:val="-2"/>
          <w:sz w:val="24"/>
          <w:szCs w:val="24"/>
        </w:rPr>
        <w:t>（1）政府采购合同及其变更、补充协议</w:t>
      </w:r>
    </w:p>
    <w:p w14:paraId="6944B109">
      <w:pPr>
        <w:pStyle w:val="3"/>
        <w:keepNext w:val="0"/>
        <w:keepLines w:val="0"/>
        <w:pageBreakBefore w:val="0"/>
        <w:wordWrap/>
        <w:overflowPunct/>
        <w:topLinePunct w:val="0"/>
        <w:bidi w:val="0"/>
        <w:adjustRightInd w:val="0"/>
        <w:snapToGrid w:val="0"/>
        <w:spacing w:line="480" w:lineRule="exact"/>
        <w:ind w:left="0" w:leftChars="0" w:right="0" w:firstLine="472" w:firstLineChars="200"/>
        <w:rPr>
          <w:rFonts w:hint="eastAsia" w:ascii="宋体" w:hAnsi="宋体" w:eastAsia="宋体" w:cs="宋体"/>
          <w:sz w:val="24"/>
          <w:szCs w:val="24"/>
        </w:rPr>
      </w:pPr>
      <w:r>
        <w:rPr>
          <w:rFonts w:hint="eastAsia" w:ascii="宋体" w:hAnsi="宋体" w:eastAsia="宋体" w:cs="宋体"/>
          <w:spacing w:val="-2"/>
          <w:sz w:val="24"/>
          <w:szCs w:val="24"/>
        </w:rPr>
        <w:t>（2）中标（成交）通知书</w:t>
      </w:r>
    </w:p>
    <w:p w14:paraId="3D681DC5">
      <w:pPr>
        <w:pStyle w:val="3"/>
        <w:keepNext w:val="0"/>
        <w:keepLines w:val="0"/>
        <w:pageBreakBefore w:val="0"/>
        <w:wordWrap/>
        <w:overflowPunct/>
        <w:topLinePunct w:val="0"/>
        <w:bidi w:val="0"/>
        <w:adjustRightInd w:val="0"/>
        <w:snapToGrid w:val="0"/>
        <w:spacing w:line="480" w:lineRule="exact"/>
        <w:ind w:left="0" w:leftChars="0" w:right="0" w:firstLine="472" w:firstLineChars="200"/>
        <w:rPr>
          <w:rFonts w:hint="eastAsia" w:ascii="宋体" w:hAnsi="宋体" w:eastAsia="宋体" w:cs="宋体"/>
          <w:sz w:val="24"/>
          <w:szCs w:val="24"/>
        </w:rPr>
      </w:pPr>
      <w:r>
        <w:rPr>
          <w:rFonts w:hint="eastAsia" w:ascii="宋体" w:hAnsi="宋体" w:eastAsia="宋体" w:cs="宋体"/>
          <w:spacing w:val="-2"/>
          <w:sz w:val="24"/>
          <w:szCs w:val="24"/>
        </w:rPr>
        <w:t>（3）投标（响应）文件</w:t>
      </w:r>
    </w:p>
    <w:p w14:paraId="28F688ED">
      <w:pPr>
        <w:pStyle w:val="3"/>
        <w:keepNext w:val="0"/>
        <w:keepLines w:val="0"/>
        <w:pageBreakBefore w:val="0"/>
        <w:wordWrap/>
        <w:overflowPunct/>
        <w:topLinePunct w:val="0"/>
        <w:bidi w:val="0"/>
        <w:adjustRightInd w:val="0"/>
        <w:snapToGrid w:val="0"/>
        <w:spacing w:line="480" w:lineRule="exact"/>
        <w:ind w:left="0" w:leftChars="0" w:right="0" w:firstLine="468" w:firstLineChars="200"/>
        <w:rPr>
          <w:rFonts w:hint="eastAsia" w:ascii="宋体" w:hAnsi="宋体" w:eastAsia="宋体" w:cs="宋体"/>
          <w:sz w:val="24"/>
          <w:szCs w:val="24"/>
        </w:rPr>
      </w:pPr>
      <w:r>
        <w:rPr>
          <w:rFonts w:hint="eastAsia" w:ascii="宋体" w:hAnsi="宋体" w:eastAsia="宋体" w:cs="宋体"/>
          <w:spacing w:val="-3"/>
          <w:sz w:val="24"/>
          <w:szCs w:val="24"/>
        </w:rPr>
        <w:t>（4）采购文件</w:t>
      </w:r>
    </w:p>
    <w:p w14:paraId="5918839A">
      <w:pPr>
        <w:pStyle w:val="3"/>
        <w:keepNext w:val="0"/>
        <w:keepLines w:val="0"/>
        <w:pageBreakBefore w:val="0"/>
        <w:wordWrap/>
        <w:overflowPunct/>
        <w:topLinePunct w:val="0"/>
        <w:bidi w:val="0"/>
        <w:adjustRightInd w:val="0"/>
        <w:snapToGrid w:val="0"/>
        <w:spacing w:line="480" w:lineRule="exact"/>
        <w:ind w:left="0" w:leftChars="0" w:right="0" w:firstLine="472" w:firstLineChars="200"/>
        <w:rPr>
          <w:rFonts w:hint="eastAsia" w:ascii="宋体" w:hAnsi="宋体" w:eastAsia="宋体" w:cs="宋体"/>
          <w:sz w:val="24"/>
          <w:szCs w:val="24"/>
        </w:rPr>
      </w:pPr>
      <w:r>
        <w:rPr>
          <w:rFonts w:hint="eastAsia" w:ascii="宋体" w:hAnsi="宋体" w:eastAsia="宋体" w:cs="宋体"/>
          <w:spacing w:val="-2"/>
          <w:sz w:val="24"/>
          <w:szCs w:val="24"/>
        </w:rPr>
        <w:t>（5）有关技术文件，图纸</w:t>
      </w:r>
    </w:p>
    <w:p w14:paraId="203C2782">
      <w:pPr>
        <w:pStyle w:val="3"/>
        <w:keepNext w:val="0"/>
        <w:keepLines w:val="0"/>
        <w:pageBreakBefore w:val="0"/>
        <w:wordWrap/>
        <w:overflowPunct/>
        <w:topLinePunct w:val="0"/>
        <w:bidi w:val="0"/>
        <w:adjustRightInd w:val="0"/>
        <w:snapToGrid w:val="0"/>
        <w:spacing w:line="480" w:lineRule="exact"/>
        <w:ind w:left="0" w:leftChars="0" w:right="0" w:firstLine="492" w:firstLineChars="200"/>
        <w:rPr>
          <w:rFonts w:hint="eastAsia" w:ascii="宋体" w:hAnsi="宋体" w:eastAsia="宋体" w:cs="宋体"/>
          <w:sz w:val="24"/>
          <w:szCs w:val="24"/>
        </w:rPr>
      </w:pPr>
      <w:r>
        <w:rPr>
          <w:rFonts w:hint="eastAsia" w:ascii="宋体" w:hAnsi="宋体" w:eastAsia="宋体" w:cs="宋体"/>
          <w:spacing w:val="3"/>
          <w:sz w:val="24"/>
          <w:szCs w:val="24"/>
        </w:rPr>
        <w:t>（6）国家法律、行政法规和规章制度规定或合同约定的作为合</w:t>
      </w:r>
      <w:r>
        <w:rPr>
          <w:rFonts w:hint="eastAsia" w:ascii="宋体" w:hAnsi="宋体" w:eastAsia="宋体" w:cs="宋体"/>
          <w:spacing w:val="-4"/>
          <w:sz w:val="24"/>
          <w:szCs w:val="24"/>
        </w:rPr>
        <w:t>同组成部分的其他文件</w:t>
      </w:r>
    </w:p>
    <w:p w14:paraId="0B64D9A9">
      <w:pPr>
        <w:pStyle w:val="3"/>
        <w:keepNext w:val="0"/>
        <w:keepLines w:val="0"/>
        <w:pageBreakBefore w:val="0"/>
        <w:wordWrap/>
        <w:overflowPunct/>
        <w:topLinePunct w:val="0"/>
        <w:bidi w:val="0"/>
        <w:adjustRightInd w:val="0"/>
        <w:snapToGrid w:val="0"/>
        <w:spacing w:line="480" w:lineRule="exact"/>
        <w:ind w:left="0" w:leftChars="0" w:right="0" w:firstLine="466" w:firstLineChars="200"/>
        <w:outlineLvl w:val="1"/>
        <w:rPr>
          <w:rFonts w:hint="eastAsia" w:ascii="宋体" w:hAnsi="宋体" w:eastAsia="宋体" w:cs="宋体"/>
          <w:sz w:val="24"/>
          <w:szCs w:val="24"/>
        </w:rPr>
      </w:pPr>
      <w:r>
        <w:rPr>
          <w:rFonts w:hint="eastAsia" w:ascii="宋体" w:hAnsi="宋体" w:eastAsia="宋体" w:cs="宋体"/>
          <w:b/>
          <w:bCs/>
          <w:spacing w:val="-4"/>
          <w:sz w:val="24"/>
          <w:szCs w:val="24"/>
        </w:rPr>
        <w:t>十一、其他条款</w:t>
      </w:r>
    </w:p>
    <w:p w14:paraId="3803ABBF">
      <w:pPr>
        <w:pStyle w:val="3"/>
        <w:keepNext w:val="0"/>
        <w:keepLines w:val="0"/>
        <w:pageBreakBefore w:val="0"/>
        <w:wordWrap/>
        <w:overflowPunct/>
        <w:topLinePunct w:val="0"/>
        <w:bidi w:val="0"/>
        <w:adjustRightInd w:val="0"/>
        <w:snapToGrid w:val="0"/>
        <w:spacing w:line="480" w:lineRule="exact"/>
        <w:ind w:left="0" w:leftChars="0" w:right="0" w:firstLine="468" w:firstLineChars="200"/>
        <w:outlineLvl w:val="2"/>
        <w:rPr>
          <w:rFonts w:hint="eastAsia" w:ascii="宋体" w:hAnsi="宋体" w:eastAsia="宋体" w:cs="宋体"/>
          <w:sz w:val="24"/>
          <w:szCs w:val="24"/>
        </w:rPr>
      </w:pPr>
      <w:r>
        <w:rPr>
          <w:rFonts w:hint="eastAsia" w:ascii="宋体" w:hAnsi="宋体" w:eastAsia="宋体" w:cs="宋体"/>
          <w:spacing w:val="-3"/>
          <w:sz w:val="24"/>
          <w:szCs w:val="24"/>
        </w:rPr>
        <w:t>11.1.履约保证金</w:t>
      </w:r>
    </w:p>
    <w:p w14:paraId="06466191">
      <w:pPr>
        <w:spacing w:before="172" w:line="220" w:lineRule="auto"/>
        <w:ind w:firstLine="472" w:firstLineChars="200"/>
        <w:jc w:val="both"/>
        <w:rPr>
          <w:rFonts w:ascii="宋体" w:hAnsi="宋体" w:eastAsia="宋体" w:cs="宋体"/>
          <w:spacing w:val="-2"/>
          <w:sz w:val="24"/>
          <w:szCs w:val="24"/>
        </w:rPr>
      </w:pPr>
      <w:r>
        <w:rPr>
          <w:rFonts w:ascii="宋体" w:hAnsi="宋体" w:eastAsia="宋体" w:cs="宋体"/>
          <w:spacing w:val="-2"/>
          <w:sz w:val="24"/>
          <w:szCs w:val="24"/>
        </w:rPr>
        <w:t>是否收取履约保证金：否</w:t>
      </w:r>
    </w:p>
    <w:p w14:paraId="77EC7867">
      <w:pPr>
        <w:spacing w:before="172" w:line="220" w:lineRule="auto"/>
        <w:ind w:firstLine="468" w:firstLineChars="200"/>
        <w:jc w:val="both"/>
        <w:rPr>
          <w:rFonts w:hint="eastAsia" w:ascii="宋体" w:hAnsi="宋体" w:eastAsia="宋体" w:cs="宋体"/>
          <w:sz w:val="24"/>
          <w:szCs w:val="24"/>
        </w:rPr>
      </w:pPr>
      <w:r>
        <w:rPr>
          <w:rFonts w:hint="eastAsia" w:ascii="宋体" w:hAnsi="宋体" w:eastAsia="宋体" w:cs="宋体"/>
          <w:spacing w:val="-3"/>
          <w:sz w:val="24"/>
          <w:szCs w:val="24"/>
        </w:rPr>
        <w:t>11.2.不可抗力事件处理</w:t>
      </w:r>
    </w:p>
    <w:p w14:paraId="2BEA91F6">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480" w:firstLineChars="200"/>
        <w:jc w:val="both"/>
        <w:textAlignment w:val="auto"/>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11.2.1.任何一方对由于不可抗力造成的部分或全部不能履行合同不承担违约责任。但迟延履行后发生不可抗力的，不能免除责任。</w:t>
      </w:r>
    </w:p>
    <w:p w14:paraId="337401A8">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480" w:firstLineChars="200"/>
        <w:jc w:val="both"/>
        <w:textAlignment w:val="auto"/>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11.2.2.遇有不可抗力的一方，应及时将事件情况以书面形式告知另一方，并在事件发生后 XX 天内及时向另一方提交合同不能履行或部分不能履行或需要延期履行的详细报告，以及证明不可抗力发生及其持续时间的证据。</w:t>
      </w:r>
    </w:p>
    <w:p w14:paraId="550D1FA7">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480" w:firstLineChars="200"/>
        <w:jc w:val="both"/>
        <w:textAlignment w:val="auto"/>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11.2.3.不可抗力事件延续 XX 天以上，双方应通过友好协商，确定是否继续履行合同。</w:t>
      </w:r>
    </w:p>
    <w:p w14:paraId="38BCD915">
      <w:pPr>
        <w:pStyle w:val="3"/>
        <w:keepNext w:val="0"/>
        <w:keepLines w:val="0"/>
        <w:pageBreakBefore w:val="0"/>
        <w:wordWrap/>
        <w:overflowPunct/>
        <w:topLinePunct w:val="0"/>
        <w:bidi w:val="0"/>
        <w:adjustRightInd w:val="0"/>
        <w:snapToGrid w:val="0"/>
        <w:spacing w:line="560" w:lineRule="exact"/>
        <w:ind w:left="0" w:leftChars="0" w:right="0" w:firstLine="468" w:firstLineChars="200"/>
        <w:outlineLvl w:val="2"/>
        <w:rPr>
          <w:rFonts w:hint="eastAsia" w:ascii="宋体" w:hAnsi="宋体" w:eastAsia="宋体" w:cs="宋体"/>
          <w:sz w:val="24"/>
          <w:szCs w:val="24"/>
        </w:rPr>
      </w:pPr>
      <w:r>
        <w:rPr>
          <w:rFonts w:hint="eastAsia" w:ascii="宋体" w:hAnsi="宋体" w:eastAsia="宋体" w:cs="宋体"/>
          <w:spacing w:val="-3"/>
          <w:sz w:val="24"/>
          <w:szCs w:val="24"/>
        </w:rPr>
        <w:t>11.3.权利瑕疵担保</w:t>
      </w:r>
    </w:p>
    <w:p w14:paraId="49270746">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480" w:firstLineChars="200"/>
        <w:jc w:val="both"/>
        <w:textAlignment w:val="auto"/>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14:paraId="3154C384">
      <w:pPr>
        <w:pStyle w:val="3"/>
        <w:keepNext w:val="0"/>
        <w:keepLines w:val="0"/>
        <w:pageBreakBefore w:val="0"/>
        <w:wordWrap/>
        <w:overflowPunct/>
        <w:topLinePunct w:val="0"/>
        <w:bidi w:val="0"/>
        <w:adjustRightInd w:val="0"/>
        <w:snapToGrid w:val="0"/>
        <w:spacing w:line="560" w:lineRule="exact"/>
        <w:ind w:left="0" w:leftChars="0" w:right="0" w:firstLine="468" w:firstLineChars="200"/>
        <w:outlineLvl w:val="2"/>
        <w:rPr>
          <w:rFonts w:hint="eastAsia" w:ascii="宋体" w:hAnsi="宋体" w:eastAsia="宋体" w:cs="宋体"/>
          <w:sz w:val="24"/>
          <w:szCs w:val="24"/>
        </w:rPr>
      </w:pPr>
      <w:r>
        <w:rPr>
          <w:rFonts w:hint="eastAsia" w:ascii="宋体" w:hAnsi="宋体" w:eastAsia="宋体" w:cs="宋体"/>
          <w:spacing w:val="-3"/>
          <w:sz w:val="24"/>
          <w:szCs w:val="24"/>
        </w:rPr>
        <w:t>11.4.知识产权保护</w:t>
      </w:r>
    </w:p>
    <w:p w14:paraId="106F5DA6">
      <w:pPr>
        <w:pStyle w:val="3"/>
        <w:keepNext w:val="0"/>
        <w:keepLines w:val="0"/>
        <w:pageBreakBefore w:val="0"/>
        <w:wordWrap/>
        <w:overflowPunct/>
        <w:topLinePunct w:val="0"/>
        <w:bidi w:val="0"/>
        <w:adjustRightInd w:val="0"/>
        <w:snapToGrid w:val="0"/>
        <w:spacing w:line="560" w:lineRule="exact"/>
        <w:ind w:right="0"/>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7555DE64">
      <w:pPr>
        <w:pStyle w:val="3"/>
        <w:keepNext w:val="0"/>
        <w:keepLines w:val="0"/>
        <w:pageBreakBefore w:val="0"/>
        <w:wordWrap/>
        <w:overflowPunct/>
        <w:topLinePunct w:val="0"/>
        <w:bidi w:val="0"/>
        <w:adjustRightInd w:val="0"/>
        <w:snapToGrid w:val="0"/>
        <w:spacing w:line="560" w:lineRule="exact"/>
        <w:ind w:right="0" w:firstLine="464" w:firstLineChars="200"/>
        <w:rPr>
          <w:rFonts w:hint="eastAsia" w:ascii="宋体" w:hAnsi="宋体" w:eastAsia="宋体" w:cs="宋体"/>
          <w:sz w:val="24"/>
          <w:szCs w:val="24"/>
        </w:rPr>
      </w:pPr>
      <w:r>
        <w:rPr>
          <w:rFonts w:hint="eastAsia" w:ascii="宋体" w:hAnsi="宋体" w:eastAsia="宋体" w:cs="宋体"/>
          <w:spacing w:val="-4"/>
          <w:sz w:val="24"/>
          <w:szCs w:val="24"/>
        </w:rPr>
        <w:t>11.5.保密义务</w:t>
      </w:r>
    </w:p>
    <w:p w14:paraId="540FBEC4">
      <w:pPr>
        <w:pStyle w:val="3"/>
        <w:keepNext w:val="0"/>
        <w:keepLines w:val="0"/>
        <w:pageBreakBefore w:val="0"/>
        <w:wordWrap/>
        <w:overflowPunct/>
        <w:topLinePunct w:val="0"/>
        <w:bidi w:val="0"/>
        <w:adjustRightInd w:val="0"/>
        <w:snapToGrid w:val="0"/>
        <w:spacing w:line="560" w:lineRule="exact"/>
        <w:ind w:left="0" w:leftChars="0" w:right="0" w:firstLine="480" w:firstLineChars="200"/>
        <w:rPr>
          <w:rFonts w:hint="eastAsia" w:ascii="宋体" w:hAnsi="宋体" w:eastAsia="宋体" w:cs="宋体"/>
          <w:sz w:val="24"/>
          <w:szCs w:val="24"/>
          <w:lang w:eastAsia="zh-CN"/>
        </w:rPr>
      </w:pPr>
      <w:r>
        <w:rPr>
          <w:rFonts w:hint="eastAsia" w:ascii="宋体" w:hAnsi="宋体" w:eastAsia="宋体" w:cs="宋体"/>
          <w:snapToGrid w:val="0"/>
          <w:color w:val="auto"/>
          <w:kern w:val="2"/>
          <w:sz w:val="24"/>
          <w:szCs w:val="24"/>
          <w:highlight w:val="none"/>
          <w:lang w:val="en-US" w:eastAsia="zh-CN" w:bidi="ar-SA"/>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7527D28E">
      <w:pPr>
        <w:pStyle w:val="3"/>
        <w:keepNext w:val="0"/>
        <w:keepLines w:val="0"/>
        <w:pageBreakBefore w:val="0"/>
        <w:wordWrap/>
        <w:overflowPunct/>
        <w:topLinePunct w:val="0"/>
        <w:bidi w:val="0"/>
        <w:adjustRightInd w:val="0"/>
        <w:snapToGrid w:val="0"/>
        <w:spacing w:line="560" w:lineRule="exact"/>
        <w:ind w:left="0" w:leftChars="0" w:right="0" w:firstLine="472" w:firstLineChars="200"/>
        <w:rPr>
          <w:rFonts w:hint="eastAsia" w:ascii="宋体" w:hAnsi="宋体" w:eastAsia="宋体" w:cs="宋体"/>
          <w:sz w:val="24"/>
          <w:szCs w:val="24"/>
        </w:rPr>
      </w:pPr>
      <w:r>
        <w:rPr>
          <w:rFonts w:hint="eastAsia" w:ascii="宋体" w:hAnsi="宋体" w:eastAsia="宋体" w:cs="宋体"/>
          <w:spacing w:val="-2"/>
          <w:sz w:val="24"/>
          <w:szCs w:val="24"/>
        </w:rPr>
        <w:t>11.6.合同变更、中止与终止</w:t>
      </w:r>
    </w:p>
    <w:p w14:paraId="1043932D">
      <w:pPr>
        <w:pStyle w:val="3"/>
        <w:keepNext w:val="0"/>
        <w:keepLines w:val="0"/>
        <w:pageBreakBefore w:val="0"/>
        <w:wordWrap/>
        <w:overflowPunct/>
        <w:topLinePunct w:val="0"/>
        <w:bidi w:val="0"/>
        <w:adjustRightInd w:val="0"/>
        <w:snapToGrid w:val="0"/>
        <w:spacing w:line="560" w:lineRule="exact"/>
        <w:ind w:left="0" w:leftChars="0" w:right="0" w:firstLine="460" w:firstLineChars="200"/>
        <w:rPr>
          <w:rFonts w:hint="eastAsia" w:ascii="宋体" w:hAnsi="宋体" w:eastAsia="宋体" w:cs="宋体"/>
          <w:sz w:val="24"/>
          <w:szCs w:val="24"/>
        </w:rPr>
      </w:pPr>
      <w:r>
        <w:rPr>
          <w:rFonts w:hint="eastAsia" w:ascii="宋体" w:hAnsi="宋体" w:eastAsia="宋体" w:cs="宋体"/>
          <w:spacing w:val="-5"/>
          <w:sz w:val="24"/>
          <w:szCs w:val="24"/>
        </w:rPr>
        <w:t>甲乙双方当事人不得擅自变更、中止或者终止合同。合同继续履</w:t>
      </w:r>
      <w:r>
        <w:rPr>
          <w:rFonts w:hint="eastAsia" w:ascii="宋体" w:hAnsi="宋体" w:eastAsia="宋体" w:cs="宋体"/>
          <w:spacing w:val="-4"/>
          <w:sz w:val="24"/>
          <w:szCs w:val="24"/>
        </w:rPr>
        <w:t>行将损害国家利益和社会公共利益的，甲乙双方应当变更、中止或者终止合同。有过错的一方应当承担赔偿责任，双方都有过错的，各自</w:t>
      </w:r>
      <w:r>
        <w:rPr>
          <w:rFonts w:hint="eastAsia" w:ascii="宋体" w:hAnsi="宋体" w:eastAsia="宋体" w:cs="宋体"/>
          <w:spacing w:val="-2"/>
          <w:sz w:val="24"/>
          <w:szCs w:val="24"/>
        </w:rPr>
        <w:t>承担相应的责任。</w:t>
      </w:r>
    </w:p>
    <w:p w14:paraId="6C5C8D8E">
      <w:pPr>
        <w:pStyle w:val="3"/>
        <w:keepNext w:val="0"/>
        <w:keepLines w:val="0"/>
        <w:pageBreakBefore w:val="0"/>
        <w:wordWrap/>
        <w:overflowPunct/>
        <w:topLinePunct w:val="0"/>
        <w:bidi w:val="0"/>
        <w:adjustRightInd w:val="0"/>
        <w:snapToGrid w:val="0"/>
        <w:spacing w:line="560" w:lineRule="exact"/>
        <w:ind w:left="0" w:leftChars="0" w:right="0" w:firstLine="468" w:firstLineChars="200"/>
        <w:rPr>
          <w:rFonts w:hint="eastAsia" w:ascii="宋体" w:hAnsi="宋体" w:eastAsia="宋体" w:cs="宋体"/>
          <w:sz w:val="24"/>
          <w:szCs w:val="24"/>
        </w:rPr>
      </w:pPr>
      <w:r>
        <w:rPr>
          <w:rFonts w:hint="eastAsia" w:ascii="宋体" w:hAnsi="宋体" w:eastAsia="宋体" w:cs="宋体"/>
          <w:spacing w:val="-3"/>
          <w:sz w:val="24"/>
          <w:szCs w:val="24"/>
        </w:rPr>
        <w:t>11.6.1.合同的变更</w:t>
      </w:r>
    </w:p>
    <w:p w14:paraId="146AC1CF">
      <w:pPr>
        <w:pStyle w:val="3"/>
        <w:keepNext w:val="0"/>
        <w:keepLines w:val="0"/>
        <w:pageBreakBefore w:val="0"/>
        <w:wordWrap/>
        <w:overflowPunct/>
        <w:topLinePunct w:val="0"/>
        <w:bidi w:val="0"/>
        <w:adjustRightInd w:val="0"/>
        <w:snapToGrid w:val="0"/>
        <w:spacing w:line="560" w:lineRule="exact"/>
        <w:ind w:left="0" w:leftChars="0" w:right="0" w:firstLine="480" w:firstLineChars="200"/>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政府采购合同履行中，在不改变合同其他条款的前提下，甲方可以在合同价款10%的范围内追加与合同标的相同的服务，并就此与乙方协商一致后签订补充协议。</w:t>
      </w:r>
    </w:p>
    <w:p w14:paraId="58CEBC04">
      <w:pPr>
        <w:pStyle w:val="3"/>
        <w:keepNext w:val="0"/>
        <w:keepLines w:val="0"/>
        <w:pageBreakBefore w:val="0"/>
        <w:wordWrap/>
        <w:overflowPunct/>
        <w:topLinePunct w:val="0"/>
        <w:bidi w:val="0"/>
        <w:adjustRightInd w:val="0"/>
        <w:snapToGrid w:val="0"/>
        <w:spacing w:line="560" w:lineRule="exact"/>
        <w:ind w:left="0" w:leftChars="0" w:right="0" w:firstLine="468" w:firstLineChars="200"/>
        <w:rPr>
          <w:rFonts w:hint="eastAsia" w:ascii="宋体" w:hAnsi="宋体" w:eastAsia="宋体" w:cs="宋体"/>
          <w:sz w:val="24"/>
          <w:szCs w:val="24"/>
        </w:rPr>
      </w:pPr>
      <w:r>
        <w:rPr>
          <w:rFonts w:hint="eastAsia" w:ascii="宋体" w:hAnsi="宋体" w:eastAsia="宋体" w:cs="宋体"/>
          <w:spacing w:val="-3"/>
          <w:sz w:val="24"/>
          <w:szCs w:val="24"/>
        </w:rPr>
        <w:t>11.6.2.合同的中止</w:t>
      </w:r>
    </w:p>
    <w:p w14:paraId="3CD3FF5F">
      <w:pPr>
        <w:pStyle w:val="3"/>
        <w:keepNext w:val="0"/>
        <w:keepLines w:val="0"/>
        <w:pageBreakBefore w:val="0"/>
        <w:wordWrap/>
        <w:overflowPunct/>
        <w:topLinePunct w:val="0"/>
        <w:bidi w:val="0"/>
        <w:adjustRightInd w:val="0"/>
        <w:snapToGrid w:val="0"/>
        <w:spacing w:line="560" w:lineRule="exact"/>
        <w:ind w:left="0" w:leftChars="0" w:right="0" w:firstLine="480" w:firstLineChars="200"/>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11.6.2.1.合同签订后，因询问、质疑可能影响成交结果的，甲方应当中止履行合同，因供应商就采购文件、采购过程或结果提起投诉的，甲方认为有必要的，可以中止合同的履行。</w:t>
      </w:r>
    </w:p>
    <w:p w14:paraId="39DAADFC">
      <w:pPr>
        <w:pStyle w:val="3"/>
        <w:keepNext w:val="0"/>
        <w:keepLines w:val="0"/>
        <w:pageBreakBefore w:val="0"/>
        <w:wordWrap/>
        <w:overflowPunct/>
        <w:topLinePunct w:val="0"/>
        <w:bidi w:val="0"/>
        <w:adjustRightInd w:val="0"/>
        <w:snapToGrid w:val="0"/>
        <w:spacing w:line="560" w:lineRule="exact"/>
        <w:ind w:left="0" w:leftChars="0" w:right="0" w:firstLine="480" w:firstLineChars="200"/>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396582F1">
      <w:pPr>
        <w:pStyle w:val="3"/>
        <w:keepNext w:val="0"/>
        <w:keepLines w:val="0"/>
        <w:pageBreakBefore w:val="0"/>
        <w:wordWrap/>
        <w:overflowPunct/>
        <w:topLinePunct w:val="0"/>
        <w:bidi w:val="0"/>
        <w:adjustRightInd w:val="0"/>
        <w:snapToGrid w:val="0"/>
        <w:spacing w:line="560" w:lineRule="exact"/>
        <w:ind w:left="0" w:leftChars="0" w:right="0" w:firstLine="480" w:firstLineChars="200"/>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11.6.2.3.乙方分立、合并或者变更住所的，应当及时以书面形式告知甲方。乙方没有及时告知甲方，致使合同履行发生困难的，甲方可以中止合同履行并要求乙方承担由此给甲方造成的损失。</w:t>
      </w:r>
    </w:p>
    <w:p w14:paraId="162BC5B9">
      <w:pPr>
        <w:pStyle w:val="3"/>
        <w:keepNext w:val="0"/>
        <w:keepLines w:val="0"/>
        <w:pageBreakBefore w:val="0"/>
        <w:wordWrap/>
        <w:overflowPunct/>
        <w:topLinePunct w:val="0"/>
        <w:bidi w:val="0"/>
        <w:adjustRightInd w:val="0"/>
        <w:snapToGrid w:val="0"/>
        <w:spacing w:line="560" w:lineRule="exact"/>
        <w:ind w:left="0" w:leftChars="0" w:right="0" w:firstLine="480" w:firstLineChars="200"/>
        <w:rPr>
          <w:rFonts w:hint="eastAsia" w:ascii="宋体" w:hAnsi="宋体" w:eastAsia="宋体" w:cs="宋体"/>
          <w:sz w:val="24"/>
          <w:szCs w:val="24"/>
        </w:rPr>
      </w:pPr>
      <w:r>
        <w:rPr>
          <w:rFonts w:hint="eastAsia" w:ascii="宋体" w:hAnsi="宋体" w:eastAsia="宋体" w:cs="宋体"/>
          <w:snapToGrid w:val="0"/>
          <w:color w:val="auto"/>
          <w:kern w:val="2"/>
          <w:sz w:val="24"/>
          <w:szCs w:val="24"/>
          <w:highlight w:val="none"/>
          <w:lang w:val="en-US" w:eastAsia="zh-CN" w:bidi="ar-SA"/>
        </w:rPr>
        <w:t>11.6.2.4.甲方不得以行政区划调整、政府换届、机构或者职能调整以及相关责任人更替为由中止合同。</w:t>
      </w:r>
    </w:p>
    <w:p w14:paraId="1DB34097">
      <w:pPr>
        <w:pStyle w:val="3"/>
        <w:keepNext w:val="0"/>
        <w:keepLines w:val="0"/>
        <w:pageBreakBefore w:val="0"/>
        <w:wordWrap/>
        <w:overflowPunct/>
        <w:topLinePunct w:val="0"/>
        <w:bidi w:val="0"/>
        <w:adjustRightInd w:val="0"/>
        <w:snapToGrid w:val="0"/>
        <w:spacing w:line="560" w:lineRule="exact"/>
        <w:ind w:left="0" w:leftChars="0" w:right="0" w:firstLine="468" w:firstLineChars="200"/>
        <w:rPr>
          <w:rFonts w:hint="eastAsia" w:ascii="宋体" w:hAnsi="宋体" w:eastAsia="宋体" w:cs="宋体"/>
          <w:sz w:val="24"/>
          <w:szCs w:val="24"/>
        </w:rPr>
      </w:pPr>
      <w:r>
        <w:rPr>
          <w:rFonts w:hint="eastAsia" w:ascii="宋体" w:hAnsi="宋体" w:eastAsia="宋体" w:cs="宋体"/>
          <w:spacing w:val="-3"/>
          <w:sz w:val="24"/>
          <w:szCs w:val="24"/>
        </w:rPr>
        <w:t>11.6.3.合同的终止</w:t>
      </w:r>
    </w:p>
    <w:p w14:paraId="7F321A57">
      <w:pPr>
        <w:pStyle w:val="3"/>
        <w:keepNext w:val="0"/>
        <w:keepLines w:val="0"/>
        <w:pageBreakBefore w:val="0"/>
        <w:wordWrap/>
        <w:overflowPunct/>
        <w:topLinePunct w:val="0"/>
        <w:bidi w:val="0"/>
        <w:adjustRightInd w:val="0"/>
        <w:snapToGrid w:val="0"/>
        <w:spacing w:line="560" w:lineRule="exact"/>
        <w:ind w:left="0" w:leftChars="0" w:right="0" w:firstLine="480" w:firstLineChars="200"/>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11.6.3.1.合同因有效期限届满而终止；</w:t>
      </w:r>
    </w:p>
    <w:p w14:paraId="5C887B6F">
      <w:pPr>
        <w:pStyle w:val="3"/>
        <w:keepNext w:val="0"/>
        <w:keepLines w:val="0"/>
        <w:pageBreakBefore w:val="0"/>
        <w:wordWrap/>
        <w:overflowPunct/>
        <w:topLinePunct w:val="0"/>
        <w:bidi w:val="0"/>
        <w:adjustRightInd w:val="0"/>
        <w:snapToGrid w:val="0"/>
        <w:spacing w:line="560" w:lineRule="exact"/>
        <w:ind w:left="0" w:leftChars="0" w:right="0" w:firstLine="480" w:firstLineChars="200"/>
        <w:rPr>
          <w:rFonts w:hint="eastAsia" w:ascii="宋体" w:hAnsi="宋体" w:eastAsia="宋体" w:cs="宋体"/>
          <w:sz w:val="24"/>
          <w:szCs w:val="24"/>
        </w:rPr>
      </w:pPr>
      <w:r>
        <w:rPr>
          <w:rFonts w:hint="eastAsia" w:ascii="宋体" w:hAnsi="宋体" w:eastAsia="宋体" w:cs="宋体"/>
          <w:snapToGrid w:val="0"/>
          <w:color w:val="auto"/>
          <w:kern w:val="2"/>
          <w:sz w:val="24"/>
          <w:szCs w:val="24"/>
          <w:highlight w:val="none"/>
          <w:lang w:val="en-US" w:eastAsia="zh-CN" w:bidi="ar-SA"/>
        </w:rPr>
        <w:t>11.6.3.2.任一方未按合同约定履行，构成根本性违约的，另一方有权终止合同，并追究违约方的违约责任。</w:t>
      </w:r>
    </w:p>
    <w:p w14:paraId="40494447">
      <w:pPr>
        <w:pStyle w:val="3"/>
        <w:keepNext w:val="0"/>
        <w:keepLines w:val="0"/>
        <w:pageBreakBefore w:val="0"/>
        <w:wordWrap/>
        <w:overflowPunct/>
        <w:topLinePunct w:val="0"/>
        <w:bidi w:val="0"/>
        <w:adjustRightInd w:val="0"/>
        <w:snapToGrid w:val="0"/>
        <w:spacing w:line="560" w:lineRule="exact"/>
        <w:ind w:left="0" w:leftChars="0" w:right="0" w:firstLine="464" w:firstLineChars="200"/>
        <w:rPr>
          <w:rFonts w:hint="eastAsia" w:ascii="宋体" w:hAnsi="宋体" w:eastAsia="宋体" w:cs="宋体"/>
          <w:spacing w:val="-4"/>
          <w:sz w:val="24"/>
          <w:szCs w:val="24"/>
        </w:rPr>
      </w:pPr>
      <w:r>
        <w:rPr>
          <w:rFonts w:hint="eastAsia" w:ascii="宋体" w:hAnsi="宋体" w:eastAsia="宋体" w:cs="宋体"/>
          <w:spacing w:val="-4"/>
          <w:sz w:val="24"/>
          <w:szCs w:val="24"/>
        </w:rPr>
        <w:t>11.7.合同分包</w:t>
      </w:r>
    </w:p>
    <w:p w14:paraId="6EEE77A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460" w:firstLineChars="200"/>
        <w:textAlignment w:val="baseline"/>
        <w:rPr>
          <w:rFonts w:hint="eastAsia" w:ascii="宋体" w:hAnsi="宋体" w:eastAsia="宋体" w:cs="宋体"/>
          <w:sz w:val="24"/>
          <w:szCs w:val="24"/>
        </w:rPr>
      </w:pPr>
      <w:r>
        <w:rPr>
          <w:rFonts w:hint="eastAsia" w:ascii="宋体" w:hAnsi="宋体" w:eastAsia="宋体" w:cs="宋体"/>
          <w:spacing w:val="-5"/>
          <w:sz w:val="24"/>
          <w:szCs w:val="24"/>
        </w:rPr>
        <w:t>乙方不得将合同转包给其他供应商。涉及合同分包的，乙方应根</w:t>
      </w:r>
      <w:r>
        <w:rPr>
          <w:rFonts w:hint="eastAsia" w:ascii="宋体" w:hAnsi="宋体" w:eastAsia="宋体" w:cs="宋体"/>
          <w:spacing w:val="-1"/>
          <w:sz w:val="24"/>
          <w:szCs w:val="24"/>
        </w:rPr>
        <w:t>据采购文件和投标（响应）文件规定进行合同分包。</w:t>
      </w:r>
    </w:p>
    <w:p w14:paraId="34B2B6A9">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乙方执行政府采购政策向中小企业依法分包的，乙方应当按采购</w:t>
      </w:r>
      <w:r>
        <w:rPr>
          <w:rFonts w:hint="eastAsia" w:ascii="宋体" w:hAnsi="宋体" w:eastAsia="宋体" w:cs="宋体"/>
          <w:spacing w:val="-4"/>
          <w:sz w:val="24"/>
          <w:szCs w:val="24"/>
        </w:rPr>
        <w:t>文件和投标（响应）文件签订分包意向协议，分包意向协议属于本合</w:t>
      </w:r>
      <w:r>
        <w:rPr>
          <w:rFonts w:hint="eastAsia" w:ascii="宋体" w:hAnsi="宋体" w:eastAsia="宋体" w:cs="宋体"/>
          <w:spacing w:val="-2"/>
          <w:sz w:val="24"/>
          <w:szCs w:val="24"/>
        </w:rPr>
        <w:t>同组成部分。</w:t>
      </w:r>
    </w:p>
    <w:p w14:paraId="1B0AD0F1">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464"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11.8.法律适用</w:t>
      </w:r>
    </w:p>
    <w:p w14:paraId="5C43CD24">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460" w:firstLineChars="200"/>
        <w:jc w:val="both"/>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本合同的订立、生效、解释、履行及与本合同有关的争议解决，均适用法律、行政法规。</w:t>
      </w:r>
    </w:p>
    <w:p w14:paraId="46B7143A">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46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本合同条款与法律、行政法规的强制性规定不一致的，双方当事人应按照法律、行政法规的强制性规定修改本合同的相关条款。</w:t>
      </w:r>
    </w:p>
    <w:p w14:paraId="2128ED0A">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466" w:firstLineChars="200"/>
        <w:textAlignment w:val="baseline"/>
        <w:outlineLvl w:val="1"/>
        <w:rPr>
          <w:rFonts w:hint="eastAsia" w:ascii="宋体" w:hAnsi="宋体" w:eastAsia="宋体" w:cs="宋体"/>
          <w:sz w:val="24"/>
          <w:szCs w:val="24"/>
        </w:rPr>
      </w:pPr>
      <w:r>
        <w:rPr>
          <w:rFonts w:hint="eastAsia" w:ascii="宋体" w:hAnsi="宋体" w:eastAsia="宋体" w:cs="宋体"/>
          <w:b/>
          <w:bCs/>
          <w:spacing w:val="-4"/>
          <w:sz w:val="24"/>
          <w:szCs w:val="24"/>
        </w:rPr>
        <w:t>十二、合同生效及其他</w:t>
      </w:r>
    </w:p>
    <w:p w14:paraId="603D6B4C">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464" w:firstLineChars="200"/>
        <w:textAlignment w:val="baseline"/>
        <w:rPr>
          <w:rFonts w:hint="eastAsia" w:ascii="宋体" w:hAnsi="宋体" w:eastAsia="宋体" w:cs="宋体"/>
          <w:spacing w:val="-4"/>
          <w:sz w:val="24"/>
          <w:szCs w:val="24"/>
        </w:rPr>
      </w:pPr>
      <w:r>
        <w:rPr>
          <w:rFonts w:hint="eastAsia" w:ascii="宋体" w:hAnsi="宋体" w:eastAsia="宋体" w:cs="宋体"/>
          <w:spacing w:val="-4"/>
          <w:sz w:val="24"/>
          <w:szCs w:val="24"/>
        </w:rPr>
        <w:t>12.1.合同经双方法定代表人（或主要负责人）或授权委托代理人签字并加盖公章后生效。</w:t>
      </w:r>
    </w:p>
    <w:p w14:paraId="559F368C">
      <w:pPr>
        <w:keepNext w:val="0"/>
        <w:keepLines w:val="0"/>
        <w:pageBreakBefore w:val="0"/>
        <w:widowControl/>
        <w:kinsoku w:val="0"/>
        <w:wordWrap/>
        <w:overflowPunct/>
        <w:topLinePunct w:val="0"/>
        <w:autoSpaceDE w:val="0"/>
        <w:autoSpaceDN w:val="0"/>
        <w:bidi w:val="0"/>
        <w:adjustRightInd w:val="0"/>
        <w:snapToGrid w:val="0"/>
        <w:spacing w:line="560" w:lineRule="exact"/>
        <w:ind w:firstLine="464" w:firstLineChars="200"/>
        <w:textAlignment w:val="baseline"/>
        <w:rPr>
          <w:rFonts w:hint="eastAsia" w:ascii="宋体" w:hAnsi="宋体" w:eastAsia="宋体" w:cs="宋体"/>
          <w:spacing w:val="-4"/>
          <w:sz w:val="24"/>
          <w:szCs w:val="24"/>
        </w:rPr>
      </w:pPr>
      <w:r>
        <w:rPr>
          <w:rFonts w:hint="eastAsia" w:ascii="宋体" w:hAnsi="宋体" w:eastAsia="宋体" w:cs="宋体"/>
          <w:spacing w:val="-4"/>
          <w:sz w:val="24"/>
          <w:szCs w:val="24"/>
        </w:rPr>
        <w:t>12.2.政府采购合同履行中，甲方需追加与合同标的相同的服务的，在不改变合同其他条款的前提下签订的补充合同，报同级政府采购监督管理部门备案，方可作为主合同不可分割的一部分。</w:t>
      </w:r>
    </w:p>
    <w:p w14:paraId="573468B8">
      <w:pPr>
        <w:spacing w:before="235"/>
        <w:rPr>
          <w:rFonts w:hint="eastAsia" w:ascii="宋体" w:hAnsi="宋体" w:eastAsia="宋体" w:cs="宋体"/>
          <w:spacing w:val="-4"/>
          <w:sz w:val="24"/>
          <w:szCs w:val="24"/>
        </w:rPr>
      </w:pPr>
    </w:p>
    <w:p w14:paraId="3A4E5071">
      <w:pPr>
        <w:spacing w:before="235"/>
        <w:rPr>
          <w:rFonts w:hint="eastAsia" w:ascii="宋体" w:hAnsi="宋体" w:eastAsia="宋体" w:cs="宋体"/>
          <w:spacing w:val="-4"/>
          <w:sz w:val="24"/>
          <w:szCs w:val="24"/>
        </w:rPr>
      </w:pPr>
    </w:p>
    <w:p w14:paraId="4D2788FB">
      <w:pPr>
        <w:spacing w:before="235"/>
        <w:rPr>
          <w:rFonts w:hint="eastAsia" w:ascii="宋体" w:hAnsi="宋体" w:eastAsia="宋体" w:cs="宋体"/>
          <w:spacing w:val="-4"/>
          <w:sz w:val="24"/>
          <w:szCs w:val="24"/>
        </w:rPr>
      </w:pPr>
    </w:p>
    <w:tbl>
      <w:tblPr>
        <w:tblStyle w:val="8"/>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950"/>
        <w:gridCol w:w="4362"/>
      </w:tblGrid>
      <w:tr w14:paraId="4559D7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5000" w:type="pct"/>
            <w:gridSpan w:val="2"/>
            <w:vAlign w:val="top"/>
          </w:tcPr>
          <w:p w14:paraId="298A392B">
            <w:pPr>
              <w:pStyle w:val="7"/>
              <w:spacing w:before="133" w:line="229" w:lineRule="auto"/>
              <w:ind w:left="4016"/>
            </w:pPr>
            <w:r>
              <w:rPr>
                <w:b/>
                <w:bCs/>
                <w:spacing w:val="-10"/>
              </w:rPr>
              <w:t>甲方</w:t>
            </w:r>
          </w:p>
        </w:tc>
      </w:tr>
      <w:tr w14:paraId="16D2AF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376" w:type="pct"/>
            <w:vAlign w:val="top"/>
          </w:tcPr>
          <w:p w14:paraId="058DAEC1">
            <w:pPr>
              <w:pStyle w:val="7"/>
              <w:spacing w:before="131" w:line="228" w:lineRule="auto"/>
              <w:ind w:left="1581"/>
            </w:pPr>
            <w:r>
              <w:rPr>
                <w:spacing w:val="6"/>
              </w:rPr>
              <w:t>单位名称</w:t>
            </w:r>
          </w:p>
        </w:tc>
        <w:tc>
          <w:tcPr>
            <w:tcW w:w="2623" w:type="pct"/>
            <w:vAlign w:val="top"/>
          </w:tcPr>
          <w:p w14:paraId="3864405E">
            <w:pPr>
              <w:pStyle w:val="7"/>
              <w:spacing w:before="131" w:line="227" w:lineRule="auto"/>
              <w:ind w:left="124"/>
            </w:pPr>
            <w:r>
              <w:rPr>
                <w:spacing w:val="2"/>
              </w:rPr>
              <w:t>（盖章）</w:t>
            </w:r>
          </w:p>
        </w:tc>
      </w:tr>
      <w:tr w14:paraId="410A54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76" w:type="pct"/>
            <w:vAlign w:val="top"/>
          </w:tcPr>
          <w:p w14:paraId="34751320">
            <w:pPr>
              <w:pStyle w:val="7"/>
              <w:spacing w:before="131" w:line="227" w:lineRule="auto"/>
              <w:ind w:left="116"/>
            </w:pPr>
            <w:r>
              <w:rPr>
                <w:spacing w:val="8"/>
              </w:rPr>
              <w:t>法定代表人或其授权委托代理人（签章）</w:t>
            </w:r>
          </w:p>
        </w:tc>
        <w:tc>
          <w:tcPr>
            <w:tcW w:w="2623" w:type="pct"/>
            <w:vAlign w:val="top"/>
          </w:tcPr>
          <w:p w14:paraId="5D4938E7">
            <w:pPr>
              <w:rPr>
                <w:rFonts w:ascii="Arial"/>
                <w:sz w:val="21"/>
              </w:rPr>
            </w:pPr>
          </w:p>
        </w:tc>
      </w:tr>
      <w:tr w14:paraId="1191FC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76" w:type="pct"/>
            <w:vAlign w:val="top"/>
          </w:tcPr>
          <w:p w14:paraId="767627CC">
            <w:pPr>
              <w:pStyle w:val="7"/>
              <w:spacing w:before="131" w:line="228" w:lineRule="auto"/>
              <w:ind w:left="1684"/>
            </w:pPr>
            <w:r>
              <w:rPr>
                <w:spacing w:val="1"/>
              </w:rPr>
              <w:t>住</w:t>
            </w:r>
            <w:r>
              <w:rPr>
                <w:spacing w:val="9"/>
              </w:rPr>
              <w:t xml:space="preserve">  </w:t>
            </w:r>
            <w:r>
              <w:rPr>
                <w:spacing w:val="1"/>
              </w:rPr>
              <w:t>所</w:t>
            </w:r>
          </w:p>
        </w:tc>
        <w:tc>
          <w:tcPr>
            <w:tcW w:w="2623" w:type="pct"/>
            <w:vAlign w:val="top"/>
          </w:tcPr>
          <w:p w14:paraId="21C92AEF">
            <w:pPr>
              <w:rPr>
                <w:rFonts w:ascii="Arial"/>
                <w:sz w:val="21"/>
              </w:rPr>
            </w:pPr>
          </w:p>
        </w:tc>
      </w:tr>
      <w:tr w14:paraId="0F03D6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76" w:type="pct"/>
            <w:vAlign w:val="top"/>
          </w:tcPr>
          <w:p w14:paraId="2FAB9BA0">
            <w:pPr>
              <w:pStyle w:val="7"/>
              <w:spacing w:before="131" w:line="228" w:lineRule="auto"/>
              <w:ind w:left="1580"/>
            </w:pPr>
            <w:r>
              <w:rPr>
                <w:spacing w:val="7"/>
              </w:rPr>
              <w:t>开户银行</w:t>
            </w:r>
          </w:p>
        </w:tc>
        <w:tc>
          <w:tcPr>
            <w:tcW w:w="2623" w:type="pct"/>
            <w:vAlign w:val="top"/>
          </w:tcPr>
          <w:p w14:paraId="36D3E80B">
            <w:pPr>
              <w:rPr>
                <w:rFonts w:ascii="Arial"/>
                <w:sz w:val="21"/>
              </w:rPr>
            </w:pPr>
          </w:p>
        </w:tc>
      </w:tr>
      <w:tr w14:paraId="38384B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76" w:type="pct"/>
            <w:vAlign w:val="top"/>
          </w:tcPr>
          <w:p w14:paraId="095FBEF8">
            <w:pPr>
              <w:pStyle w:val="7"/>
              <w:spacing w:before="131" w:line="228" w:lineRule="auto"/>
              <w:ind w:left="1580"/>
            </w:pPr>
            <w:r>
              <w:rPr>
                <w:spacing w:val="7"/>
              </w:rPr>
              <w:t>银行账号</w:t>
            </w:r>
          </w:p>
        </w:tc>
        <w:tc>
          <w:tcPr>
            <w:tcW w:w="2623" w:type="pct"/>
            <w:vAlign w:val="top"/>
          </w:tcPr>
          <w:p w14:paraId="175787D5">
            <w:pPr>
              <w:rPr>
                <w:rFonts w:ascii="Arial"/>
                <w:sz w:val="21"/>
              </w:rPr>
            </w:pPr>
          </w:p>
        </w:tc>
      </w:tr>
      <w:tr w14:paraId="56BFB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000" w:type="pct"/>
            <w:gridSpan w:val="2"/>
            <w:vAlign w:val="top"/>
          </w:tcPr>
          <w:p w14:paraId="3EA16E6B">
            <w:pPr>
              <w:pStyle w:val="7"/>
              <w:spacing w:before="130" w:line="229" w:lineRule="auto"/>
              <w:ind w:left="4010"/>
            </w:pPr>
            <w:r>
              <w:rPr>
                <w:b/>
                <w:bCs/>
                <w:spacing w:val="-7"/>
              </w:rPr>
              <w:t>乙方</w:t>
            </w:r>
          </w:p>
        </w:tc>
      </w:tr>
      <w:tr w14:paraId="715240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376" w:type="pct"/>
            <w:vAlign w:val="top"/>
          </w:tcPr>
          <w:p w14:paraId="7083454F">
            <w:pPr>
              <w:pStyle w:val="7"/>
              <w:spacing w:before="133" w:line="228" w:lineRule="auto"/>
              <w:ind w:left="1581"/>
            </w:pPr>
            <w:r>
              <w:rPr>
                <w:spacing w:val="6"/>
              </w:rPr>
              <w:t>单位名称</w:t>
            </w:r>
          </w:p>
        </w:tc>
        <w:tc>
          <w:tcPr>
            <w:tcW w:w="2623" w:type="pct"/>
            <w:vAlign w:val="top"/>
          </w:tcPr>
          <w:p w14:paraId="65FD8F99">
            <w:pPr>
              <w:pStyle w:val="7"/>
              <w:spacing w:before="133" w:line="227" w:lineRule="auto"/>
              <w:ind w:left="124"/>
            </w:pPr>
            <w:r>
              <w:rPr>
                <w:spacing w:val="2"/>
              </w:rPr>
              <w:t>（盖章）</w:t>
            </w:r>
          </w:p>
        </w:tc>
      </w:tr>
      <w:tr w14:paraId="2B6335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76" w:type="pct"/>
            <w:vAlign w:val="top"/>
          </w:tcPr>
          <w:p w14:paraId="56759EEC">
            <w:pPr>
              <w:pStyle w:val="7"/>
              <w:spacing w:before="133" w:line="227" w:lineRule="auto"/>
              <w:ind w:left="116"/>
            </w:pPr>
            <w:r>
              <w:rPr>
                <w:spacing w:val="8"/>
              </w:rPr>
              <w:t>法定代表人或其授权委托代理人（签章）</w:t>
            </w:r>
          </w:p>
        </w:tc>
        <w:tc>
          <w:tcPr>
            <w:tcW w:w="2623" w:type="pct"/>
            <w:vAlign w:val="top"/>
          </w:tcPr>
          <w:p w14:paraId="50E6A15C">
            <w:pPr>
              <w:rPr>
                <w:rFonts w:ascii="Arial"/>
                <w:sz w:val="21"/>
              </w:rPr>
            </w:pPr>
          </w:p>
        </w:tc>
      </w:tr>
      <w:tr w14:paraId="0E1908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76" w:type="pct"/>
            <w:vAlign w:val="top"/>
          </w:tcPr>
          <w:p w14:paraId="7325098E">
            <w:pPr>
              <w:pStyle w:val="7"/>
              <w:spacing w:before="133" w:line="228" w:lineRule="auto"/>
              <w:ind w:left="1684"/>
            </w:pPr>
            <w:r>
              <w:rPr>
                <w:spacing w:val="1"/>
              </w:rPr>
              <w:t>住</w:t>
            </w:r>
            <w:r>
              <w:rPr>
                <w:spacing w:val="9"/>
              </w:rPr>
              <w:t xml:space="preserve">  </w:t>
            </w:r>
            <w:r>
              <w:rPr>
                <w:spacing w:val="1"/>
              </w:rPr>
              <w:t>所</w:t>
            </w:r>
          </w:p>
        </w:tc>
        <w:tc>
          <w:tcPr>
            <w:tcW w:w="2623" w:type="pct"/>
            <w:vAlign w:val="top"/>
          </w:tcPr>
          <w:p w14:paraId="79E1109E">
            <w:pPr>
              <w:rPr>
                <w:rFonts w:ascii="Arial"/>
                <w:sz w:val="21"/>
              </w:rPr>
            </w:pPr>
          </w:p>
        </w:tc>
      </w:tr>
      <w:tr w14:paraId="655A7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376" w:type="pct"/>
            <w:vAlign w:val="top"/>
          </w:tcPr>
          <w:p w14:paraId="320C08F2">
            <w:pPr>
              <w:pStyle w:val="7"/>
              <w:spacing w:before="133" w:line="228" w:lineRule="auto"/>
              <w:ind w:left="1580"/>
            </w:pPr>
            <w:r>
              <w:rPr>
                <w:spacing w:val="7"/>
              </w:rPr>
              <w:t>开户银行</w:t>
            </w:r>
          </w:p>
        </w:tc>
        <w:tc>
          <w:tcPr>
            <w:tcW w:w="2623" w:type="pct"/>
            <w:vAlign w:val="top"/>
          </w:tcPr>
          <w:p w14:paraId="0B5DD1A5">
            <w:pPr>
              <w:rPr>
                <w:rFonts w:ascii="Arial"/>
                <w:sz w:val="21"/>
              </w:rPr>
            </w:pPr>
          </w:p>
        </w:tc>
      </w:tr>
      <w:tr w14:paraId="76BF52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76" w:type="pct"/>
            <w:vAlign w:val="top"/>
          </w:tcPr>
          <w:p w14:paraId="507A7398">
            <w:pPr>
              <w:pStyle w:val="7"/>
              <w:spacing w:before="134" w:line="228" w:lineRule="auto"/>
              <w:ind w:left="1580"/>
            </w:pPr>
            <w:r>
              <w:rPr>
                <w:spacing w:val="7"/>
              </w:rPr>
              <w:t>银行账号</w:t>
            </w:r>
          </w:p>
        </w:tc>
        <w:tc>
          <w:tcPr>
            <w:tcW w:w="2623" w:type="pct"/>
            <w:vAlign w:val="top"/>
          </w:tcPr>
          <w:p w14:paraId="0F97AA7F">
            <w:pPr>
              <w:rPr>
                <w:rFonts w:ascii="Arial"/>
                <w:sz w:val="21"/>
              </w:rPr>
            </w:pPr>
          </w:p>
        </w:tc>
      </w:tr>
      <w:tr w14:paraId="207F42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376" w:type="pct"/>
            <w:vAlign w:val="top"/>
          </w:tcPr>
          <w:p w14:paraId="60588AEF">
            <w:pPr>
              <w:pStyle w:val="7"/>
              <w:spacing w:before="287" w:line="83" w:lineRule="exact"/>
              <w:ind w:left="1849"/>
            </w:pPr>
            <w:r>
              <w:rPr>
                <w:spacing w:val="3"/>
                <w:position w:val="1"/>
              </w:rPr>
              <w:t>...</w:t>
            </w:r>
          </w:p>
        </w:tc>
        <w:tc>
          <w:tcPr>
            <w:tcW w:w="2623" w:type="pct"/>
            <w:vAlign w:val="top"/>
          </w:tcPr>
          <w:p w14:paraId="37E87C2A">
            <w:pPr>
              <w:pStyle w:val="7"/>
              <w:spacing w:before="287" w:line="83" w:lineRule="exact"/>
              <w:ind w:left="119"/>
            </w:pPr>
            <w:r>
              <w:rPr>
                <w:spacing w:val="3"/>
                <w:position w:val="1"/>
              </w:rPr>
              <w:t>...</w:t>
            </w:r>
          </w:p>
        </w:tc>
      </w:tr>
    </w:tbl>
    <w:p w14:paraId="470AEA54">
      <w:pPr>
        <w:rPr>
          <w:rFonts w:hint="eastAsia"/>
          <w:color w:val="auto"/>
          <w:sz w:val="24"/>
          <w:szCs w:val="24"/>
          <w:highlight w:val="none"/>
        </w:rPr>
      </w:pPr>
    </w:p>
    <w:p w14:paraId="1125EE8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2">
    <w:altName w:val="Wingdings"/>
    <w:panose1 w:val="05020102010507070707"/>
    <w:charset w:val="02"/>
    <w:family w:val="roman"/>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D8E0A"/>
    <w:multiLevelType w:val="multilevel"/>
    <w:tmpl w:val="B04D8E0A"/>
    <w:lvl w:ilvl="0" w:tentative="0">
      <w:start w:val="1"/>
      <w:numFmt w:val="chineseCounting"/>
      <w:suff w:val="nothing"/>
      <w:lvlText w:val="第%1章 "/>
      <w:lvlJc w:val="left"/>
      <w:pPr>
        <w:tabs>
          <w:tab w:val="left" w:pos="0"/>
        </w:tabs>
        <w:ind w:left="0" w:firstLine="0"/>
      </w:pPr>
      <w:rPr>
        <w:rFonts w:hint="eastAsia" w:ascii="宋体" w:hAnsi="宋体" w:eastAsia="宋体" w:cs="宋体"/>
      </w:rPr>
    </w:lvl>
    <w:lvl w:ilvl="1" w:tentative="0">
      <w:start w:val="1"/>
      <w:numFmt w:val="chineseCounting"/>
      <w:pStyle w:val="9"/>
      <w:suff w:val="nothing"/>
      <w:lvlText w:val="%2、"/>
      <w:lvlJc w:val="left"/>
      <w:pPr>
        <w:ind w:left="0" w:firstLine="0"/>
      </w:pPr>
      <w:rPr>
        <w:rFonts w:hint="eastAsia" w:ascii="宋体" w:hAnsi="宋体" w:eastAsia="宋体" w:cs="宋体"/>
      </w:rPr>
    </w:lvl>
    <w:lvl w:ilvl="2" w:tentative="0">
      <w:start w:val="1"/>
      <w:numFmt w:val="chineseCounting"/>
      <w:suff w:val="nothing"/>
      <w:lvlText w:val="(%3)"/>
      <w:lvlJc w:val="left"/>
      <w:pPr>
        <w:tabs>
          <w:tab w:val="left" w:pos="0"/>
        </w:tabs>
        <w:ind w:left="0" w:firstLine="0"/>
      </w:pPr>
      <w:rPr>
        <w:rFonts w:hint="eastAsia" w:ascii="宋体" w:hAnsi="宋体" w:eastAsia="宋体" w:cs="宋体"/>
      </w:rPr>
    </w:lvl>
    <w:lvl w:ilvl="3" w:tentative="0">
      <w:start w:val="1"/>
      <w:numFmt w:val="decimal"/>
      <w:suff w:val="nothing"/>
      <w:lvlText w:val="%4."/>
      <w:lvlJc w:val="left"/>
      <w:pPr>
        <w:tabs>
          <w:tab w:val="left" w:pos="0"/>
        </w:tabs>
        <w:ind w:left="0" w:firstLine="0"/>
      </w:pPr>
      <w:rPr>
        <w:rFonts w:hint="eastAsia" w:ascii="宋体" w:hAnsi="宋体" w:eastAsia="宋体" w:cs="宋体"/>
      </w:rPr>
    </w:lvl>
    <w:lvl w:ilvl="4" w:tentative="0">
      <w:start w:val="1"/>
      <w:numFmt w:val="decimal"/>
      <w:suff w:val="nothing"/>
      <w:lvlText w:val="%4.%5"/>
      <w:lvlJc w:val="left"/>
      <w:pPr>
        <w:ind w:left="0" w:firstLine="0"/>
      </w:pPr>
      <w:rPr>
        <w:rFonts w:hint="eastAsia" w:ascii="宋体" w:hAnsi="宋体" w:eastAsia="宋体" w:cs="宋体"/>
      </w:rPr>
    </w:lvl>
    <w:lvl w:ilvl="5" w:tentative="0">
      <w:start w:val="1"/>
      <w:numFmt w:val="decimal"/>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0B1F2243"/>
    <w:multiLevelType w:val="singleLevel"/>
    <w:tmpl w:val="0B1F2243"/>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4A0E54"/>
    <w:rsid w:val="036A712A"/>
    <w:rsid w:val="085140B5"/>
    <w:rsid w:val="4B4A0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0"/>
      </w:tabs>
      <w:adjustRightInd w:val="0"/>
      <w:snapToGrid w:val="0"/>
      <w:spacing w:line="440" w:lineRule="exact"/>
    </w:pPr>
    <w:rPr>
      <w:rFonts w:ascii="宋体" w:hAnsi="宋体" w:eastAsia="宋体" w:cstheme="minorBidi"/>
      <w:kern w:val="2"/>
      <w:sz w:val="24"/>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Times New Roman"/>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Table Text"/>
    <w:basedOn w:val="1"/>
    <w:autoRedefine/>
    <w:semiHidden/>
    <w:qFormat/>
    <w:uiPriority w:val="0"/>
    <w:rPr>
      <w:rFonts w:cs="宋体"/>
      <w:sz w:val="20"/>
      <w:szCs w:val="20"/>
      <w:lang w:eastAsia="en-US"/>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15、“一、”二级标题"/>
    <w:basedOn w:val="1"/>
    <w:autoRedefine/>
    <w:qFormat/>
    <w:uiPriority w:val="0"/>
    <w:pPr>
      <w:numPr>
        <w:ilvl w:val="1"/>
        <w:numId w:val="1"/>
      </w:numPr>
      <w:wordWrap w:val="0"/>
      <w:topLinePunct/>
      <w:ind w:firstLine="803" w:firstLineChars="200"/>
      <w:outlineLvl w:val="1"/>
    </w:pPr>
    <w:rPr>
      <w:b/>
    </w:rPr>
  </w:style>
  <w:style w:type="paragraph" w:customStyle="1" w:styleId="10">
    <w:name w:val="正文2"/>
    <w:basedOn w:val="11"/>
    <w:next w:val="1"/>
    <w:autoRedefine/>
    <w:qFormat/>
    <w:uiPriority w:val="0"/>
    <w:pPr>
      <w:tabs>
        <w:tab w:val="left" w:pos="0"/>
      </w:tabs>
    </w:pPr>
  </w:style>
  <w:style w:type="paragraph" w:customStyle="1" w:styleId="11">
    <w:name w:val="正文 New New New"/>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7</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2026-03-23T06:31:00Z</dcterms:created>
  <dc:creator>12345</dc:creator>
  <cp:lastModifiedBy>12345</cp:lastModifiedBy>
  <dcterms:modified xsi:type="dcterms:W3CDTF">2026-03-23T06:51:29Z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015EF91558AC40979899BBDEF3A73059_13</vt:lpwstr>
  </property>
  <property fmtid="{D5CDD505-2E9C-101B-9397-08002B2CF9AE}" pid="4" name="KSOTemplateDocerSaveRecord">
    <vt:lpwstr>eyJoZGlkIjoiOTFiZTc4N2NiN2Q3YzI0ODg5ZTQ4YmU2NzY0ZDc3MjMiLCJ1c2VySWQiOiIxNzA4NTk3NTk3In0=</vt:lpwstr>
  </property>
</Properties>
</file>