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Spec="center" w:tblpY="1914"/>
        <w:tblOverlap w:val="never"/>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72"/>
        <w:gridCol w:w="3276"/>
        <w:gridCol w:w="1872"/>
        <w:gridCol w:w="72"/>
        <w:gridCol w:w="876"/>
        <w:gridCol w:w="2039"/>
      </w:tblGrid>
      <w:tr w14:paraId="24E7B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10407" w:type="dxa"/>
            <w:gridSpan w:val="6"/>
            <w:vAlign w:val="center"/>
          </w:tcPr>
          <w:p w14:paraId="53AC162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Theme="minorEastAsia" w:hAnsiTheme="minorEastAsia" w:eastAsiaTheme="minorEastAsia" w:cstheme="minorEastAsia"/>
                <w:b/>
                <w:bCs/>
                <w:sz w:val="36"/>
                <w:szCs w:val="36"/>
                <w:highlight w:val="none"/>
                <w:vertAlign w:val="baseline"/>
                <w:lang w:val="en-US" w:eastAsia="zh-CN"/>
              </w:rPr>
            </w:pPr>
            <w:bookmarkStart w:id="0" w:name="_Toc646"/>
            <w:bookmarkStart w:id="1" w:name="_Toc8951"/>
            <w:r>
              <w:rPr>
                <w:rFonts w:hint="eastAsia" w:asciiTheme="minorEastAsia" w:hAnsiTheme="minorEastAsia" w:eastAsiaTheme="minorEastAsia" w:cstheme="minorEastAsia"/>
                <w:b/>
                <w:bCs/>
                <w:sz w:val="30"/>
                <w:szCs w:val="30"/>
                <w:highlight w:val="none"/>
                <w:vertAlign w:val="baseline"/>
                <w:lang w:val="en-US" w:eastAsia="zh-CN"/>
              </w:rPr>
              <w:t>雅安市雨城区人民医院系统售后服务评分表</w:t>
            </w:r>
            <w:bookmarkEnd w:id="0"/>
            <w:bookmarkEnd w:id="1"/>
          </w:p>
        </w:tc>
      </w:tr>
      <w:tr w14:paraId="2FC48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272" w:type="dxa"/>
            <w:vAlign w:val="center"/>
          </w:tcPr>
          <w:p w14:paraId="0F36F019">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供应商名称</w:t>
            </w:r>
          </w:p>
        </w:tc>
        <w:tc>
          <w:tcPr>
            <w:tcW w:w="8135" w:type="dxa"/>
            <w:gridSpan w:val="5"/>
            <w:vAlign w:val="center"/>
          </w:tcPr>
          <w:p w14:paraId="07D63023">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inorEastAsia" w:hAnsiTheme="minorEastAsia" w:eastAsiaTheme="minorEastAsia" w:cstheme="minorEastAsia"/>
                <w:sz w:val="24"/>
                <w:szCs w:val="24"/>
                <w:highlight w:val="none"/>
                <w:vertAlign w:val="baseline"/>
              </w:rPr>
            </w:pPr>
          </w:p>
        </w:tc>
      </w:tr>
      <w:tr w14:paraId="66241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2" w:type="dxa"/>
            <w:vAlign w:val="center"/>
          </w:tcPr>
          <w:p w14:paraId="7098C21A">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系统名称</w:t>
            </w:r>
          </w:p>
        </w:tc>
        <w:tc>
          <w:tcPr>
            <w:tcW w:w="8135" w:type="dxa"/>
            <w:gridSpan w:val="5"/>
            <w:vAlign w:val="center"/>
          </w:tcPr>
          <w:p w14:paraId="4E3E0BDD">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inorEastAsia" w:hAnsiTheme="minorEastAsia" w:eastAsiaTheme="minorEastAsia" w:cstheme="minorEastAsia"/>
                <w:sz w:val="24"/>
                <w:szCs w:val="24"/>
                <w:highlight w:val="none"/>
                <w:vertAlign w:val="baseline"/>
              </w:rPr>
            </w:pPr>
          </w:p>
        </w:tc>
      </w:tr>
      <w:tr w14:paraId="659BE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2" w:type="dxa"/>
            <w:vAlign w:val="center"/>
          </w:tcPr>
          <w:p w14:paraId="0418F8C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评价日期</w:t>
            </w:r>
          </w:p>
        </w:tc>
        <w:tc>
          <w:tcPr>
            <w:tcW w:w="3276" w:type="dxa"/>
            <w:vAlign w:val="center"/>
          </w:tcPr>
          <w:p w14:paraId="2D14972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inorEastAsia" w:hAnsiTheme="minorEastAsia" w:eastAsiaTheme="minorEastAsia" w:cstheme="minorEastAsia"/>
                <w:sz w:val="24"/>
                <w:szCs w:val="24"/>
                <w:highlight w:val="none"/>
                <w:vertAlign w:val="baseline"/>
              </w:rPr>
            </w:pPr>
          </w:p>
        </w:tc>
        <w:tc>
          <w:tcPr>
            <w:tcW w:w="1872" w:type="dxa"/>
            <w:vAlign w:val="center"/>
          </w:tcPr>
          <w:p w14:paraId="0DA3F0A4">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评价科室</w:t>
            </w:r>
          </w:p>
        </w:tc>
        <w:tc>
          <w:tcPr>
            <w:tcW w:w="2987" w:type="dxa"/>
            <w:gridSpan w:val="3"/>
            <w:vAlign w:val="center"/>
          </w:tcPr>
          <w:p w14:paraId="15E7ED0F">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inorEastAsia" w:hAnsiTheme="minorEastAsia" w:eastAsiaTheme="minorEastAsia" w:cstheme="minorEastAsia"/>
                <w:sz w:val="24"/>
                <w:szCs w:val="24"/>
                <w:highlight w:val="none"/>
                <w:vertAlign w:val="baseline"/>
                <w:lang w:val="en-US" w:eastAsia="zh-CN"/>
              </w:rPr>
            </w:pPr>
          </w:p>
        </w:tc>
      </w:tr>
      <w:tr w14:paraId="7F3E2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10407" w:type="dxa"/>
            <w:gridSpan w:val="6"/>
            <w:vAlign w:val="center"/>
          </w:tcPr>
          <w:p w14:paraId="6CE319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inorEastAsia" w:hAnsiTheme="minorEastAsia" w:eastAsiaTheme="minorEastAsia" w:cstheme="minorEastAsia"/>
                <w:sz w:val="28"/>
                <w:szCs w:val="28"/>
                <w:highlight w:val="none"/>
                <w:vertAlign w:val="baseline"/>
                <w:lang w:val="en-US" w:eastAsia="zh-CN"/>
              </w:rPr>
            </w:pPr>
            <w:r>
              <w:rPr>
                <w:rFonts w:hint="eastAsia" w:asciiTheme="minorEastAsia" w:hAnsiTheme="minorEastAsia" w:eastAsiaTheme="minorEastAsia" w:cstheme="minorEastAsia"/>
                <w:b/>
                <w:bCs/>
                <w:sz w:val="28"/>
                <w:szCs w:val="28"/>
                <w:highlight w:val="none"/>
                <w:vertAlign w:val="baseline"/>
                <w:lang w:val="en-US" w:eastAsia="zh-CN"/>
              </w:rPr>
              <w:t>售后服务评分表</w:t>
            </w:r>
          </w:p>
        </w:tc>
      </w:tr>
      <w:tr w14:paraId="32E5C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2" w:type="dxa"/>
            <w:vAlign w:val="center"/>
          </w:tcPr>
          <w:p w14:paraId="3E1F720B">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类别</w:t>
            </w:r>
          </w:p>
        </w:tc>
        <w:tc>
          <w:tcPr>
            <w:tcW w:w="5220" w:type="dxa"/>
            <w:gridSpan w:val="3"/>
            <w:vAlign w:val="center"/>
          </w:tcPr>
          <w:p w14:paraId="69DAF74E">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明细</w:t>
            </w:r>
          </w:p>
        </w:tc>
        <w:tc>
          <w:tcPr>
            <w:tcW w:w="876" w:type="dxa"/>
            <w:vAlign w:val="center"/>
          </w:tcPr>
          <w:p w14:paraId="3BF422A6">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分值</w:t>
            </w:r>
          </w:p>
        </w:tc>
        <w:tc>
          <w:tcPr>
            <w:tcW w:w="2039" w:type="dxa"/>
            <w:vAlign w:val="center"/>
          </w:tcPr>
          <w:p w14:paraId="761D0A4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Theme="minorEastAsia" w:hAnsiTheme="minorEastAsia" w:eastAsiaTheme="minorEastAsia" w:cstheme="minorEastAsia"/>
                <w:sz w:val="24"/>
                <w:szCs w:val="24"/>
                <w:highlight w:val="none"/>
                <w:vertAlign w:val="baseline"/>
                <w:lang w:val="en-US" w:eastAsia="zh-CN"/>
              </w:rPr>
            </w:pPr>
            <w:r>
              <w:rPr>
                <w:rFonts w:hint="eastAsia" w:asciiTheme="minorEastAsia" w:hAnsiTheme="minorEastAsia" w:eastAsiaTheme="minorEastAsia" w:cstheme="minorEastAsia"/>
                <w:sz w:val="24"/>
                <w:szCs w:val="24"/>
                <w:highlight w:val="none"/>
                <w:vertAlign w:val="baseline"/>
                <w:lang w:val="en-US" w:eastAsia="zh-CN"/>
              </w:rPr>
              <w:t>备注</w:t>
            </w:r>
          </w:p>
        </w:tc>
      </w:tr>
      <w:tr w14:paraId="3B244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2272" w:type="dxa"/>
            <w:vAlign w:val="center"/>
          </w:tcPr>
          <w:p w14:paraId="27877F7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响应时间（10分）</w:t>
            </w:r>
          </w:p>
        </w:tc>
        <w:tc>
          <w:tcPr>
            <w:tcW w:w="5220" w:type="dxa"/>
            <w:gridSpan w:val="3"/>
            <w:vAlign w:val="center"/>
          </w:tcPr>
          <w:p w14:paraId="60DD2FA8">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厂商未在2h内响应一次扣0.5分，未在1天内响应一次扣1分，直至扣完为止。</w:t>
            </w:r>
          </w:p>
        </w:tc>
        <w:tc>
          <w:tcPr>
            <w:tcW w:w="876" w:type="dxa"/>
            <w:vAlign w:val="center"/>
          </w:tcPr>
          <w:p w14:paraId="2C7E20A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p>
        </w:tc>
        <w:tc>
          <w:tcPr>
            <w:tcW w:w="2039" w:type="dxa"/>
            <w:vAlign w:val="center"/>
          </w:tcPr>
          <w:p w14:paraId="152D732D">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lang w:val="en-US" w:eastAsia="zh-CN"/>
              </w:rPr>
            </w:pPr>
          </w:p>
        </w:tc>
      </w:tr>
      <w:tr w14:paraId="5487D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2272" w:type="dxa"/>
            <w:vAlign w:val="center"/>
          </w:tcPr>
          <w:p w14:paraId="76D4F683">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技术支持质量（5分）</w:t>
            </w:r>
          </w:p>
        </w:tc>
        <w:tc>
          <w:tcPr>
            <w:tcW w:w="5220" w:type="dxa"/>
            <w:gridSpan w:val="3"/>
            <w:vAlign w:val="center"/>
          </w:tcPr>
          <w:p w14:paraId="168D21D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非常满意（5分）、满意（4分）、一般（3分）、不满意（1分）、非常不满意（0分）</w:t>
            </w:r>
          </w:p>
        </w:tc>
        <w:tc>
          <w:tcPr>
            <w:tcW w:w="876" w:type="dxa"/>
            <w:vAlign w:val="center"/>
          </w:tcPr>
          <w:p w14:paraId="4421200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p>
        </w:tc>
        <w:tc>
          <w:tcPr>
            <w:tcW w:w="2039" w:type="dxa"/>
            <w:vAlign w:val="center"/>
          </w:tcPr>
          <w:p w14:paraId="1E2E600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p>
        </w:tc>
      </w:tr>
      <w:tr w14:paraId="3F707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2272" w:type="dxa"/>
            <w:vAlign w:val="center"/>
          </w:tcPr>
          <w:p w14:paraId="21EF8395">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问题处理效率（10分）</w:t>
            </w:r>
          </w:p>
        </w:tc>
        <w:tc>
          <w:tcPr>
            <w:tcW w:w="5220" w:type="dxa"/>
            <w:gridSpan w:val="3"/>
            <w:vAlign w:val="center"/>
          </w:tcPr>
          <w:p w14:paraId="6164D4C7">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日常简单问题超过2h一次扣0.5分；复杂超过3天一次扣1分；新增需求原则不超过7个工作日，若未说明理由一次扣1分直至扣完为止。</w:t>
            </w:r>
          </w:p>
        </w:tc>
        <w:tc>
          <w:tcPr>
            <w:tcW w:w="876" w:type="dxa"/>
            <w:vAlign w:val="center"/>
          </w:tcPr>
          <w:p w14:paraId="757D0233">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p>
        </w:tc>
        <w:tc>
          <w:tcPr>
            <w:tcW w:w="2039" w:type="dxa"/>
            <w:vAlign w:val="center"/>
          </w:tcPr>
          <w:p w14:paraId="6135B3CE">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p>
        </w:tc>
      </w:tr>
      <w:tr w14:paraId="74EB9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2" w:type="dxa"/>
            <w:vAlign w:val="center"/>
          </w:tcPr>
          <w:p w14:paraId="5500D9F3">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科室满意度（10分）</w:t>
            </w:r>
          </w:p>
        </w:tc>
        <w:tc>
          <w:tcPr>
            <w:tcW w:w="5220" w:type="dxa"/>
            <w:gridSpan w:val="3"/>
            <w:vAlign w:val="center"/>
          </w:tcPr>
          <w:p w14:paraId="398E76B1">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r>
              <w:rPr>
                <w:rFonts w:hint="eastAsia" w:asciiTheme="minorEastAsia" w:hAnsiTheme="minorEastAsia" w:eastAsiaTheme="minorEastAsia" w:cstheme="minorEastAsia"/>
                <w:sz w:val="18"/>
                <w:szCs w:val="18"/>
                <w:highlight w:val="none"/>
                <w:vertAlign w:val="baseline"/>
                <w:lang w:val="en-US" w:eastAsia="zh-CN"/>
              </w:rPr>
              <w:t>非常满意（10分）、满意（9分）、一般（7分）、不满意（3分）、非常不满意（0分）</w:t>
            </w:r>
          </w:p>
        </w:tc>
        <w:tc>
          <w:tcPr>
            <w:tcW w:w="876" w:type="dxa"/>
            <w:vAlign w:val="center"/>
          </w:tcPr>
          <w:p w14:paraId="4DEAE76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p>
        </w:tc>
        <w:tc>
          <w:tcPr>
            <w:tcW w:w="2039" w:type="dxa"/>
            <w:vAlign w:val="center"/>
          </w:tcPr>
          <w:p w14:paraId="63833F70">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p>
        </w:tc>
      </w:tr>
      <w:tr w14:paraId="7580E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2" w:type="dxa"/>
            <w:vAlign w:val="center"/>
          </w:tcPr>
          <w:p w14:paraId="5F3136AC">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技术人员专业知识水平（5分）</w:t>
            </w:r>
          </w:p>
        </w:tc>
        <w:tc>
          <w:tcPr>
            <w:tcW w:w="5220" w:type="dxa"/>
            <w:gridSpan w:val="3"/>
            <w:vAlign w:val="center"/>
          </w:tcPr>
          <w:p w14:paraId="3872743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r>
              <w:rPr>
                <w:rFonts w:hint="eastAsia" w:asciiTheme="minorEastAsia" w:hAnsiTheme="minorEastAsia" w:eastAsiaTheme="minorEastAsia" w:cstheme="minorEastAsia"/>
                <w:sz w:val="18"/>
                <w:szCs w:val="18"/>
                <w:highlight w:val="none"/>
                <w:vertAlign w:val="baseline"/>
                <w:lang w:val="en-US" w:eastAsia="zh-CN"/>
              </w:rPr>
              <w:t>非常专业（5分）、正常（4分）、一般（3分）、不专业（1分）、非常不专业（0分）</w:t>
            </w:r>
          </w:p>
        </w:tc>
        <w:tc>
          <w:tcPr>
            <w:tcW w:w="876" w:type="dxa"/>
            <w:vAlign w:val="center"/>
          </w:tcPr>
          <w:p w14:paraId="5FC8F73F">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p>
        </w:tc>
        <w:tc>
          <w:tcPr>
            <w:tcW w:w="2039" w:type="dxa"/>
            <w:vAlign w:val="center"/>
          </w:tcPr>
          <w:p w14:paraId="2EB3C66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p>
        </w:tc>
      </w:tr>
      <w:tr w14:paraId="3DAA5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2" w:type="dxa"/>
            <w:vAlign w:val="center"/>
          </w:tcPr>
          <w:p w14:paraId="051A07B8">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合同履行情况（10分）</w:t>
            </w:r>
          </w:p>
        </w:tc>
        <w:tc>
          <w:tcPr>
            <w:tcW w:w="5220" w:type="dxa"/>
            <w:gridSpan w:val="3"/>
            <w:vAlign w:val="center"/>
          </w:tcPr>
          <w:p w14:paraId="30970E39">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一项不满足扣1分直至扣完为止</w:t>
            </w:r>
          </w:p>
        </w:tc>
        <w:tc>
          <w:tcPr>
            <w:tcW w:w="876" w:type="dxa"/>
            <w:vAlign w:val="center"/>
          </w:tcPr>
          <w:p w14:paraId="5AD93B05">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p>
        </w:tc>
        <w:tc>
          <w:tcPr>
            <w:tcW w:w="2039" w:type="dxa"/>
            <w:vAlign w:val="center"/>
          </w:tcPr>
          <w:p w14:paraId="44236348">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p>
        </w:tc>
      </w:tr>
      <w:tr w14:paraId="184C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272" w:type="dxa"/>
            <w:vAlign w:val="center"/>
          </w:tcPr>
          <w:p w14:paraId="740E7795">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维护费用合理性（10分）</w:t>
            </w:r>
          </w:p>
        </w:tc>
        <w:tc>
          <w:tcPr>
            <w:tcW w:w="5220" w:type="dxa"/>
            <w:gridSpan w:val="3"/>
            <w:vAlign w:val="center"/>
          </w:tcPr>
          <w:p w14:paraId="5A0CD23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小于等于3%得10分；3%到5%得9分；5%到8%得6分；8%到10%得3分，10%以上得0分。</w:t>
            </w:r>
          </w:p>
        </w:tc>
        <w:tc>
          <w:tcPr>
            <w:tcW w:w="876" w:type="dxa"/>
            <w:vAlign w:val="center"/>
          </w:tcPr>
          <w:p w14:paraId="6D3435E4">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p>
        </w:tc>
        <w:tc>
          <w:tcPr>
            <w:tcW w:w="2039" w:type="dxa"/>
            <w:vAlign w:val="center"/>
          </w:tcPr>
          <w:p w14:paraId="12390CAA">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p>
        </w:tc>
      </w:tr>
      <w:tr w14:paraId="65167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2" w:type="dxa"/>
            <w:vAlign w:val="center"/>
          </w:tcPr>
          <w:p w14:paraId="7B223599">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问题投诉处理（10分）</w:t>
            </w:r>
          </w:p>
        </w:tc>
        <w:tc>
          <w:tcPr>
            <w:tcW w:w="5220" w:type="dxa"/>
            <w:gridSpan w:val="3"/>
            <w:vAlign w:val="center"/>
          </w:tcPr>
          <w:p w14:paraId="7C82FAA5">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r>
              <w:rPr>
                <w:rFonts w:hint="eastAsia" w:asciiTheme="minorEastAsia" w:hAnsiTheme="minorEastAsia" w:eastAsiaTheme="minorEastAsia" w:cstheme="minorEastAsia"/>
                <w:sz w:val="18"/>
                <w:szCs w:val="18"/>
                <w:highlight w:val="none"/>
                <w:vertAlign w:val="baseline"/>
                <w:lang w:val="en-US" w:eastAsia="zh-CN"/>
              </w:rPr>
              <w:t>非常满意（</w:t>
            </w:r>
            <w:r>
              <w:rPr>
                <w:rFonts w:hint="eastAsia" w:asciiTheme="minorEastAsia" w:hAnsiTheme="minorEastAsia" w:cstheme="minorEastAsia"/>
                <w:sz w:val="18"/>
                <w:szCs w:val="18"/>
                <w:highlight w:val="none"/>
                <w:vertAlign w:val="baseline"/>
                <w:lang w:val="en-US" w:eastAsia="zh-CN"/>
              </w:rPr>
              <w:t>10</w:t>
            </w:r>
            <w:r>
              <w:rPr>
                <w:rFonts w:hint="eastAsia" w:asciiTheme="minorEastAsia" w:hAnsiTheme="minorEastAsia" w:eastAsiaTheme="minorEastAsia" w:cstheme="minorEastAsia"/>
                <w:sz w:val="18"/>
                <w:szCs w:val="18"/>
                <w:highlight w:val="none"/>
                <w:vertAlign w:val="baseline"/>
                <w:lang w:val="en-US" w:eastAsia="zh-CN"/>
              </w:rPr>
              <w:t>分）、满意（</w:t>
            </w:r>
            <w:r>
              <w:rPr>
                <w:rFonts w:hint="eastAsia" w:asciiTheme="minorEastAsia" w:hAnsiTheme="minorEastAsia" w:cstheme="minorEastAsia"/>
                <w:sz w:val="18"/>
                <w:szCs w:val="18"/>
                <w:highlight w:val="none"/>
                <w:vertAlign w:val="baseline"/>
                <w:lang w:val="en-US" w:eastAsia="zh-CN"/>
              </w:rPr>
              <w:t>8</w:t>
            </w:r>
            <w:r>
              <w:rPr>
                <w:rFonts w:hint="eastAsia" w:asciiTheme="minorEastAsia" w:hAnsiTheme="minorEastAsia" w:eastAsiaTheme="minorEastAsia" w:cstheme="minorEastAsia"/>
                <w:sz w:val="18"/>
                <w:szCs w:val="18"/>
                <w:highlight w:val="none"/>
                <w:vertAlign w:val="baseline"/>
                <w:lang w:val="en-US" w:eastAsia="zh-CN"/>
              </w:rPr>
              <w:t>分）、一般（</w:t>
            </w:r>
            <w:r>
              <w:rPr>
                <w:rFonts w:hint="eastAsia" w:asciiTheme="minorEastAsia" w:hAnsiTheme="minorEastAsia" w:cstheme="minorEastAsia"/>
                <w:sz w:val="18"/>
                <w:szCs w:val="18"/>
                <w:highlight w:val="none"/>
                <w:vertAlign w:val="baseline"/>
                <w:lang w:val="en-US" w:eastAsia="zh-CN"/>
              </w:rPr>
              <w:t>6</w:t>
            </w:r>
            <w:r>
              <w:rPr>
                <w:rFonts w:hint="eastAsia" w:asciiTheme="minorEastAsia" w:hAnsiTheme="minorEastAsia" w:eastAsiaTheme="minorEastAsia" w:cstheme="minorEastAsia"/>
                <w:sz w:val="18"/>
                <w:szCs w:val="18"/>
                <w:highlight w:val="none"/>
                <w:vertAlign w:val="baseline"/>
                <w:lang w:val="en-US" w:eastAsia="zh-CN"/>
              </w:rPr>
              <w:t>分）、不满意（</w:t>
            </w:r>
            <w:r>
              <w:rPr>
                <w:rFonts w:hint="eastAsia" w:asciiTheme="minorEastAsia" w:hAnsiTheme="minorEastAsia" w:cstheme="minorEastAsia"/>
                <w:sz w:val="18"/>
                <w:szCs w:val="18"/>
                <w:highlight w:val="none"/>
                <w:vertAlign w:val="baseline"/>
                <w:lang w:val="en-US" w:eastAsia="zh-CN"/>
              </w:rPr>
              <w:t>2</w:t>
            </w:r>
            <w:r>
              <w:rPr>
                <w:rFonts w:hint="eastAsia" w:asciiTheme="minorEastAsia" w:hAnsiTheme="minorEastAsia" w:eastAsiaTheme="minorEastAsia" w:cstheme="minorEastAsia"/>
                <w:sz w:val="18"/>
                <w:szCs w:val="18"/>
                <w:highlight w:val="none"/>
                <w:vertAlign w:val="baseline"/>
                <w:lang w:val="en-US" w:eastAsia="zh-CN"/>
              </w:rPr>
              <w:t>分）、非常不满意（0分）</w:t>
            </w:r>
          </w:p>
        </w:tc>
        <w:tc>
          <w:tcPr>
            <w:tcW w:w="876" w:type="dxa"/>
            <w:vAlign w:val="center"/>
          </w:tcPr>
          <w:p w14:paraId="15636943">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p>
        </w:tc>
        <w:tc>
          <w:tcPr>
            <w:tcW w:w="2039" w:type="dxa"/>
            <w:vAlign w:val="center"/>
          </w:tcPr>
          <w:p w14:paraId="65E2BA6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p>
        </w:tc>
      </w:tr>
      <w:tr w14:paraId="5F8AA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2" w:type="dxa"/>
            <w:vAlign w:val="center"/>
          </w:tcPr>
          <w:p w14:paraId="4491E4A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服务态度（10分）</w:t>
            </w:r>
          </w:p>
        </w:tc>
        <w:tc>
          <w:tcPr>
            <w:tcW w:w="5220" w:type="dxa"/>
            <w:gridSpan w:val="3"/>
            <w:vAlign w:val="center"/>
          </w:tcPr>
          <w:p w14:paraId="220B5546">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r>
              <w:rPr>
                <w:rFonts w:hint="eastAsia" w:asciiTheme="minorEastAsia" w:hAnsiTheme="minorEastAsia" w:eastAsiaTheme="minorEastAsia" w:cstheme="minorEastAsia"/>
                <w:sz w:val="18"/>
                <w:szCs w:val="18"/>
                <w:highlight w:val="none"/>
                <w:vertAlign w:val="baseline"/>
                <w:lang w:val="en-US" w:eastAsia="zh-CN"/>
              </w:rPr>
              <w:t>非常满意（10分）、满意（9分）、一般（7分）、不满意（3分）、非常不满意（0分）</w:t>
            </w:r>
          </w:p>
        </w:tc>
        <w:tc>
          <w:tcPr>
            <w:tcW w:w="876" w:type="dxa"/>
            <w:vAlign w:val="center"/>
          </w:tcPr>
          <w:p w14:paraId="49244C68">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p>
        </w:tc>
        <w:tc>
          <w:tcPr>
            <w:tcW w:w="2039" w:type="dxa"/>
            <w:vAlign w:val="center"/>
          </w:tcPr>
          <w:p w14:paraId="07C4EF5F">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p>
        </w:tc>
      </w:tr>
      <w:tr w14:paraId="24C14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2" w:type="dxa"/>
            <w:vAlign w:val="center"/>
          </w:tcPr>
          <w:p w14:paraId="382349C9">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产品总体满意度（10分）</w:t>
            </w:r>
          </w:p>
        </w:tc>
        <w:tc>
          <w:tcPr>
            <w:tcW w:w="5220" w:type="dxa"/>
            <w:gridSpan w:val="3"/>
            <w:vAlign w:val="center"/>
          </w:tcPr>
          <w:p w14:paraId="3C7E85F9">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r>
              <w:rPr>
                <w:rFonts w:hint="eastAsia" w:asciiTheme="minorEastAsia" w:hAnsiTheme="minorEastAsia" w:eastAsiaTheme="minorEastAsia" w:cstheme="minorEastAsia"/>
                <w:sz w:val="18"/>
                <w:szCs w:val="18"/>
                <w:highlight w:val="none"/>
                <w:vertAlign w:val="baseline"/>
                <w:lang w:val="en-US" w:eastAsia="zh-CN"/>
              </w:rPr>
              <w:t>非常满意（10分）、满意（9分）、一般（7分）、不满意（3分）、非常不满意（0分）</w:t>
            </w:r>
          </w:p>
        </w:tc>
        <w:tc>
          <w:tcPr>
            <w:tcW w:w="876" w:type="dxa"/>
            <w:vAlign w:val="center"/>
          </w:tcPr>
          <w:p w14:paraId="33D5AC9F">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18"/>
                <w:szCs w:val="18"/>
                <w:highlight w:val="none"/>
                <w:vertAlign w:val="baseline"/>
              </w:rPr>
            </w:pPr>
          </w:p>
        </w:tc>
        <w:tc>
          <w:tcPr>
            <w:tcW w:w="2039" w:type="dxa"/>
            <w:vAlign w:val="center"/>
          </w:tcPr>
          <w:p w14:paraId="72EBFF12">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18"/>
                <w:szCs w:val="18"/>
                <w:highlight w:val="none"/>
                <w:vertAlign w:val="baseline"/>
              </w:rPr>
            </w:pPr>
          </w:p>
        </w:tc>
      </w:tr>
      <w:tr w14:paraId="75DF3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2" w:type="dxa"/>
            <w:vAlign w:val="center"/>
          </w:tcPr>
          <w:p w14:paraId="27F58083">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产品的功能满足（5分）</w:t>
            </w:r>
          </w:p>
        </w:tc>
        <w:tc>
          <w:tcPr>
            <w:tcW w:w="5220" w:type="dxa"/>
            <w:gridSpan w:val="3"/>
            <w:vAlign w:val="center"/>
          </w:tcPr>
          <w:p w14:paraId="405CC37B">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r>
              <w:rPr>
                <w:rFonts w:hint="eastAsia" w:asciiTheme="minorEastAsia" w:hAnsiTheme="minorEastAsia" w:eastAsiaTheme="minorEastAsia" w:cstheme="minorEastAsia"/>
                <w:sz w:val="18"/>
                <w:szCs w:val="18"/>
                <w:highlight w:val="none"/>
                <w:vertAlign w:val="baseline"/>
                <w:lang w:val="en-US" w:eastAsia="zh-CN"/>
              </w:rPr>
              <w:t>非常满意（5分）、满意（4分）、一般（3分）、不满意（1分）、非常不满意（0分）</w:t>
            </w:r>
          </w:p>
        </w:tc>
        <w:tc>
          <w:tcPr>
            <w:tcW w:w="876" w:type="dxa"/>
            <w:vAlign w:val="center"/>
          </w:tcPr>
          <w:p w14:paraId="22F54C56">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18"/>
                <w:szCs w:val="18"/>
                <w:highlight w:val="none"/>
                <w:vertAlign w:val="baseline"/>
              </w:rPr>
            </w:pPr>
          </w:p>
        </w:tc>
        <w:tc>
          <w:tcPr>
            <w:tcW w:w="2039" w:type="dxa"/>
            <w:vAlign w:val="center"/>
          </w:tcPr>
          <w:p w14:paraId="62C61EDC">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18"/>
                <w:szCs w:val="18"/>
                <w:highlight w:val="none"/>
                <w:vertAlign w:val="baseline"/>
              </w:rPr>
            </w:pPr>
          </w:p>
        </w:tc>
      </w:tr>
      <w:tr w14:paraId="1858A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72" w:type="dxa"/>
            <w:vAlign w:val="center"/>
          </w:tcPr>
          <w:p w14:paraId="5191FC54">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18"/>
                <w:szCs w:val="18"/>
                <w:highlight w:val="none"/>
                <w:vertAlign w:val="baseline"/>
                <w:lang w:eastAsia="zh-CN"/>
              </w:rPr>
            </w:pPr>
            <w:r>
              <w:rPr>
                <w:rFonts w:hint="eastAsia" w:asciiTheme="minorEastAsia" w:hAnsiTheme="minorEastAsia" w:eastAsiaTheme="minorEastAsia" w:cstheme="minorEastAsia"/>
                <w:position w:val="6"/>
                <w:sz w:val="18"/>
                <w:szCs w:val="18"/>
                <w:highlight w:val="none"/>
              </w:rPr>
              <w:t>产品的稳定可靠性</w:t>
            </w:r>
            <w:r>
              <w:rPr>
                <w:rFonts w:hint="eastAsia" w:asciiTheme="minorEastAsia" w:hAnsiTheme="minorEastAsia" w:eastAsiaTheme="minorEastAsia" w:cstheme="minorEastAsia"/>
                <w:position w:val="6"/>
                <w:sz w:val="18"/>
                <w:szCs w:val="18"/>
                <w:highlight w:val="none"/>
                <w:lang w:eastAsia="zh-CN"/>
              </w:rPr>
              <w:t>（</w:t>
            </w:r>
            <w:r>
              <w:rPr>
                <w:rFonts w:hint="eastAsia" w:asciiTheme="minorEastAsia" w:hAnsiTheme="minorEastAsia" w:eastAsiaTheme="minorEastAsia" w:cstheme="minorEastAsia"/>
                <w:position w:val="6"/>
                <w:sz w:val="18"/>
                <w:szCs w:val="18"/>
                <w:highlight w:val="none"/>
                <w:lang w:val="en-US" w:eastAsia="zh-CN"/>
              </w:rPr>
              <w:t>5分</w:t>
            </w:r>
            <w:r>
              <w:rPr>
                <w:rFonts w:hint="eastAsia" w:asciiTheme="minorEastAsia" w:hAnsiTheme="minorEastAsia" w:eastAsiaTheme="minorEastAsia" w:cstheme="minorEastAsia"/>
                <w:position w:val="6"/>
                <w:sz w:val="18"/>
                <w:szCs w:val="18"/>
                <w:highlight w:val="none"/>
                <w:lang w:eastAsia="zh-CN"/>
              </w:rPr>
              <w:t>）</w:t>
            </w:r>
          </w:p>
        </w:tc>
        <w:tc>
          <w:tcPr>
            <w:tcW w:w="5220" w:type="dxa"/>
            <w:gridSpan w:val="3"/>
            <w:vAlign w:val="center"/>
          </w:tcPr>
          <w:p w14:paraId="1F1FCBF5">
            <w:pPr>
              <w:keepNext w:val="0"/>
              <w:keepLines w:val="0"/>
              <w:pageBreakBefore w:val="0"/>
              <w:widowControl w:val="0"/>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r>
              <w:rPr>
                <w:rFonts w:hint="eastAsia" w:asciiTheme="minorEastAsia" w:hAnsiTheme="minorEastAsia" w:eastAsiaTheme="minorEastAsia" w:cstheme="minorEastAsia"/>
                <w:sz w:val="18"/>
                <w:szCs w:val="18"/>
                <w:highlight w:val="none"/>
                <w:vertAlign w:val="baseline"/>
                <w:lang w:val="en-US" w:eastAsia="zh-CN"/>
              </w:rPr>
              <w:t>非常满意（5分）、满意（4分）、一般（3分）、不满意（1分）、非常不满意（0分）</w:t>
            </w:r>
          </w:p>
        </w:tc>
        <w:tc>
          <w:tcPr>
            <w:tcW w:w="876" w:type="dxa"/>
            <w:vAlign w:val="center"/>
          </w:tcPr>
          <w:p w14:paraId="30AF3F3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18"/>
                <w:szCs w:val="18"/>
                <w:highlight w:val="none"/>
                <w:vertAlign w:val="baseline"/>
              </w:rPr>
            </w:pPr>
          </w:p>
        </w:tc>
        <w:tc>
          <w:tcPr>
            <w:tcW w:w="2039" w:type="dxa"/>
            <w:vAlign w:val="center"/>
          </w:tcPr>
          <w:p w14:paraId="41A205F3">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18"/>
                <w:szCs w:val="18"/>
                <w:highlight w:val="none"/>
                <w:vertAlign w:val="baseline"/>
              </w:rPr>
            </w:pPr>
          </w:p>
        </w:tc>
      </w:tr>
      <w:tr w14:paraId="7701F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 w:hRule="atLeast"/>
          <w:jc w:val="center"/>
        </w:trPr>
        <w:tc>
          <w:tcPr>
            <w:tcW w:w="2272" w:type="dxa"/>
            <w:vAlign w:val="center"/>
          </w:tcPr>
          <w:p w14:paraId="74B3F541">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18"/>
                <w:szCs w:val="18"/>
                <w:highlight w:val="none"/>
                <w:vertAlign w:val="baseline"/>
                <w:lang w:val="en-US" w:eastAsia="zh-CN"/>
              </w:rPr>
            </w:pPr>
            <w:r>
              <w:rPr>
                <w:rFonts w:hint="eastAsia" w:asciiTheme="minorEastAsia" w:hAnsiTheme="minorEastAsia" w:eastAsiaTheme="minorEastAsia" w:cstheme="minorEastAsia"/>
                <w:sz w:val="18"/>
                <w:szCs w:val="18"/>
                <w:highlight w:val="none"/>
                <w:vertAlign w:val="baseline"/>
                <w:lang w:val="en-US" w:eastAsia="zh-CN"/>
              </w:rPr>
              <w:t>释义</w:t>
            </w:r>
          </w:p>
        </w:tc>
        <w:tc>
          <w:tcPr>
            <w:tcW w:w="8135" w:type="dxa"/>
            <w:gridSpan w:val="5"/>
            <w:vAlign w:val="center"/>
          </w:tcPr>
          <w:p w14:paraId="36AFDBD0">
            <w:pPr>
              <w:keepNext w:val="0"/>
              <w:keepLines w:val="0"/>
              <w:pageBreakBefore w:val="0"/>
              <w:widowControl w:val="0"/>
              <w:numPr>
                <w:ilvl w:val="0"/>
                <w:numId w:val="1"/>
              </w:numPr>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pacing w:val="-1"/>
                <w:sz w:val="18"/>
                <w:szCs w:val="18"/>
                <w:highlight w:val="none"/>
                <w:lang w:val="en-US" w:eastAsia="zh-CN"/>
              </w:rPr>
            </w:pPr>
            <w:r>
              <w:rPr>
                <w:rFonts w:hint="eastAsia" w:asciiTheme="minorEastAsia" w:hAnsiTheme="minorEastAsia" w:eastAsiaTheme="minorEastAsia" w:cstheme="minorEastAsia"/>
                <w:spacing w:val="-1"/>
                <w:sz w:val="18"/>
                <w:szCs w:val="18"/>
                <w:highlight w:val="none"/>
                <w:lang w:val="zh-CN" w:eastAsia="zh-CN"/>
              </w:rPr>
              <w:t>响应时间是指医院向供应商提出应用系统问题之时起至供应商做出相应反馈之时所经历的时间。</w:t>
            </w:r>
          </w:p>
          <w:p w14:paraId="310D41A0">
            <w:pPr>
              <w:keepNext w:val="0"/>
              <w:keepLines w:val="0"/>
              <w:pageBreakBefore w:val="0"/>
              <w:widowControl w:val="0"/>
              <w:numPr>
                <w:ilvl w:val="0"/>
                <w:numId w:val="1"/>
              </w:numPr>
              <w:kinsoku/>
              <w:wordWrap/>
              <w:overflowPunct/>
              <w:topLinePunct w:val="0"/>
              <w:autoSpaceDE/>
              <w:autoSpaceDN/>
              <w:bidi w:val="0"/>
              <w:adjustRightInd/>
              <w:snapToGrid/>
              <w:spacing w:line="360" w:lineRule="exact"/>
              <w:jc w:val="both"/>
              <w:textAlignment w:val="auto"/>
              <w:rPr>
                <w:rFonts w:hint="eastAsia" w:asciiTheme="minorEastAsia" w:hAnsiTheme="minorEastAsia" w:eastAsiaTheme="minorEastAsia" w:cstheme="minorEastAsia"/>
                <w:sz w:val="18"/>
                <w:szCs w:val="18"/>
                <w:highlight w:val="none"/>
                <w:vertAlign w:val="baseline"/>
              </w:rPr>
            </w:pPr>
            <w:r>
              <w:rPr>
                <w:rFonts w:hint="eastAsia" w:asciiTheme="minorEastAsia" w:hAnsiTheme="minorEastAsia" w:eastAsiaTheme="minorEastAsia" w:cstheme="minorEastAsia"/>
                <w:spacing w:val="-1"/>
                <w:sz w:val="18"/>
                <w:szCs w:val="18"/>
                <w:highlight w:val="none"/>
                <w:lang w:val="en-US" w:eastAsia="zh-CN"/>
              </w:rPr>
              <w:t>评分在80分及以上、市场价格没有大幅度降低且科室评估还需继续使用售后服务条件下，可考虑进行合同续约事宜。</w:t>
            </w:r>
            <w:bookmarkStart w:id="2" w:name="_GoBack"/>
            <w:bookmarkEnd w:id="2"/>
          </w:p>
        </w:tc>
      </w:tr>
    </w:tbl>
    <w:p w14:paraId="360405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3160DA"/>
    <w:multiLevelType w:val="singleLevel"/>
    <w:tmpl w:val="B83160D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206CA5"/>
    <w:rsid w:val="0D206CA5"/>
    <w:rsid w:val="3D3C6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735</Words>
  <Characters>765</Characters>
  <Lines>0</Lines>
  <Paragraphs>0</Paragraphs>
  <TotalTime>73</TotalTime>
  <ScaleCrop>false</ScaleCrop>
  <LinksUpToDate>false</LinksUpToDate>
  <CharactersWithSpaces>765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2026-01-26T06:33:00Z</dcterms:created>
  <dc:creator>赵珊珊</dc:creator>
  <cp:lastModifiedBy>袁先森</cp:lastModifiedBy>
  <dcterms:modified xsi:type="dcterms:W3CDTF">2026-01-26T10:17:41Z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533BE5CB68084622A6E2724892911A02_13</vt:lpwstr>
  </property>
  <property fmtid="{D5CDD505-2E9C-101B-9397-08002B2CF9AE}" pid="4" name="KSOTemplateDocerSaveRecord">
    <vt:lpwstr>eyJoZGlkIjoiNzk3MmE1ZjZlZTg5NTQyMWYxOWNjNDkwZjk2MGM1MGMiLCJ1c2VySWQiOiI2ODQzOTMxODcifQ==</vt:lpwstr>
  </property>
</Properties>
</file>