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版本号：N510781202600003320260410002</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江油市森林草原湿地荒漠化普查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N5107812026000033</w:t>
      </w:r>
    </w:p>
    <w:p>
      <w:pPr>
        <w:pStyle w:val="null3"/>
        <w:jc w:val="left"/>
        <w:outlineLvl w:val="2"/>
      </w:pPr>
      <w:r>
        <w:rPr>
          <w:rFonts w:ascii="仿宋_GB2312" w:hAnsi="仿宋_GB2312" w:cs="仿宋_GB2312" w:eastAsia="仿宋_GB2312"/>
          <w:sz w:val="28"/>
          <w:b/>
        </w:rPr>
        <w:t>江油市自然资源局</w:t>
      </w:r>
    </w:p>
    <w:p>
      <w:pPr>
        <w:pStyle w:val="null3"/>
        <w:jc w:val="center"/>
        <w:outlineLvl w:val="2"/>
      </w:pPr>
      <w:r>
        <w:rPr>
          <w:rFonts w:ascii="仿宋_GB2312" w:hAnsi="仿宋_GB2312" w:cs="仿宋_GB2312" w:eastAsia="仿宋_GB2312"/>
          <w:sz w:val="28"/>
          <w:b/>
        </w:rPr>
        <w:t>四川同君招标代理有限责任公司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四川同君招标代理有限责任公司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江油市自然资源局</w:t>
      </w:r>
      <w:r>
        <w:rPr>
          <w:rFonts w:ascii="仿宋_GB2312" w:hAnsi="仿宋_GB2312" w:cs="仿宋_GB2312" w:eastAsia="仿宋_GB2312"/>
        </w:rPr>
        <w:t xml:space="preserve"> 委托，拟对 </w:t>
      </w:r>
      <w:r>
        <w:rPr>
          <w:rFonts w:ascii="仿宋_GB2312" w:hAnsi="仿宋_GB2312" w:cs="仿宋_GB2312" w:eastAsia="仿宋_GB2312"/>
        </w:rPr>
        <w:t>江油市森林草原湿地荒漠化普查</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绵阳市江油市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N5107812026000033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江油市森林草原湿地荒漠化普查</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深入贯彻关于“统一底图、统一标准、统一规划、统一平台”的重要指示精神，落实国家“10年一次普查、年度动态监测”的森林草原湿地荒漠化综合调查监测体系和四川省自然资源调查监测体系三年行动方案，解决江油林草湿调查监测植被覆盖类型与国土调查地类不一致问题，全面摸清我市林草资源本底及生态状况，科学推进生态保护修复工作，根据《关于开展全国森林草原湿地荒漠化普查工作的通知》（自然资发〔2024〕78号）及其他相关文件的部署要求，江油市将开展森林草原湿地荒漠化普查工作。</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江油市自然资源局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江油市太平镇白玉路与天台路交汇处</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0816-3369396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四川同君招标代理有限责任公司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四川省绵阳市游仙区东原长岛6号楼商铺201-204</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王驰</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0816-2132332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采购包1：659,200.00元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代理服务费收费标准：参照国家计委《招标代理服务收费管理暂行办法》【2002】1980号文件及《四川省政府采购营商环境指标提升专项行动工作方案》中“成本+合理利润”原则收取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江油市自然资源局</w:t>
      </w:r>
      <w:r>
        <w:rPr>
          <w:rFonts w:ascii="仿宋_GB2312" w:hAnsi="仿宋_GB2312" w:cs="仿宋_GB2312" w:eastAsia="仿宋_GB2312"/>
        </w:rPr>
        <w:t xml:space="preserve"> 和 </w:t>
      </w:r>
      <w:r>
        <w:rPr>
          <w:rFonts w:ascii="仿宋_GB2312" w:hAnsi="仿宋_GB2312" w:cs="仿宋_GB2312" w:eastAsia="仿宋_GB2312"/>
        </w:rPr>
        <w:t>四川同君招标代理有限责任公司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江油市自然资源局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四川同君招标代理有限责任公司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按照本项目采购需求中“技术、服务要求”约定执行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按照本项目采购需求中“商务要求”约定执行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严格按照政府采购相关法律法规以及《财政部关于进一步加强政府采 购需求和履约验收管理的指导意见》（财库（2016）205 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四川同君招标代理有限责任公司</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四川同君招标代理有限责任公司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四川同君招标代理有限责任公司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联系人：王驰</w:t>
      </w:r>
    </w:p>
    <w:p>
      <w:pPr>
        <w:pStyle w:val="null3"/>
        <w:jc w:val="left"/>
      </w:pPr>
      <w:r>
        <w:rPr>
          <w:rFonts w:ascii="仿宋_GB2312" w:hAnsi="仿宋_GB2312" w:cs="仿宋_GB2312" w:eastAsia="仿宋_GB2312"/>
        </w:rPr>
        <w:t>联系电话：0816-2132332</w:t>
      </w:r>
    </w:p>
    <w:p>
      <w:pPr>
        <w:pStyle w:val="null3"/>
        <w:jc w:val="left"/>
      </w:pPr>
      <w:r>
        <w:rPr>
          <w:rFonts w:ascii="仿宋_GB2312" w:hAnsi="仿宋_GB2312" w:cs="仿宋_GB2312" w:eastAsia="仿宋_GB2312"/>
        </w:rPr>
        <w:t>地址：四川省绵阳市游仙区东原长岛6号楼商铺201-204</w:t>
      </w:r>
    </w:p>
    <w:p>
      <w:pPr>
        <w:pStyle w:val="null3"/>
        <w:jc w:val="left"/>
      </w:pPr>
      <w:r>
        <w:rPr>
          <w:rFonts w:ascii="仿宋_GB2312" w:hAnsi="仿宋_GB2312" w:cs="仿宋_GB2312" w:eastAsia="仿宋_GB2312"/>
        </w:rPr>
        <w:t>邮编：621000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659,200.00</w:t>
      </w:r>
    </w:p>
    <w:p>
      <w:pPr>
        <w:pStyle w:val="null3"/>
        <w:jc w:val="left"/>
      </w:pPr>
      <w:r>
        <w:rPr>
          <w:rFonts w:ascii="仿宋_GB2312" w:hAnsi="仿宋_GB2312" w:cs="仿宋_GB2312" w:eastAsia="仿宋_GB2312"/>
        </w:rPr>
        <w:t>采购包最高限价（元）: 659,200.00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C19990000 其他专业技术服务</w:t>
            </w:r>
          </w:p>
        </w:tc>
        <w:tc>
          <w:tcPr>
            <w:tcW w:type="dxa" w:w="821"/>
          </w:tcPr>
          <w:p>
            <w:pPr>
              <w:pStyle w:val="null3"/>
              <w:jc w:val="left"/>
            </w:pPr>
            <w:r>
              <w:rPr>
                <w:rFonts w:ascii="仿宋_GB2312" w:hAnsi="仿宋_GB2312" w:cs="仿宋_GB2312" w:eastAsia="仿宋_GB2312"/>
              </w:rPr>
              <w:t>江油市森林草原湿地荒漠化普查</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659,200.00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江油市森林草原湿地荒漠化普查</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659,200.00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标的名称：江油市森林草原湿地荒漠化普查</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江油市森林草原湿地荒漠化普查技术要求</w:t>
            </w:r>
          </w:p>
        </w:tc>
        <w:tc>
          <w:tcPr>
            <w:tcW w:type="dxa" w:w="5814"/>
          </w:tcPr>
          <w:p>
            <w:pPr>
              <w:pStyle w:val="null3"/>
              <w:ind w:firstLine="562"/>
              <w:jc w:val="left"/>
            </w:pPr>
            <w:r>
              <w:rPr>
                <w:rFonts w:ascii="仿宋_GB2312" w:hAnsi="仿宋_GB2312" w:cs="仿宋_GB2312" w:eastAsia="仿宋_GB2312"/>
                <w:sz w:val="28"/>
                <w:b/>
                <w:color w:val="000000"/>
              </w:rPr>
              <w:t>一、项目概况</w:t>
            </w:r>
          </w:p>
          <w:p>
            <w:pPr>
              <w:pStyle w:val="null3"/>
              <w:ind w:firstLine="560"/>
              <w:jc w:val="both"/>
            </w:pPr>
            <w:r>
              <w:rPr>
                <w:rFonts w:ascii="仿宋_GB2312" w:hAnsi="仿宋_GB2312" w:cs="仿宋_GB2312" w:eastAsia="仿宋_GB2312"/>
                <w:sz w:val="28"/>
              </w:rPr>
              <w:t>为深入贯彻关于</w:t>
            </w:r>
            <w:r>
              <w:rPr>
                <w:rFonts w:ascii="仿宋_GB2312" w:hAnsi="仿宋_GB2312" w:cs="仿宋_GB2312" w:eastAsia="仿宋_GB2312"/>
                <w:sz w:val="28"/>
              </w:rPr>
              <w:t>“统一底图、统一标准、统一规划、统一平台”的重要指示精神，落实国家“10年一次普查、年度动态监测”的森林草原湿地荒漠化综合调查监测体系和四川省自然资源调查监测体系三年行动方案，解决江油林草湿调查监测植被覆盖类型与国土调查地类不一致问题，全面摸清我市林草资源本底及生态状况，科学推进生态保护修复工作，根据《关于开展全国森林草原湿地荒漠化普查工作的通知》（自然资发〔2024〕78号）及其他相关文件的部署要求，</w:t>
            </w:r>
            <w:r>
              <w:rPr>
                <w:rFonts w:ascii="仿宋_GB2312" w:hAnsi="仿宋_GB2312" w:cs="仿宋_GB2312" w:eastAsia="仿宋_GB2312"/>
                <w:sz w:val="28"/>
              </w:rPr>
              <w:t>江油市</w:t>
            </w:r>
            <w:r>
              <w:rPr>
                <w:rFonts w:ascii="仿宋_GB2312" w:hAnsi="仿宋_GB2312" w:cs="仿宋_GB2312" w:eastAsia="仿宋_GB2312"/>
                <w:sz w:val="28"/>
              </w:rPr>
              <w:t>将</w:t>
            </w:r>
            <w:r>
              <w:rPr>
                <w:rFonts w:ascii="仿宋_GB2312" w:hAnsi="仿宋_GB2312" w:cs="仿宋_GB2312" w:eastAsia="仿宋_GB2312"/>
                <w:sz w:val="28"/>
              </w:rPr>
              <w:t>开展森林草原湿地荒漠化普查工作。</w:t>
            </w:r>
          </w:p>
          <w:p>
            <w:pPr>
              <w:pStyle w:val="null3"/>
              <w:ind w:firstLine="562"/>
              <w:jc w:val="left"/>
            </w:pPr>
            <w:r>
              <w:rPr>
                <w:rFonts w:ascii="仿宋_GB2312" w:hAnsi="仿宋_GB2312" w:cs="仿宋_GB2312" w:eastAsia="仿宋_GB2312"/>
                <w:sz w:val="28"/>
                <w:b/>
                <w:color w:val="000000"/>
              </w:rPr>
              <w:t>二、服务内容及要求</w:t>
            </w:r>
          </w:p>
          <w:p>
            <w:pPr>
              <w:pStyle w:val="null3"/>
              <w:ind w:firstLine="562"/>
              <w:jc w:val="left"/>
            </w:pPr>
            <w:r>
              <w:rPr>
                <w:rFonts w:ascii="仿宋_GB2312" w:hAnsi="仿宋_GB2312" w:cs="仿宋_GB2312" w:eastAsia="仿宋_GB2312"/>
                <w:sz w:val="28"/>
                <w:b/>
                <w:color w:val="000000"/>
              </w:rPr>
              <w:t>1.服务内容：</w:t>
            </w:r>
          </w:p>
          <w:p>
            <w:pPr>
              <w:pStyle w:val="null3"/>
              <w:ind w:firstLine="560"/>
              <w:jc w:val="both"/>
            </w:pPr>
            <w:r>
              <w:rPr>
                <w:rFonts w:ascii="仿宋_GB2312" w:hAnsi="仿宋_GB2312" w:cs="仿宋_GB2312" w:eastAsia="仿宋_GB2312"/>
                <w:sz w:val="28"/>
              </w:rPr>
              <w:t>根据江油市最新林草湿荒数据统计，江油市不一致图斑数共计10671个，总面积约492579.75公顷；按照自然资源部、国家林草局、四川省</w:t>
            </w:r>
            <w:r>
              <w:rPr>
                <w:rFonts w:ascii="仿宋_GB2312" w:hAnsi="仿宋_GB2312" w:cs="仿宋_GB2312" w:eastAsia="仿宋_GB2312"/>
                <w:sz w:val="28"/>
              </w:rPr>
              <w:t>自</w:t>
            </w:r>
            <w:r>
              <w:rPr>
                <w:rFonts w:ascii="仿宋_GB2312" w:hAnsi="仿宋_GB2312" w:cs="仿宋_GB2312" w:eastAsia="仿宋_GB2312"/>
                <w:sz w:val="28"/>
              </w:rPr>
              <w:t>然资源厅《国家林业和草原局关于开展全国森林草原湿地荒漠化普查⼯作的通知》（自然资发【2024】78号）、《关于印发全国森林资源草原湿地荒漠化普查技术⽅案和技术规程的通知》（办资字【2024】128号）、《四川省林业局和草原局关于做好全省森林资源草原湿地荒漠化普查⼯作的通知》（川</w:t>
            </w:r>
            <w:r>
              <w:rPr>
                <w:rFonts w:ascii="仿宋_GB2312" w:hAnsi="仿宋_GB2312" w:cs="仿宋_GB2312" w:eastAsia="仿宋_GB2312"/>
                <w:sz w:val="28"/>
              </w:rPr>
              <w:t>自</w:t>
            </w:r>
            <w:r>
              <w:rPr>
                <w:rFonts w:ascii="仿宋_GB2312" w:hAnsi="仿宋_GB2312" w:cs="仿宋_GB2312" w:eastAsia="仿宋_GB2312"/>
                <w:sz w:val="28"/>
              </w:rPr>
              <w:t>然资函【2024】234号）文件要求，编制林草湿荒普查工作、技术方案；开展地类对接工作；制作工作底图；经营管理单位界线落实；图斑区划赋值；融合荒漠化数据；开展图斑调查；解译标志调查；标记可造林绿化图斑；管理类型标注；开展数据库建设；开展统计分析评价。</w:t>
            </w:r>
          </w:p>
          <w:p>
            <w:pPr>
              <w:pStyle w:val="null3"/>
              <w:ind w:firstLine="562"/>
              <w:jc w:val="both"/>
            </w:pPr>
            <w:r>
              <w:rPr>
                <w:rFonts w:ascii="仿宋_GB2312" w:hAnsi="仿宋_GB2312" w:cs="仿宋_GB2312" w:eastAsia="仿宋_GB2312"/>
                <w:sz w:val="28"/>
                <w:b/>
                <w:color w:val="000000"/>
              </w:rPr>
              <w:t>2.成果资料：</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w:t>
            </w:r>
            <w:r>
              <w:rPr>
                <w:rFonts w:ascii="仿宋_GB2312" w:hAnsi="仿宋_GB2312" w:cs="仿宋_GB2312" w:eastAsia="仿宋_GB2312"/>
                <w:sz w:val="28"/>
                <w:color w:val="000000"/>
              </w:rPr>
              <w:t>）</w:t>
            </w:r>
            <w:r>
              <w:rPr>
                <w:rFonts w:ascii="仿宋_GB2312" w:hAnsi="仿宋_GB2312" w:cs="仿宋_GB2312" w:eastAsia="仿宋_GB2312"/>
                <w:sz w:val="28"/>
                <w:color w:val="000000"/>
              </w:rPr>
              <w:t>成果数据库（包含国土数据、底图数据库、字典数据、界限成果、区划成果、核实成果、更新成果、遥感解译成果、基础支撑数据库等）。</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w:t>
            </w:r>
            <w:r>
              <w:rPr>
                <w:rFonts w:ascii="仿宋_GB2312" w:hAnsi="仿宋_GB2312" w:cs="仿宋_GB2312" w:eastAsia="仿宋_GB2312"/>
                <w:sz w:val="28"/>
                <w:color w:val="000000"/>
              </w:rPr>
              <w:t>）</w:t>
            </w:r>
            <w:r>
              <w:rPr>
                <w:rFonts w:ascii="仿宋_GB2312" w:hAnsi="仿宋_GB2312" w:cs="仿宋_GB2312" w:eastAsia="仿宋_GB2312"/>
                <w:sz w:val="28"/>
                <w:color w:val="000000"/>
              </w:rPr>
              <w:t>县（市、区）</w:t>
            </w:r>
            <w:r>
              <w:rPr>
                <w:rFonts w:ascii="仿宋_GB2312" w:hAnsi="仿宋_GB2312" w:cs="仿宋_GB2312" w:eastAsia="仿宋_GB2312"/>
                <w:sz w:val="28"/>
                <w:color w:val="000000"/>
              </w:rPr>
              <w:t>级</w:t>
            </w:r>
            <w:r>
              <w:rPr>
                <w:rFonts w:ascii="仿宋_GB2312" w:hAnsi="仿宋_GB2312" w:cs="仿宋_GB2312" w:eastAsia="仿宋_GB2312"/>
                <w:sz w:val="28"/>
                <w:color w:val="000000"/>
              </w:rPr>
              <w:t>自查报告。</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3</w:t>
            </w:r>
            <w:r>
              <w:rPr>
                <w:rFonts w:ascii="仿宋_GB2312" w:hAnsi="仿宋_GB2312" w:cs="仿宋_GB2312" w:eastAsia="仿宋_GB2312"/>
                <w:sz w:val="28"/>
                <w:color w:val="000000"/>
              </w:rPr>
              <w:t>）</w:t>
            </w:r>
            <w:r>
              <w:rPr>
                <w:rFonts w:ascii="仿宋_GB2312" w:hAnsi="仿宋_GB2312" w:cs="仿宋_GB2312" w:eastAsia="仿宋_GB2312"/>
                <w:sz w:val="28"/>
                <w:color w:val="000000"/>
              </w:rPr>
              <w:t>统计表、</w:t>
            </w:r>
            <w:r>
              <w:rPr>
                <w:rFonts w:ascii="仿宋_GB2312" w:hAnsi="仿宋_GB2312" w:cs="仿宋_GB2312" w:eastAsia="仿宋_GB2312"/>
                <w:sz w:val="28"/>
                <w:color w:val="000000"/>
              </w:rPr>
              <w:t>专题图（江油市林草资源分布图、江油市森林分布图、江油市草地分布图、江油市湿地分布图）</w:t>
            </w:r>
            <w:r>
              <w:rPr>
                <w:rFonts w:ascii="仿宋_GB2312" w:hAnsi="仿宋_GB2312" w:cs="仿宋_GB2312" w:eastAsia="仿宋_GB2312"/>
                <w:sz w:val="28"/>
                <w:color w:val="000000"/>
              </w:rPr>
              <w:t>、普查成果报告。</w:t>
            </w:r>
          </w:p>
          <w:p>
            <w:pPr>
              <w:pStyle w:val="null3"/>
              <w:ind w:firstLine="562"/>
              <w:jc w:val="left"/>
            </w:pPr>
            <w:r>
              <w:rPr>
                <w:rFonts w:ascii="仿宋_GB2312" w:hAnsi="仿宋_GB2312" w:cs="仿宋_GB2312" w:eastAsia="仿宋_GB2312"/>
                <w:sz w:val="28"/>
                <w:b/>
                <w:color w:val="000000"/>
              </w:rPr>
              <w:t>3.服务要求：</w:t>
            </w:r>
          </w:p>
          <w:p>
            <w:pPr>
              <w:pStyle w:val="null3"/>
              <w:ind w:firstLine="560"/>
              <w:jc w:val="both"/>
            </w:pPr>
            <w:r>
              <w:rPr>
                <w:rFonts w:ascii="仿宋_GB2312" w:hAnsi="仿宋_GB2312" w:cs="仿宋_GB2312" w:eastAsia="仿宋_GB2312"/>
                <w:sz w:val="28"/>
              </w:rPr>
              <w:t>普查成果</w:t>
            </w:r>
            <w:r>
              <w:rPr>
                <w:rFonts w:ascii="仿宋_GB2312" w:hAnsi="仿宋_GB2312" w:cs="仿宋_GB2312" w:eastAsia="仿宋_GB2312"/>
                <w:sz w:val="28"/>
              </w:rPr>
              <w:t>需</w:t>
            </w:r>
            <w:r>
              <w:rPr>
                <w:rFonts w:ascii="仿宋_GB2312" w:hAnsi="仿宋_GB2312" w:cs="仿宋_GB2312" w:eastAsia="仿宋_GB2312"/>
                <w:sz w:val="28"/>
              </w:rPr>
              <w:t>经县（市、区）级自查、市级抽查和省级核查，</w:t>
            </w:r>
            <w:r>
              <w:rPr>
                <w:rFonts w:ascii="仿宋_GB2312" w:hAnsi="仿宋_GB2312" w:cs="仿宋_GB2312" w:eastAsia="仿宋_GB2312"/>
                <w:sz w:val="28"/>
              </w:rPr>
              <w:t>并验收</w:t>
            </w:r>
            <w:r>
              <w:rPr>
                <w:rFonts w:ascii="仿宋_GB2312" w:hAnsi="仿宋_GB2312" w:cs="仿宋_GB2312" w:eastAsia="仿宋_GB2312"/>
                <w:sz w:val="28"/>
              </w:rPr>
              <w:t>合格</w:t>
            </w:r>
            <w:r>
              <w:rPr>
                <w:rFonts w:ascii="仿宋_GB2312" w:hAnsi="仿宋_GB2312" w:cs="仿宋_GB2312" w:eastAsia="仿宋_GB2312"/>
                <w:sz w:val="28"/>
              </w:rPr>
              <w:t>;成果数据库</w:t>
            </w:r>
            <w:r>
              <w:rPr>
                <w:rFonts w:ascii="仿宋_GB2312" w:hAnsi="仿宋_GB2312" w:cs="仿宋_GB2312" w:eastAsia="仿宋_GB2312"/>
                <w:sz w:val="28"/>
              </w:rPr>
              <w:t>需</w:t>
            </w:r>
            <w:r>
              <w:rPr>
                <w:rFonts w:ascii="仿宋_GB2312" w:hAnsi="仿宋_GB2312" w:cs="仿宋_GB2312" w:eastAsia="仿宋_GB2312"/>
                <w:sz w:val="28"/>
              </w:rPr>
              <w:t>通过省级审核，并汇入国家数据库。</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实施方案</w:t>
            </w:r>
          </w:p>
        </w:tc>
        <w:tc>
          <w:tcPr>
            <w:tcW w:type="dxa" w:w="5814"/>
          </w:tcPr>
          <w:p>
            <w:pPr>
              <w:pStyle w:val="null3"/>
              <w:jc w:val="left"/>
            </w:pPr>
            <w:r>
              <w:rPr>
                <w:rFonts w:ascii="仿宋_GB2312" w:hAnsi="仿宋_GB2312" w:cs="仿宋_GB2312" w:eastAsia="仿宋_GB2312"/>
                <w:sz w:val="24"/>
              </w:rPr>
              <w:t>供应商针对本项目提供的实施方案包括：工作内容、实施流程、组织管理、技术管理、质量管理等。</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人员配置</w:t>
            </w:r>
          </w:p>
        </w:tc>
        <w:tc>
          <w:tcPr>
            <w:tcW w:type="dxa" w:w="5814"/>
          </w:tcPr>
          <w:p>
            <w:pPr>
              <w:pStyle w:val="null3"/>
              <w:jc w:val="left"/>
            </w:pPr>
            <w:r>
              <w:rPr>
                <w:rFonts w:ascii="仿宋_GB2312" w:hAnsi="仿宋_GB2312" w:cs="仿宋_GB2312" w:eastAsia="仿宋_GB2312"/>
                <w:sz w:val="24"/>
              </w:rPr>
              <w:t>供应商针对本项目配备以下人员：</w:t>
            </w:r>
          </w:p>
          <w:p>
            <w:pPr>
              <w:pStyle w:val="null3"/>
              <w:jc w:val="left"/>
            </w:pPr>
            <w:r>
              <w:rPr>
                <w:rFonts w:ascii="仿宋_GB2312" w:hAnsi="仿宋_GB2312" w:cs="仿宋_GB2312" w:eastAsia="仿宋_GB2312"/>
                <w:sz w:val="24"/>
              </w:rPr>
              <w:t>1、项目负责人：具有林业工程师职称；</w:t>
            </w:r>
          </w:p>
          <w:p>
            <w:pPr>
              <w:pStyle w:val="null3"/>
              <w:jc w:val="left"/>
            </w:pPr>
            <w:r>
              <w:rPr>
                <w:rFonts w:ascii="仿宋_GB2312" w:hAnsi="仿宋_GB2312" w:cs="仿宋_GB2312" w:eastAsia="仿宋_GB2312"/>
                <w:sz w:val="24"/>
              </w:rPr>
              <w:t>2、项目技术负责人：</w:t>
            </w:r>
            <w:r>
              <w:rPr>
                <w:rFonts w:ascii="仿宋_GB2312" w:hAnsi="仿宋_GB2312" w:cs="仿宋_GB2312" w:eastAsia="仿宋_GB2312"/>
                <w:sz w:val="24"/>
              </w:rPr>
              <w:t>具有林业工程师职称。</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履约能力</w:t>
            </w:r>
          </w:p>
        </w:tc>
        <w:tc>
          <w:tcPr>
            <w:tcW w:type="dxa" w:w="5814"/>
          </w:tcPr>
          <w:p>
            <w:pPr>
              <w:pStyle w:val="null3"/>
              <w:jc w:val="left"/>
            </w:pPr>
            <w:r>
              <w:rPr>
                <w:rFonts w:ascii="仿宋_GB2312" w:hAnsi="仿宋_GB2312" w:cs="仿宋_GB2312" w:eastAsia="仿宋_GB2312"/>
                <w:sz w:val="24"/>
              </w:rPr>
              <w:t>供应商提供2022年1月1日(含)以来类似项目业绩。</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合同签订后365日内完成并验收合格</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江油市（采购人指定地点）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严格按照政府采购相关法律法规以及《财政部关于进一步加强政府采 购需求和履约验收管理的指导意见》（财库（2016）205 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1、林草湿荒普查成果经主管部门验收合格并出具成果验收专家意见后，达到付款条件起15日内，支付合同总金额的100.00%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双方必须遵守合同并执行合同中的各项规定，保证合同的正常履行。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其他未尽事宜由双方在采购合同中详细约定。</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19"/>
          <w:color w:val="333333"/>
        </w:rPr>
        <w:t>第三章</w:t>
      </w:r>
      <w:r>
        <w:rPr>
          <w:rFonts w:ascii="仿宋_GB2312" w:hAnsi="仿宋_GB2312" w:cs="仿宋_GB2312" w:eastAsia="仿宋_GB2312"/>
          <w:sz w:val="19"/>
          <w:color w:val="333333"/>
        </w:rPr>
        <w:t>“技术、服务及其他要求”中“3.2.技术要求”，“3.3.服务要求”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1"/>
        </w:rPr>
        <w:t>第七章</w:t>
      </w:r>
      <w:r>
        <w:rPr>
          <w:rFonts w:ascii="仿宋_GB2312" w:hAnsi="仿宋_GB2312" w:cs="仿宋_GB2312" w:eastAsia="仿宋_GB2312"/>
          <w:sz w:val="21"/>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具有独立承担民事责任的能力证明材料.docx,响应文件封面,投标（响应）函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采购文件第三章 技术、服务及其他要求“3.2.技术要求”中的带★项。</w:t>
            </w:r>
          </w:p>
        </w:tc>
        <w:tc>
          <w:tcPr>
            <w:tcW w:type="dxa" w:w="3322"/>
          </w:tcPr>
          <w:p>
            <w:pPr>
              <w:pStyle w:val="null3"/>
              <w:jc w:val="left"/>
            </w:pPr>
            <w:r>
              <w:rPr>
                <w:rFonts w:ascii="仿宋_GB2312" w:hAnsi="仿宋_GB2312" w:cs="仿宋_GB2312" w:eastAsia="仿宋_GB2312"/>
              </w:rPr>
              <w:t>供应商按采购文件第三章 技术、服务及其他要求“3.2.技术要求”中带★项的内容进行响应。</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采购文件第三章 技术、服务及其他要求“3.3.服务要求”中的带★项。</w:t>
            </w:r>
          </w:p>
        </w:tc>
        <w:tc>
          <w:tcPr>
            <w:tcW w:type="dxa" w:w="3322"/>
          </w:tcPr>
          <w:p>
            <w:pPr>
              <w:pStyle w:val="null3"/>
              <w:jc w:val="left"/>
            </w:pPr>
            <w:r>
              <w:rPr>
                <w:rFonts w:ascii="仿宋_GB2312" w:hAnsi="仿宋_GB2312" w:cs="仿宋_GB2312" w:eastAsia="仿宋_GB2312"/>
              </w:rPr>
              <w:t>供应商按采购文件第三章 技术、服务及其他要求“3.3.服务要求”中带★项的内容进行响应。</w:t>
            </w:r>
          </w:p>
        </w:tc>
        <w:tc>
          <w:tcPr>
            <w:tcW w:type="dxa" w:w="1661"/>
          </w:tcPr>
          <w:p>
            <w:pPr>
              <w:pStyle w:val="null3"/>
              <w:jc w:val="left"/>
            </w:pPr>
            <w:r>
              <w:rPr>
                <w:rFonts w:ascii="仿宋_GB2312" w:hAnsi="仿宋_GB2312" w:cs="仿宋_GB2312" w:eastAsia="仿宋_GB2312"/>
              </w:rPr>
              <w:t>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3.2</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根据供应商提供的实施方案包括：工作内容、实施流程、组织管理、技术管理、质量管理等；上述内容齐全且符合项目需求的得45分，每缺失一项内容扣9分，每有一处存在缺陷扣3分，扣完为止。 注：缺陷是指：内容生搬硬造，阐述与本项目无关；涉及内容无重点，未能体现出本项目的特点或与实际需求不相符；方案内容体现不齐全；响应方案与项目实施方案不一致存在前后矛盾；语言错误或存在歧义，项目名称、实施地点与本项目不一致、标准引用有误等。</w:t>
            </w:r>
          </w:p>
        </w:tc>
        <w:tc>
          <w:tcPr>
            <w:tcW w:type="dxa" w:w="831"/>
          </w:tcPr>
          <w:p>
            <w:pPr>
              <w:pStyle w:val="null3"/>
              <w:jc w:val="center"/>
            </w:pPr>
            <w:r>
              <w:rPr>
                <w:rFonts w:ascii="仿宋_GB2312" w:hAnsi="仿宋_GB2312" w:cs="仿宋_GB2312" w:eastAsia="仿宋_GB2312"/>
              </w:rPr>
              <w:t>45.0000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供应商认为需提供的相关材料.docx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1、项目负责人：具有林业中级工程师得4分；具有林业高级及以上工程师得6分；本项最高得6分。 2、项目技术负责人：具有林业中级工程师得3分；具有林业高级及以上工程师得5分；本项最高得5分； 3、项目组成员：具备1名林业工程师职称得3分，本项最高9分。 注：提供人员职称证书扫描件并加盖供应商公章。</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供应商认为需提供的相关材料.docx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2022年1月1日(含)以来，每提供1个类似项目业绩得5分，本项最高得20分。 注：须提供项目合同或（中标/成交）通知书扫描件加盖供应商公章。</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供应商认为需提供的相关材料.docx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详见附件：具有独立承担民事责任的能力证明材料.docx</w:t>
      </w:r>
    </w:p>
    <w:p>
      <w:pPr>
        <w:pStyle w:val="null3"/>
        <w:ind w:firstLine="960"/>
        <w:jc w:val="left"/>
      </w:pPr>
      <w:r>
        <w:rPr>
          <w:rFonts w:ascii="仿宋_GB2312" w:hAnsi="仿宋_GB2312" w:cs="仿宋_GB2312" w:eastAsia="仿宋_GB2312"/>
        </w:rPr>
        <w:t>详见附件：供应商认为需提供的相关材料.docx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