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B1543">
      <w:pPr>
        <w:pStyle w:val="3"/>
        <w:bidi w:val="0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具有</w:t>
      </w:r>
      <w:r>
        <w:rPr>
          <w:rFonts w:hint="eastAsia" w:ascii="宋体" w:hAnsi="宋体" w:eastAsia="宋体" w:cs="宋体"/>
          <w:sz w:val="32"/>
          <w:szCs w:val="32"/>
        </w:rPr>
        <w:t>健全财务会计制度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的证明材料</w:t>
      </w:r>
    </w:p>
    <w:p w14:paraId="5E2F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投标人提供截至提交投标文件截止之日前两年内任意一年，经审计的财务报告（包含审计报告和审计报告中所涉及的财务报表和报表附注）或者银行出具的资信证明。未经审计的提供财务报告（包括资产负债表、利润表、现金流量表、所有者权益变动表及其附注）。投标人注册时间截至提交投标文件截止之日前不足一年的，也可提供在相关主管部门备案的公司章程等证明材料。投标人需在使用投标（响应）客户端编制投标文件时，按要求上传相应证明材料并进行电子签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jYzMzZTgwZjY2NzhmMWJjMzIyOTY4Y2ExYzMwODIifQ=="/>
  </w:docVars>
  <w:rsids>
    <w:rsidRoot w:val="00000000"/>
    <w:rsid w:val="15C63E78"/>
    <w:rsid w:val="36F7067E"/>
    <w:rsid w:val="65196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widowControl w:val="0"/>
      <w:spacing w:after="120"/>
      <w:jc w:val="both"/>
    </w:pPr>
    <w:rPr>
      <w:rFonts w:ascii="Calibri" w:hAnsi="Calibri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178</Words>
  <Characters>178</Characters>
  <Lines>0</Lines>
  <Paragraphs>0</Paragraphs>
  <TotalTime>0</TotalTime>
  <ScaleCrop>false</ScaleCrop>
  <LinksUpToDate>false</LinksUpToDate>
  <CharactersWithSpaces>179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2024-03-27T07:02:00Z</dcterms:created>
  <dc:creator>家里台式1</dc:creator>
  <cp:lastModifiedBy>C</cp:lastModifiedBy>
  <dcterms:modified xsi:type="dcterms:W3CDTF">2026-03-02T14:27:23Z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4C82FEAF41854E8EA26B8702D3258206_12</vt:lpwstr>
  </property>
  <property fmtid="{D5CDD505-2E9C-101B-9397-08002B2CF9AE}" pid="4" name="KSOTemplateDocerSaveRecord">
    <vt:lpwstr>eyJoZGlkIjoiZGE0YmI4NzM5MGJhYjRmNzJkYjdkYTZhOThjOWY2ODkiLCJ1c2VySWQiOiI1MDgwNzA5NzUifQ==</vt:lpwstr>
  </property>
</Properties>
</file>