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521A23">
      <w:pPr>
        <w:keepLines w:val="0"/>
        <w:pageBreakBefore w:val="0"/>
        <w:wordWrap/>
        <w:overflowPunct/>
        <w:topLinePunct w:val="0"/>
        <w:autoSpaceDE w:val="0"/>
        <w:autoSpaceDN w:val="0"/>
        <w:bidi w:val="0"/>
        <w:adjustRightInd w:val="0"/>
        <w:spacing w:before="100" w:line="360" w:lineRule="auto"/>
        <w:ind w:firstLine="656" w:firstLineChars="200"/>
        <w:rPr>
          <w:rFonts w:ascii="黑体" w:hAnsi="黑体" w:eastAsia="黑体" w:cs="黑体"/>
          <w:sz w:val="31"/>
          <w:szCs w:val="31"/>
        </w:rPr>
      </w:pPr>
      <w:r>
        <w:rPr>
          <w:rFonts w:ascii="黑体" w:hAnsi="黑体" w:eastAsia="黑体" w:cs="黑体"/>
          <w:spacing w:val="9"/>
          <w:sz w:val="31"/>
          <w:szCs w:val="31"/>
        </w:rPr>
        <w:t>货物类</w:t>
      </w:r>
    </w:p>
    <w:p w14:paraId="6C2411B3">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58923F85">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641259BC">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10B07EBC">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16D9F401">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369018F0">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6EADE293">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4E6080C7">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5C4FC8AF">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42D47264">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3531EC3B">
      <w:pPr>
        <w:keepLines w:val="0"/>
        <w:pageBreakBefore w:val="0"/>
        <w:wordWrap/>
        <w:overflowPunct/>
        <w:topLinePunct w:val="0"/>
        <w:autoSpaceDE w:val="0"/>
        <w:autoSpaceDN w:val="0"/>
        <w:bidi w:val="0"/>
        <w:adjustRightInd w:val="0"/>
        <w:spacing w:before="83" w:line="360" w:lineRule="auto"/>
        <w:jc w:val="both"/>
        <w:rPr>
          <w:rFonts w:ascii="宋体" w:hAnsi="宋体" w:eastAsia="宋体" w:cs="宋体"/>
          <w:b/>
          <w:bCs/>
          <w:spacing w:val="-26"/>
          <w:sz w:val="47"/>
          <w:szCs w:val="47"/>
        </w:rPr>
      </w:pPr>
      <w:r>
        <w:rPr>
          <w:rFonts w:ascii="宋体" w:hAnsi="宋体" w:eastAsia="宋体" w:cs="宋体"/>
          <w:b/>
          <w:bCs/>
          <w:spacing w:val="-26"/>
          <w:sz w:val="47"/>
          <w:szCs w:val="47"/>
        </w:rPr>
        <w:t>｛采购项目名称｝-｛采购包名称｝（第{X}包）</w:t>
      </w:r>
    </w:p>
    <w:p w14:paraId="1BAE63EC">
      <w:pPr>
        <w:keepLines w:val="0"/>
        <w:pageBreakBefore w:val="0"/>
        <w:wordWrap/>
        <w:overflowPunct/>
        <w:topLinePunct w:val="0"/>
        <w:autoSpaceDE w:val="0"/>
        <w:autoSpaceDN w:val="0"/>
        <w:bidi w:val="0"/>
        <w:adjustRightInd w:val="0"/>
        <w:spacing w:before="83" w:line="360" w:lineRule="auto"/>
        <w:ind w:left="2858" w:firstLine="840" w:firstLineChars="200"/>
        <w:jc w:val="both"/>
        <w:rPr>
          <w:rFonts w:ascii="宋体" w:hAnsi="宋体" w:eastAsia="宋体" w:cs="宋体"/>
          <w:sz w:val="47"/>
          <w:szCs w:val="47"/>
        </w:rPr>
      </w:pPr>
      <w:r>
        <w:rPr>
          <w:rFonts w:ascii="宋体" w:hAnsi="宋体" w:eastAsia="宋体" w:cs="宋体"/>
          <w:b/>
          <w:bCs/>
          <w:spacing w:val="-26"/>
          <w:sz w:val="47"/>
          <w:szCs w:val="47"/>
        </w:rPr>
        <w:t>政府采购合同</w:t>
      </w:r>
      <w:bookmarkStart w:id="1" w:name="_GoBack"/>
      <w:bookmarkEnd w:id="1"/>
    </w:p>
    <w:p w14:paraId="05990B5E">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02F0B15C">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1AD9738A">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5F3C3BF9">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68C6AD8E">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ermStart w:id="0" w:edGrp="everyone"/>
      <w:permEnd w:id="0"/>
    </w:p>
    <w:p w14:paraId="566CC46E">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186FAF81">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5A59C8AF">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6285FDD6">
      <w:pPr>
        <w:keepLines w:val="0"/>
        <w:pageBreakBefore w:val="0"/>
        <w:wordWrap/>
        <w:overflowPunct/>
        <w:topLinePunct w:val="0"/>
        <w:autoSpaceDE w:val="0"/>
        <w:autoSpaceDN w:val="0"/>
        <w:bidi w:val="0"/>
        <w:adjustRightInd w:val="0"/>
        <w:spacing w:line="360" w:lineRule="auto"/>
        <w:rPr>
          <w:rFonts w:ascii="Arial"/>
          <w:sz w:val="21"/>
        </w:rPr>
      </w:pPr>
    </w:p>
    <w:p w14:paraId="743626D2">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0DDCB220">
      <w:pPr>
        <w:keepLines w:val="0"/>
        <w:pageBreakBefore w:val="0"/>
        <w:wordWrap/>
        <w:overflowPunct/>
        <w:topLinePunct w:val="0"/>
        <w:autoSpaceDE w:val="0"/>
        <w:autoSpaceDN w:val="0"/>
        <w:bidi w:val="0"/>
        <w:adjustRightInd w:val="0"/>
        <w:spacing w:before="91" w:line="360" w:lineRule="auto"/>
        <w:ind w:left="585" w:firstLine="564" w:firstLineChars="200"/>
        <w:rPr>
          <w:rFonts w:ascii="宋体" w:hAnsi="宋体" w:eastAsia="宋体" w:cs="宋体"/>
          <w:spacing w:val="1"/>
          <w:sz w:val="28"/>
          <w:szCs w:val="28"/>
        </w:rPr>
      </w:pPr>
      <w:r>
        <w:rPr>
          <w:rFonts w:ascii="宋体" w:hAnsi="宋体" w:eastAsia="宋体" w:cs="宋体"/>
          <w:spacing w:val="1"/>
          <w:sz w:val="28"/>
          <w:szCs w:val="28"/>
        </w:rPr>
        <w:t>合同编号</w:t>
      </w:r>
      <w:r>
        <w:rPr>
          <w:rFonts w:ascii="宋体" w:hAnsi="宋体" w:eastAsia="宋体" w:cs="宋体"/>
          <w:spacing w:val="-9"/>
          <w:sz w:val="28"/>
          <w:szCs w:val="28"/>
        </w:rPr>
        <w:t>：</w:t>
      </w:r>
      <w:r>
        <w:rPr>
          <w:rFonts w:ascii="宋体" w:hAnsi="宋体" w:eastAsia="宋体" w:cs="宋体"/>
          <w:spacing w:val="1"/>
          <w:sz w:val="28"/>
          <w:szCs w:val="28"/>
        </w:rPr>
        <w:t>｛（系统生成，不可编辑）XX｝</w:t>
      </w:r>
    </w:p>
    <w:p w14:paraId="30F7A11C">
      <w:pPr>
        <w:keepLines w:val="0"/>
        <w:pageBreakBefore w:val="0"/>
        <w:wordWrap/>
        <w:overflowPunct/>
        <w:topLinePunct w:val="0"/>
        <w:autoSpaceDE w:val="0"/>
        <w:autoSpaceDN w:val="0"/>
        <w:bidi w:val="0"/>
        <w:adjustRightInd w:val="0"/>
        <w:spacing w:before="91" w:line="360" w:lineRule="auto"/>
        <w:ind w:left="585" w:firstLine="564" w:firstLineChars="200"/>
        <w:rPr>
          <w:rFonts w:ascii="宋体" w:hAnsi="宋体" w:eastAsia="宋体" w:cs="宋体"/>
          <w:spacing w:val="1"/>
          <w:sz w:val="28"/>
          <w:szCs w:val="28"/>
        </w:rPr>
      </w:pPr>
      <w:r>
        <w:rPr>
          <w:rFonts w:ascii="宋体" w:hAnsi="宋体" w:eastAsia="宋体" w:cs="宋体"/>
          <w:spacing w:val="1"/>
          <w:sz w:val="28"/>
          <w:szCs w:val="28"/>
        </w:rPr>
        <w:t>采购人（甲方）：｛（继承信息，不可编辑）采购单位名称｝</w:t>
      </w:r>
    </w:p>
    <w:p w14:paraId="57EC1DC1">
      <w:pPr>
        <w:keepLines w:val="0"/>
        <w:pageBreakBefore w:val="0"/>
        <w:wordWrap/>
        <w:overflowPunct/>
        <w:topLinePunct w:val="0"/>
        <w:autoSpaceDE w:val="0"/>
        <w:autoSpaceDN w:val="0"/>
        <w:bidi w:val="0"/>
        <w:adjustRightInd w:val="0"/>
        <w:spacing w:before="91" w:line="360" w:lineRule="auto"/>
        <w:ind w:left="585" w:firstLine="564" w:firstLineChars="200"/>
        <w:rPr>
          <w:rFonts w:ascii="宋体" w:hAnsi="宋体" w:eastAsia="宋体" w:cs="宋体"/>
          <w:spacing w:val="1"/>
          <w:sz w:val="28"/>
          <w:szCs w:val="28"/>
        </w:rPr>
      </w:pPr>
      <w:r>
        <w:rPr>
          <w:rFonts w:ascii="宋体" w:hAnsi="宋体" w:eastAsia="宋体" w:cs="宋体"/>
          <w:spacing w:val="1"/>
          <w:sz w:val="28"/>
          <w:szCs w:val="28"/>
        </w:rPr>
        <w:t>供应商（乙方）：｛（继承信息，不可编辑）供应商名称｝</w:t>
      </w:r>
    </w:p>
    <w:p w14:paraId="3601E14A">
      <w:pPr>
        <w:keepLines w:val="0"/>
        <w:pageBreakBefore w:val="0"/>
        <w:wordWrap/>
        <w:overflowPunct/>
        <w:topLinePunct w:val="0"/>
        <w:autoSpaceDE w:val="0"/>
        <w:autoSpaceDN w:val="0"/>
        <w:bidi w:val="0"/>
        <w:adjustRightInd w:val="0"/>
        <w:spacing w:before="91" w:line="360" w:lineRule="auto"/>
        <w:ind w:left="585" w:firstLine="564" w:firstLineChars="200"/>
        <w:rPr>
          <w:rFonts w:ascii="宋体" w:hAnsi="宋体" w:eastAsia="宋体" w:cs="宋体"/>
          <w:spacing w:val="1"/>
          <w:sz w:val="28"/>
          <w:szCs w:val="28"/>
        </w:rPr>
      </w:pPr>
      <w:r>
        <w:rPr>
          <w:rFonts w:ascii="宋体" w:hAnsi="宋体" w:eastAsia="宋体" w:cs="宋体"/>
          <w:spacing w:val="1"/>
          <w:sz w:val="28"/>
          <w:szCs w:val="28"/>
        </w:rPr>
        <w:t xml:space="preserve">签订地点：     {（自行编辑）XX}                </w:t>
      </w:r>
    </w:p>
    <w:p w14:paraId="6A0583AE">
      <w:pPr>
        <w:keepLines w:val="0"/>
        <w:pageBreakBefore w:val="0"/>
        <w:wordWrap/>
        <w:overflowPunct/>
        <w:topLinePunct w:val="0"/>
        <w:autoSpaceDE w:val="0"/>
        <w:autoSpaceDN w:val="0"/>
        <w:bidi w:val="0"/>
        <w:adjustRightInd w:val="0"/>
        <w:spacing w:before="91" w:line="360" w:lineRule="auto"/>
        <w:ind w:left="585" w:firstLine="564" w:firstLineChars="200"/>
        <w:rPr>
          <w:rFonts w:ascii="宋体" w:hAnsi="宋体" w:eastAsia="宋体" w:cs="宋体"/>
          <w:spacing w:val="1"/>
          <w:sz w:val="28"/>
          <w:szCs w:val="28"/>
        </w:rPr>
      </w:pPr>
      <w:r>
        <w:rPr>
          <w:rFonts w:ascii="宋体" w:hAnsi="宋体" w:eastAsia="宋体" w:cs="宋体"/>
          <w:spacing w:val="1"/>
          <w:sz w:val="28"/>
          <w:szCs w:val="28"/>
        </w:rPr>
        <w:t>签订时间： {取值供应商签章时间，不可编辑}</w:t>
      </w:r>
    </w:p>
    <w:p w14:paraId="25114D5F">
      <w:pPr>
        <w:keepLines w:val="0"/>
        <w:pageBreakBefore w:val="0"/>
        <w:wordWrap/>
        <w:overflowPunct/>
        <w:topLinePunct w:val="0"/>
        <w:autoSpaceDE w:val="0"/>
        <w:autoSpaceDN w:val="0"/>
        <w:bidi w:val="0"/>
        <w:adjustRightInd w:val="0"/>
        <w:spacing w:before="91" w:line="360" w:lineRule="auto"/>
        <w:ind w:left="585" w:firstLine="564" w:firstLineChars="200"/>
        <w:rPr>
          <w:rFonts w:ascii="宋体" w:hAnsi="宋体" w:eastAsia="宋体" w:cs="宋体"/>
          <w:spacing w:val="1"/>
          <w:sz w:val="28"/>
          <w:szCs w:val="28"/>
        </w:rPr>
      </w:pPr>
    </w:p>
    <w:p w14:paraId="7E6233C0">
      <w:pPr>
        <w:keepLines w:val="0"/>
        <w:pageBreakBefore w:val="0"/>
        <w:wordWrap/>
        <w:overflowPunct/>
        <w:topLinePunct w:val="0"/>
        <w:autoSpaceDE w:val="0"/>
        <w:autoSpaceDN w:val="0"/>
        <w:bidi w:val="0"/>
        <w:adjustRightInd w:val="0"/>
        <w:spacing w:before="91" w:line="360" w:lineRule="auto"/>
        <w:ind w:left="585" w:firstLine="564" w:firstLineChars="200"/>
        <w:rPr>
          <w:rFonts w:ascii="宋体" w:hAnsi="宋体" w:eastAsia="宋体" w:cs="宋体"/>
          <w:spacing w:val="1"/>
          <w:sz w:val="28"/>
          <w:szCs w:val="28"/>
        </w:rPr>
        <w:sectPr>
          <w:headerReference r:id="rId5" w:type="default"/>
          <w:footerReference r:id="rId6" w:type="default"/>
          <w:pgSz w:w="11906" w:h="16839"/>
          <w:pgMar w:top="400" w:right="1081" w:bottom="1610" w:left="1365" w:header="0" w:footer="1246" w:gutter="0"/>
          <w:cols w:space="720" w:num="1"/>
        </w:sectPr>
      </w:pPr>
    </w:p>
    <w:p w14:paraId="23062B0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根据《中华人民共和国民法典》《中华人民共和国政府采购法》等法律法规，以及本采购项目的采购文件、乙方的《投标（响应）文件》及《中标（成交）通知书》，甲乙双方同意签订本合同，共同遵守如下条款：</w:t>
      </w:r>
    </w:p>
    <w:p w14:paraId="2E503CC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b/>
          <w:bCs/>
          <w:sz w:val="24"/>
          <w:szCs w:val="24"/>
        </w:rPr>
        <w:t>一、项目信息</w:t>
      </w:r>
    </w:p>
    <w:p w14:paraId="40A9902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1.1.采购项目名称：｛（继承信息，不可编辑）XX｝</w:t>
      </w:r>
    </w:p>
    <w:p w14:paraId="09340C1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1.2.采购项目编号：｛（继承信息，不可编辑）XX｝</w:t>
      </w:r>
    </w:p>
    <w:p w14:paraId="09F7CB6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1.3.采购计划编号：｛（继承信息，不可编辑）XX｝</w:t>
      </w:r>
    </w:p>
    <w:p w14:paraId="34DC7AC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1.4.政府采购组织形式：｛（继承信息，不可编辑）XX｝</w:t>
      </w:r>
    </w:p>
    <w:p w14:paraId="1D6897C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1.5.政府采购方式：｛（继承信息，不可编辑）XX｝</w:t>
      </w:r>
    </w:p>
    <w:p w14:paraId="657EE00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1.6.落实政府采购政策情况：</w:t>
      </w:r>
    </w:p>
    <w:p w14:paraId="334373A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1.6.1.中标（成交）采购标的制造商是否为中小企业：｛（预设内容，可选择）是/否｝</w:t>
      </w:r>
    </w:p>
    <w:p w14:paraId="4CDE3CF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1.6.2.本合同是否为专门面向中小企业的采购合同（中小企业预留合同）：｛（继承信息，不可编辑）是/否｝</w:t>
      </w:r>
    </w:p>
    <w:p w14:paraId="115906A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1.6.3.若本项目不专门面向中小企业采购，是否给予小微企业评审优惠：｛（继承信息，不可编辑）是/否｝</w:t>
      </w:r>
    </w:p>
    <w:p w14:paraId="78405F7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1.6.4.中标（成交）采购标的制造商是否为残疾人福利性单位：｛（预设内容，可选择）是/否｝</w:t>
      </w:r>
    </w:p>
    <w:p w14:paraId="4F68A6B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eastAsia="宋体"/>
          <w:sz w:val="24"/>
          <w:szCs w:val="24"/>
          <w:lang w:val="en-US" w:eastAsia="zh-CN"/>
        </w:rPr>
      </w:pPr>
      <w:r>
        <w:rPr>
          <w:sz w:val="24"/>
          <w:szCs w:val="24"/>
        </w:rPr>
        <w:t>1.6.5.中标（成交）采购标的制造商是否为监狱企业：｛（预设内容，可</w:t>
      </w:r>
      <w:r>
        <w:rPr>
          <w:rFonts w:hint="eastAsia" w:eastAsia="宋体"/>
          <w:sz w:val="24"/>
          <w:szCs w:val="24"/>
          <w:lang w:val="en-US" w:eastAsia="zh-CN"/>
        </w:rPr>
        <w:t>选择）</w:t>
      </w:r>
      <w:r>
        <w:rPr>
          <w:sz w:val="24"/>
          <w:szCs w:val="24"/>
        </w:rPr>
        <w:t>是/否｝</w:t>
      </w:r>
    </w:p>
    <w:p w14:paraId="7B67172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1.7.中标（成交）供应商是否为外商投资企业：｛（预设内容，可选择）是/否｝</w:t>
      </w:r>
    </w:p>
    <w:p w14:paraId="74E20A09">
      <w:pPr>
        <w:keepNext w:val="0"/>
        <w:keepLines w:val="0"/>
        <w:pageBreakBefore w:val="0"/>
        <w:widowControl/>
        <w:kinsoku w:val="0"/>
        <w:wordWrap/>
        <w:overflowPunct/>
        <w:topLinePunct w:val="0"/>
        <w:autoSpaceDE w:val="0"/>
        <w:autoSpaceDN w:val="0"/>
        <w:bidi w:val="0"/>
        <w:adjustRightInd w:val="0"/>
        <w:snapToGrid w:val="0"/>
        <w:spacing w:line="360" w:lineRule="auto"/>
        <w:ind w:firstLine="472" w:firstLineChars="200"/>
        <w:textAlignment w:val="baseline"/>
        <w:rPr>
          <w:rFonts w:ascii="宋体" w:hAnsi="宋体" w:eastAsia="宋体" w:cs="宋体"/>
          <w:sz w:val="24"/>
          <w:szCs w:val="24"/>
        </w:rPr>
      </w:pPr>
      <w:r>
        <w:rPr>
          <w:rFonts w:ascii="宋体" w:hAnsi="宋体" w:eastAsia="宋体" w:cs="宋体"/>
          <w:spacing w:val="-2"/>
          <w:sz w:val="24"/>
          <w:szCs w:val="24"/>
        </w:rPr>
        <w:t>（外商投资企业选择【是】才显示并可选择）</w:t>
      </w:r>
    </w:p>
    <w:p w14:paraId="0130D48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本项目外商投资企业类型为｛（预设内容，可选择）全部由外国投资者投资/部分由外国投资者投资｝。</w:t>
      </w:r>
    </w:p>
    <w:p w14:paraId="456CED0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sectPr>
          <w:footerReference r:id="rId7" w:type="default"/>
          <w:pgSz w:w="11906" w:h="16839"/>
          <w:pgMar w:top="400" w:right="661" w:bottom="1610" w:left="945" w:header="0" w:footer="1246" w:gutter="0"/>
          <w:cols w:space="720" w:num="1"/>
        </w:sectPr>
      </w:pPr>
      <w:r>
        <w:rPr>
          <w:sz w:val="24"/>
          <w:szCs w:val="24"/>
        </w:rPr>
        <w:t>1.8.项目内容：</w:t>
      </w:r>
    </w:p>
    <w:tbl>
      <w:tblPr>
        <w:tblStyle w:val="9"/>
        <w:tblW w:w="4904"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47"/>
        <w:gridCol w:w="1275"/>
        <w:gridCol w:w="1478"/>
        <w:gridCol w:w="1202"/>
        <w:gridCol w:w="1289"/>
        <w:gridCol w:w="1187"/>
        <w:gridCol w:w="1510"/>
        <w:gridCol w:w="1522"/>
      </w:tblGrid>
      <w:tr w14:paraId="179720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320" w:type="pct"/>
            <w:vAlign w:val="top"/>
          </w:tcPr>
          <w:p w14:paraId="2086BC0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序号</w:t>
            </w:r>
          </w:p>
        </w:tc>
        <w:tc>
          <w:tcPr>
            <w:tcW w:w="630" w:type="pct"/>
            <w:vAlign w:val="top"/>
          </w:tcPr>
          <w:p w14:paraId="443FC2FD">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标的名称</w:t>
            </w:r>
          </w:p>
        </w:tc>
        <w:tc>
          <w:tcPr>
            <w:tcW w:w="730" w:type="pct"/>
            <w:vAlign w:val="top"/>
          </w:tcPr>
          <w:p w14:paraId="3CD5EA2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单价</w:t>
            </w:r>
          </w:p>
        </w:tc>
        <w:tc>
          <w:tcPr>
            <w:tcW w:w="594" w:type="pct"/>
            <w:vAlign w:val="top"/>
          </w:tcPr>
          <w:p w14:paraId="7CA78CC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数量</w:t>
            </w:r>
          </w:p>
        </w:tc>
        <w:tc>
          <w:tcPr>
            <w:tcW w:w="637" w:type="pct"/>
            <w:vAlign w:val="top"/>
          </w:tcPr>
          <w:p w14:paraId="3BDBB59D">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金额</w:t>
            </w:r>
          </w:p>
        </w:tc>
        <w:tc>
          <w:tcPr>
            <w:tcW w:w="586" w:type="pct"/>
            <w:vAlign w:val="top"/>
          </w:tcPr>
          <w:p w14:paraId="3CE70ECB">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计量单位</w:t>
            </w:r>
          </w:p>
        </w:tc>
        <w:tc>
          <w:tcPr>
            <w:tcW w:w="746" w:type="pct"/>
            <w:vAlign w:val="top"/>
          </w:tcPr>
          <w:p w14:paraId="1B50C67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品牌</w:t>
            </w:r>
          </w:p>
        </w:tc>
        <w:tc>
          <w:tcPr>
            <w:tcW w:w="752" w:type="pct"/>
            <w:vAlign w:val="top"/>
          </w:tcPr>
          <w:p w14:paraId="4B1FD33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规格型号</w:t>
            </w:r>
          </w:p>
        </w:tc>
      </w:tr>
      <w:tr w14:paraId="5C2E6D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4" w:hRule="atLeast"/>
        </w:trPr>
        <w:tc>
          <w:tcPr>
            <w:tcW w:w="320" w:type="pct"/>
            <w:vAlign w:val="top"/>
          </w:tcPr>
          <w:p w14:paraId="0832639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eastAsia="宋体"/>
                <w:sz w:val="24"/>
                <w:szCs w:val="24"/>
                <w:lang w:val="en-US" w:eastAsia="zh-CN"/>
              </w:rPr>
            </w:pPr>
            <w:r>
              <w:rPr>
                <w:rFonts w:hint="eastAsia" w:ascii="宋体" w:hAnsi="宋体" w:eastAsia="宋体" w:cs="宋体"/>
                <w:spacing w:val="-20"/>
                <w:sz w:val="24"/>
                <w:szCs w:val="24"/>
                <w:lang w:val="en-US" w:eastAsia="zh-CN"/>
              </w:rPr>
              <w:t>1</w:t>
            </w:r>
          </w:p>
        </w:tc>
        <w:tc>
          <w:tcPr>
            <w:tcW w:w="630" w:type="pct"/>
            <w:vAlign w:val="top"/>
          </w:tcPr>
          <w:p w14:paraId="7706360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rFonts w:ascii="宋体" w:hAnsi="宋体" w:eastAsia="宋体" w:cs="宋体"/>
                <w:spacing w:val="-20"/>
                <w:sz w:val="24"/>
                <w:szCs w:val="24"/>
              </w:rPr>
              <w:t>{（继承信息，不可编辑）XX}</w:t>
            </w:r>
          </w:p>
        </w:tc>
        <w:tc>
          <w:tcPr>
            <w:tcW w:w="730" w:type="pct"/>
            <w:vAlign w:val="top"/>
          </w:tcPr>
          <w:p w14:paraId="59BE308C">
            <w:pPr>
              <w:spacing w:before="149" w:line="228" w:lineRule="auto"/>
              <w:ind w:left="64"/>
              <w:rPr>
                <w:sz w:val="24"/>
                <w:szCs w:val="24"/>
              </w:rPr>
            </w:pPr>
            <w:r>
              <w:rPr>
                <w:rFonts w:ascii="宋体" w:hAnsi="宋体" w:eastAsia="宋体" w:cs="宋体"/>
                <w:spacing w:val="-20"/>
                <w:sz w:val="24"/>
                <w:szCs w:val="24"/>
              </w:rPr>
              <w:t>{（继承信</w:t>
            </w:r>
            <w:r>
              <w:rPr>
                <w:rFonts w:ascii="宋体" w:hAnsi="宋体" w:eastAsia="宋体" w:cs="宋体"/>
                <w:spacing w:val="7"/>
                <w:sz w:val="24"/>
                <w:szCs w:val="24"/>
              </w:rPr>
              <w:t>息，可编</w:t>
            </w:r>
            <w:r>
              <w:rPr>
                <w:rFonts w:ascii="宋体" w:hAnsi="宋体" w:eastAsia="宋体" w:cs="宋体"/>
                <w:spacing w:val="9"/>
                <w:sz w:val="24"/>
                <w:szCs w:val="24"/>
              </w:rPr>
              <w:t>辑）</w:t>
            </w:r>
            <w:r>
              <w:rPr>
                <w:rFonts w:ascii="宋体" w:hAnsi="宋体" w:eastAsia="宋体" w:cs="宋体"/>
                <w:sz w:val="24"/>
                <w:szCs w:val="24"/>
              </w:rPr>
              <w:t>XX</w:t>
            </w:r>
            <w:r>
              <w:rPr>
                <w:rFonts w:ascii="宋体" w:hAnsi="宋体" w:eastAsia="宋体" w:cs="宋体"/>
                <w:spacing w:val="9"/>
                <w:sz w:val="24"/>
                <w:szCs w:val="24"/>
              </w:rPr>
              <w:t>}</w:t>
            </w:r>
          </w:p>
        </w:tc>
        <w:tc>
          <w:tcPr>
            <w:tcW w:w="594" w:type="pct"/>
            <w:vAlign w:val="top"/>
          </w:tcPr>
          <w:p w14:paraId="7BFCA71E">
            <w:pPr>
              <w:spacing w:before="149" w:line="228" w:lineRule="auto"/>
              <w:rPr>
                <w:sz w:val="24"/>
                <w:szCs w:val="24"/>
              </w:rPr>
            </w:pPr>
            <w:r>
              <w:rPr>
                <w:rFonts w:ascii="宋体" w:hAnsi="宋体" w:eastAsia="宋体" w:cs="宋体"/>
                <w:spacing w:val="-19"/>
                <w:sz w:val="24"/>
                <w:szCs w:val="24"/>
              </w:rPr>
              <w:t>{（继承信</w:t>
            </w:r>
            <w:r>
              <w:rPr>
                <w:rFonts w:ascii="宋体" w:hAnsi="宋体" w:eastAsia="宋体" w:cs="宋体"/>
                <w:spacing w:val="7"/>
                <w:sz w:val="24"/>
                <w:szCs w:val="24"/>
              </w:rPr>
              <w:t>息，可编</w:t>
            </w:r>
            <w:r>
              <w:rPr>
                <w:rFonts w:ascii="宋体" w:hAnsi="宋体" w:eastAsia="宋体" w:cs="宋体"/>
                <w:spacing w:val="9"/>
                <w:sz w:val="24"/>
                <w:szCs w:val="24"/>
              </w:rPr>
              <w:t>辑）</w:t>
            </w:r>
            <w:r>
              <w:rPr>
                <w:rFonts w:ascii="宋体" w:hAnsi="宋体" w:eastAsia="宋体" w:cs="宋体"/>
                <w:sz w:val="24"/>
                <w:szCs w:val="24"/>
              </w:rPr>
              <w:t>XX</w:t>
            </w:r>
            <w:r>
              <w:rPr>
                <w:rFonts w:ascii="宋体" w:hAnsi="宋体" w:eastAsia="宋体" w:cs="宋体"/>
                <w:spacing w:val="9"/>
                <w:sz w:val="24"/>
                <w:szCs w:val="24"/>
              </w:rPr>
              <w:t>}</w:t>
            </w:r>
          </w:p>
        </w:tc>
        <w:tc>
          <w:tcPr>
            <w:tcW w:w="637" w:type="pct"/>
            <w:vAlign w:val="top"/>
          </w:tcPr>
          <w:p w14:paraId="4236887D">
            <w:pPr>
              <w:spacing w:before="149" w:line="228" w:lineRule="auto"/>
              <w:rPr>
                <w:sz w:val="24"/>
                <w:szCs w:val="24"/>
              </w:rPr>
            </w:pPr>
            <w:r>
              <w:rPr>
                <w:rFonts w:ascii="宋体" w:hAnsi="宋体" w:eastAsia="宋体" w:cs="宋体"/>
                <w:spacing w:val="-20"/>
                <w:sz w:val="24"/>
                <w:szCs w:val="24"/>
              </w:rPr>
              <w:t>{（继承信</w:t>
            </w:r>
            <w:r>
              <w:rPr>
                <w:rFonts w:ascii="宋体" w:hAnsi="宋体" w:eastAsia="宋体" w:cs="宋体"/>
                <w:spacing w:val="7"/>
                <w:sz w:val="24"/>
                <w:szCs w:val="24"/>
              </w:rPr>
              <w:t>息，可编</w:t>
            </w:r>
            <w:r>
              <w:rPr>
                <w:rFonts w:ascii="宋体" w:hAnsi="宋体" w:eastAsia="宋体" w:cs="宋体"/>
                <w:spacing w:val="9"/>
                <w:sz w:val="24"/>
                <w:szCs w:val="24"/>
              </w:rPr>
              <w:t>辑）</w:t>
            </w:r>
            <w:r>
              <w:rPr>
                <w:rFonts w:ascii="宋体" w:hAnsi="宋体" w:eastAsia="宋体" w:cs="宋体"/>
                <w:sz w:val="24"/>
                <w:szCs w:val="24"/>
              </w:rPr>
              <w:t>XX</w:t>
            </w:r>
            <w:r>
              <w:rPr>
                <w:rFonts w:ascii="宋体" w:hAnsi="宋体" w:eastAsia="宋体" w:cs="宋体"/>
                <w:spacing w:val="9"/>
                <w:sz w:val="24"/>
                <w:szCs w:val="24"/>
              </w:rPr>
              <w:t>}</w:t>
            </w:r>
          </w:p>
        </w:tc>
        <w:tc>
          <w:tcPr>
            <w:tcW w:w="586" w:type="pct"/>
            <w:vAlign w:val="top"/>
          </w:tcPr>
          <w:p w14:paraId="782F777C">
            <w:pPr>
              <w:spacing w:before="149" w:line="228" w:lineRule="auto"/>
              <w:rPr>
                <w:sz w:val="24"/>
                <w:szCs w:val="24"/>
              </w:rPr>
            </w:pPr>
            <w:r>
              <w:rPr>
                <w:rFonts w:ascii="宋体" w:hAnsi="宋体" w:eastAsia="宋体" w:cs="宋体"/>
                <w:spacing w:val="-20"/>
                <w:sz w:val="24"/>
                <w:szCs w:val="24"/>
              </w:rPr>
              <w:t>{（继承信</w:t>
            </w:r>
            <w:r>
              <w:rPr>
                <w:rFonts w:ascii="宋体" w:hAnsi="宋体" w:eastAsia="宋体" w:cs="宋体"/>
                <w:spacing w:val="7"/>
                <w:sz w:val="24"/>
                <w:szCs w:val="24"/>
              </w:rPr>
              <w:t>息，可编</w:t>
            </w:r>
            <w:r>
              <w:rPr>
                <w:rFonts w:ascii="宋体" w:hAnsi="宋体" w:eastAsia="宋体" w:cs="宋体"/>
                <w:spacing w:val="9"/>
                <w:sz w:val="24"/>
                <w:szCs w:val="24"/>
              </w:rPr>
              <w:t>辑）</w:t>
            </w:r>
            <w:r>
              <w:rPr>
                <w:rFonts w:ascii="宋体" w:hAnsi="宋体" w:eastAsia="宋体" w:cs="宋体"/>
                <w:sz w:val="24"/>
                <w:szCs w:val="24"/>
              </w:rPr>
              <w:t>XX</w:t>
            </w:r>
            <w:r>
              <w:rPr>
                <w:rFonts w:ascii="宋体" w:hAnsi="宋体" w:eastAsia="宋体" w:cs="宋体"/>
                <w:spacing w:val="9"/>
                <w:sz w:val="24"/>
                <w:szCs w:val="24"/>
              </w:rPr>
              <w:t>}</w:t>
            </w:r>
          </w:p>
        </w:tc>
        <w:tc>
          <w:tcPr>
            <w:tcW w:w="746" w:type="pct"/>
            <w:vAlign w:val="top"/>
          </w:tcPr>
          <w:p w14:paraId="2BDC34D3">
            <w:pPr>
              <w:spacing w:before="149" w:line="228" w:lineRule="auto"/>
              <w:rPr>
                <w:sz w:val="24"/>
                <w:szCs w:val="24"/>
              </w:rPr>
            </w:pPr>
            <w:r>
              <w:rPr>
                <w:rFonts w:ascii="宋体" w:hAnsi="宋体" w:eastAsia="宋体" w:cs="宋体"/>
                <w:spacing w:val="-20"/>
                <w:sz w:val="24"/>
                <w:szCs w:val="24"/>
              </w:rPr>
              <w:t>{（继承信</w:t>
            </w:r>
            <w:r>
              <w:rPr>
                <w:rFonts w:ascii="宋体" w:hAnsi="宋体" w:eastAsia="宋体" w:cs="宋体"/>
                <w:spacing w:val="7"/>
                <w:sz w:val="24"/>
                <w:szCs w:val="24"/>
              </w:rPr>
              <w:t>息，可编</w:t>
            </w:r>
            <w:r>
              <w:rPr>
                <w:rFonts w:ascii="宋体" w:hAnsi="宋体" w:eastAsia="宋体" w:cs="宋体"/>
                <w:spacing w:val="9"/>
                <w:sz w:val="24"/>
                <w:szCs w:val="24"/>
              </w:rPr>
              <w:t>辑）</w:t>
            </w:r>
            <w:r>
              <w:rPr>
                <w:rFonts w:ascii="宋体" w:hAnsi="宋体" w:eastAsia="宋体" w:cs="宋体"/>
                <w:sz w:val="24"/>
                <w:szCs w:val="24"/>
              </w:rPr>
              <w:t>XX</w:t>
            </w:r>
            <w:r>
              <w:rPr>
                <w:rFonts w:ascii="宋体" w:hAnsi="宋体" w:eastAsia="宋体" w:cs="宋体"/>
                <w:spacing w:val="9"/>
                <w:sz w:val="24"/>
                <w:szCs w:val="24"/>
              </w:rPr>
              <w:t>}</w:t>
            </w:r>
          </w:p>
        </w:tc>
        <w:tc>
          <w:tcPr>
            <w:tcW w:w="752" w:type="pct"/>
            <w:vAlign w:val="top"/>
          </w:tcPr>
          <w:p w14:paraId="1835DFA7">
            <w:pPr>
              <w:spacing w:before="149" w:line="228" w:lineRule="auto"/>
              <w:rPr>
                <w:sz w:val="24"/>
                <w:szCs w:val="24"/>
              </w:rPr>
            </w:pPr>
            <w:r>
              <w:rPr>
                <w:rFonts w:ascii="宋体" w:hAnsi="宋体" w:eastAsia="宋体" w:cs="宋体"/>
                <w:spacing w:val="-19"/>
                <w:sz w:val="24"/>
                <w:szCs w:val="24"/>
              </w:rPr>
              <w:t>{（继承信</w:t>
            </w:r>
            <w:r>
              <w:rPr>
                <w:rFonts w:ascii="宋体" w:hAnsi="宋体" w:eastAsia="宋体" w:cs="宋体"/>
                <w:spacing w:val="7"/>
                <w:sz w:val="24"/>
                <w:szCs w:val="24"/>
              </w:rPr>
              <w:t>息，可编</w:t>
            </w:r>
            <w:r>
              <w:rPr>
                <w:rFonts w:ascii="宋体" w:hAnsi="宋体" w:eastAsia="宋体" w:cs="宋体"/>
                <w:spacing w:val="9"/>
                <w:sz w:val="24"/>
                <w:szCs w:val="24"/>
              </w:rPr>
              <w:t>辑）</w:t>
            </w:r>
            <w:r>
              <w:rPr>
                <w:rFonts w:ascii="宋体" w:hAnsi="宋体" w:eastAsia="宋体" w:cs="宋体"/>
                <w:sz w:val="24"/>
                <w:szCs w:val="24"/>
              </w:rPr>
              <w:t>XX</w:t>
            </w:r>
            <w:r>
              <w:rPr>
                <w:rFonts w:ascii="宋体" w:hAnsi="宋体" w:eastAsia="宋体" w:cs="宋体"/>
                <w:spacing w:val="9"/>
                <w:sz w:val="24"/>
                <w:szCs w:val="24"/>
              </w:rPr>
              <w:t>}</w:t>
            </w:r>
          </w:p>
        </w:tc>
      </w:tr>
    </w:tbl>
    <w:p w14:paraId="352CBA23">
      <w:pPr>
        <w:spacing w:before="171" w:line="219" w:lineRule="auto"/>
        <w:jc w:val="both"/>
        <w:rPr>
          <w:sz w:val="24"/>
          <w:szCs w:val="24"/>
        </w:rPr>
        <w:sectPr>
          <w:type w:val="continuous"/>
          <w:pgSz w:w="11906" w:h="16839"/>
          <w:pgMar w:top="400" w:right="661" w:bottom="1610" w:left="945" w:header="0" w:footer="1246" w:gutter="0"/>
          <w:cols w:space="720" w:num="1"/>
        </w:sectPr>
      </w:pPr>
      <w:r>
        <w:rPr>
          <w:rFonts w:ascii="宋体" w:hAnsi="宋体" w:eastAsia="宋体" w:cs="宋体"/>
          <w:spacing w:val="-4"/>
          <w:sz w:val="24"/>
          <w:szCs w:val="24"/>
        </w:rPr>
        <w:t>（涉及信息类产品选择【是】才可编辑并展示，选择【否】整个</w:t>
      </w:r>
      <w:r>
        <w:rPr>
          <w:rFonts w:hint="eastAsia" w:ascii="宋体" w:hAnsi="宋体" w:eastAsia="宋体" w:cs="宋体"/>
          <w:spacing w:val="-4"/>
          <w:sz w:val="24"/>
          <w:szCs w:val="24"/>
        </w:rPr>
        <w:t>模块不展示）</w:t>
      </w:r>
    </w:p>
    <w:p w14:paraId="5AD2415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涉及信息类产品：</w:t>
      </w:r>
    </w:p>
    <w:tbl>
      <w:tblPr>
        <w:tblStyle w:val="9"/>
        <w:tblW w:w="1004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3"/>
        <w:gridCol w:w="2141"/>
        <w:gridCol w:w="2427"/>
        <w:gridCol w:w="2155"/>
        <w:gridCol w:w="2589"/>
      </w:tblGrid>
      <w:tr w14:paraId="632729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1" w:hRule="atLeast"/>
        </w:trPr>
        <w:tc>
          <w:tcPr>
            <w:tcW w:w="733" w:type="dxa"/>
            <w:vAlign w:val="top"/>
          </w:tcPr>
          <w:p w14:paraId="77C3405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序号</w:t>
            </w:r>
          </w:p>
        </w:tc>
        <w:tc>
          <w:tcPr>
            <w:tcW w:w="2141" w:type="dxa"/>
            <w:vAlign w:val="top"/>
          </w:tcPr>
          <w:p w14:paraId="0BC2D03D">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标的名称</w:t>
            </w:r>
          </w:p>
        </w:tc>
        <w:tc>
          <w:tcPr>
            <w:tcW w:w="2427" w:type="dxa"/>
            <w:vAlign w:val="top"/>
          </w:tcPr>
          <w:p w14:paraId="320EE96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关键部件</w:t>
            </w:r>
          </w:p>
        </w:tc>
        <w:tc>
          <w:tcPr>
            <w:tcW w:w="2155" w:type="dxa"/>
            <w:vAlign w:val="top"/>
          </w:tcPr>
          <w:p w14:paraId="7280B880">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品牌</w:t>
            </w:r>
          </w:p>
        </w:tc>
        <w:tc>
          <w:tcPr>
            <w:tcW w:w="2589" w:type="dxa"/>
            <w:vAlign w:val="top"/>
          </w:tcPr>
          <w:p w14:paraId="2E21A9A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型号</w:t>
            </w:r>
          </w:p>
        </w:tc>
      </w:tr>
      <w:tr w14:paraId="2B1646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0" w:hRule="atLeast"/>
        </w:trPr>
        <w:tc>
          <w:tcPr>
            <w:tcW w:w="733" w:type="dxa"/>
            <w:vAlign w:val="top"/>
          </w:tcPr>
          <w:p w14:paraId="797A31F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rFonts w:hint="eastAsia" w:ascii="宋体" w:hAnsi="宋体" w:eastAsia="宋体" w:cs="宋体"/>
                <w:spacing w:val="-20"/>
                <w:sz w:val="24"/>
                <w:szCs w:val="24"/>
                <w:lang w:val="en-US" w:eastAsia="zh-CN"/>
              </w:rPr>
              <w:t>1</w:t>
            </w:r>
          </w:p>
        </w:tc>
        <w:tc>
          <w:tcPr>
            <w:tcW w:w="2141" w:type="dxa"/>
            <w:vAlign w:val="top"/>
          </w:tcPr>
          <w:p w14:paraId="400B410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{（根据响应情况编辑）XX}</w:t>
            </w:r>
          </w:p>
        </w:tc>
        <w:tc>
          <w:tcPr>
            <w:tcW w:w="2427" w:type="dxa"/>
            <w:vAlign w:val="top"/>
          </w:tcPr>
          <w:p w14:paraId="505BA74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{（根据响应情况编辑）XX}</w:t>
            </w:r>
          </w:p>
        </w:tc>
        <w:tc>
          <w:tcPr>
            <w:tcW w:w="2155" w:type="dxa"/>
            <w:vAlign w:val="top"/>
          </w:tcPr>
          <w:p w14:paraId="430D4D2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{（根据响应情况编辑）XX}</w:t>
            </w:r>
          </w:p>
        </w:tc>
        <w:tc>
          <w:tcPr>
            <w:tcW w:w="2589" w:type="dxa"/>
            <w:vAlign w:val="top"/>
          </w:tcPr>
          <w:p w14:paraId="4494281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{（根据响应情况编辑）XX}</w:t>
            </w:r>
          </w:p>
        </w:tc>
      </w:tr>
    </w:tbl>
    <w:p w14:paraId="1803F68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eastAsia="宋体"/>
          <w:sz w:val="24"/>
          <w:szCs w:val="24"/>
          <w:lang w:val="en-US" w:eastAsia="zh-CN"/>
        </w:rPr>
      </w:pPr>
      <w:r>
        <w:rPr>
          <w:rFonts w:hint="eastAsia"/>
          <w:sz w:val="24"/>
          <w:szCs w:val="24"/>
        </w:rPr>
        <w:t>（注：关键部件是指财政部会同有关部门发布的政府采购需求标准规定的需要通过国家有关部门指定的测评机构开展的安全可靠</w:t>
      </w:r>
      <w:r>
        <w:rPr>
          <w:rFonts w:hint="eastAsia" w:eastAsia="宋体"/>
          <w:sz w:val="24"/>
          <w:szCs w:val="24"/>
          <w:lang w:val="en-US" w:eastAsia="zh-CN"/>
        </w:rPr>
        <w:t>测评的软硬件，如CPU芯片、操作系统、数据库等。）</w:t>
      </w:r>
    </w:p>
    <w:p w14:paraId="34DC415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（属于新能源汽车选择【是】才可编辑并展示，选择【否】整个模块不展示）</w:t>
      </w:r>
    </w:p>
    <w:p w14:paraId="7F947ED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涉及采购新能源汽车：</w:t>
      </w:r>
    </w:p>
    <w:tbl>
      <w:tblPr>
        <w:tblStyle w:val="9"/>
        <w:tblW w:w="1010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6"/>
        <w:gridCol w:w="3078"/>
        <w:gridCol w:w="3090"/>
        <w:gridCol w:w="3077"/>
      </w:tblGrid>
      <w:tr w14:paraId="6F675B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0" w:hRule="atLeast"/>
        </w:trPr>
        <w:tc>
          <w:tcPr>
            <w:tcW w:w="856" w:type="dxa"/>
            <w:vAlign w:val="top"/>
          </w:tcPr>
          <w:p w14:paraId="6692E3D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序号</w:t>
            </w:r>
          </w:p>
        </w:tc>
        <w:tc>
          <w:tcPr>
            <w:tcW w:w="3078" w:type="dxa"/>
            <w:vAlign w:val="top"/>
          </w:tcPr>
          <w:p w14:paraId="2AAF525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采购品目名称</w:t>
            </w:r>
          </w:p>
        </w:tc>
        <w:tc>
          <w:tcPr>
            <w:tcW w:w="3090" w:type="dxa"/>
            <w:vAlign w:val="top"/>
          </w:tcPr>
          <w:p w14:paraId="1072D26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数量</w:t>
            </w:r>
          </w:p>
        </w:tc>
        <w:tc>
          <w:tcPr>
            <w:tcW w:w="3077" w:type="dxa"/>
            <w:vAlign w:val="top"/>
          </w:tcPr>
          <w:p w14:paraId="3BD106D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金额</w:t>
            </w:r>
          </w:p>
        </w:tc>
      </w:tr>
      <w:tr w14:paraId="09CAD8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9" w:hRule="atLeast"/>
        </w:trPr>
        <w:tc>
          <w:tcPr>
            <w:tcW w:w="856" w:type="dxa"/>
            <w:vAlign w:val="top"/>
          </w:tcPr>
          <w:p w14:paraId="1CDDFDB1">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sz w:val="24"/>
                <w:szCs w:val="24"/>
              </w:rPr>
            </w:pPr>
            <w:r>
              <w:rPr>
                <w:rFonts w:hint="eastAsia" w:ascii="宋体" w:hAnsi="宋体" w:eastAsia="宋体" w:cs="宋体"/>
                <w:spacing w:val="-20"/>
                <w:sz w:val="24"/>
                <w:szCs w:val="24"/>
                <w:lang w:val="en-US" w:eastAsia="zh-CN"/>
              </w:rPr>
              <w:t>1</w:t>
            </w:r>
          </w:p>
        </w:tc>
        <w:tc>
          <w:tcPr>
            <w:tcW w:w="3078" w:type="dxa"/>
            <w:vAlign w:val="top"/>
          </w:tcPr>
          <w:p w14:paraId="4E4CCF5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{（根据响应情况编辑）XX}</w:t>
            </w:r>
          </w:p>
        </w:tc>
        <w:tc>
          <w:tcPr>
            <w:tcW w:w="3090" w:type="dxa"/>
            <w:vAlign w:val="top"/>
          </w:tcPr>
          <w:p w14:paraId="020F20A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{（根据响应情况编辑）XX}</w:t>
            </w:r>
          </w:p>
        </w:tc>
        <w:tc>
          <w:tcPr>
            <w:tcW w:w="3077" w:type="dxa"/>
            <w:vAlign w:val="top"/>
          </w:tcPr>
          <w:p w14:paraId="5F77F11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{（根据响应情况编辑）XX}</w:t>
            </w:r>
          </w:p>
        </w:tc>
      </w:tr>
    </w:tbl>
    <w:p w14:paraId="65D921E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（涉及合同分包选择【是】展示以下内容并可编辑，选择【否】不展示）</w:t>
      </w:r>
    </w:p>
    <w:p w14:paraId="5A6B70A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合同分包：</w:t>
      </w:r>
    </w:p>
    <w:tbl>
      <w:tblPr>
        <w:tblStyle w:val="9"/>
        <w:tblW w:w="1019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3"/>
        <w:gridCol w:w="1636"/>
        <w:gridCol w:w="1773"/>
        <w:gridCol w:w="2563"/>
        <w:gridCol w:w="3491"/>
      </w:tblGrid>
      <w:tr w14:paraId="0BA3FF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733" w:type="dxa"/>
            <w:tcBorders>
              <w:bottom w:val="single" w:color="auto" w:sz="4" w:space="0"/>
            </w:tcBorders>
            <w:vAlign w:val="top"/>
          </w:tcPr>
          <w:p w14:paraId="64BEAE5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序号</w:t>
            </w:r>
          </w:p>
        </w:tc>
        <w:tc>
          <w:tcPr>
            <w:tcW w:w="1636" w:type="dxa"/>
            <w:tcBorders>
              <w:bottom w:val="single" w:color="auto" w:sz="4" w:space="0"/>
            </w:tcBorders>
            <w:vAlign w:val="top"/>
          </w:tcPr>
          <w:p w14:paraId="34CAA80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分包方式</w:t>
            </w:r>
          </w:p>
        </w:tc>
        <w:tc>
          <w:tcPr>
            <w:tcW w:w="1773" w:type="dxa"/>
            <w:tcBorders>
              <w:bottom w:val="single" w:color="auto" w:sz="4" w:space="0"/>
            </w:tcBorders>
            <w:vAlign w:val="top"/>
          </w:tcPr>
          <w:p w14:paraId="0B5D3D0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分包主要内容</w:t>
            </w:r>
          </w:p>
        </w:tc>
        <w:tc>
          <w:tcPr>
            <w:tcW w:w="2563" w:type="dxa"/>
            <w:tcBorders>
              <w:bottom w:val="single" w:color="auto" w:sz="4" w:space="0"/>
            </w:tcBorders>
            <w:vAlign w:val="top"/>
          </w:tcPr>
          <w:p w14:paraId="5B2E2B5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分包供应商/制造商名称</w:t>
            </w:r>
          </w:p>
        </w:tc>
        <w:tc>
          <w:tcPr>
            <w:tcW w:w="3491" w:type="dxa"/>
            <w:tcBorders>
              <w:bottom w:val="single" w:color="auto" w:sz="4" w:space="0"/>
            </w:tcBorders>
            <w:vAlign w:val="top"/>
          </w:tcPr>
          <w:p w14:paraId="75094EB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分包供应商/制造商类型</w:t>
            </w:r>
          </w:p>
        </w:tc>
      </w:tr>
      <w:tr w14:paraId="5A9423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6" w:hRule="atLeast"/>
        </w:trPr>
        <w:tc>
          <w:tcPr>
            <w:tcW w:w="733" w:type="dxa"/>
            <w:tcBorders>
              <w:top w:val="single" w:color="auto" w:sz="4" w:space="0"/>
              <w:left w:val="single" w:color="auto" w:sz="4" w:space="0"/>
              <w:bottom w:val="single" w:color="auto" w:sz="4" w:space="0"/>
              <w:right w:val="single" w:color="auto" w:sz="4" w:space="0"/>
            </w:tcBorders>
            <w:vAlign w:val="top"/>
          </w:tcPr>
          <w:p w14:paraId="49F6A51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eastAsia="宋体"/>
                <w:sz w:val="24"/>
                <w:szCs w:val="24"/>
                <w:lang w:val="en-US" w:eastAsia="zh-CN"/>
              </w:rPr>
            </w:pPr>
            <w:r>
              <w:rPr>
                <w:rFonts w:hint="eastAsia" w:eastAsia="宋体"/>
                <w:sz w:val="24"/>
                <w:szCs w:val="24"/>
                <w:lang w:val="en-US" w:eastAsia="zh-CN"/>
              </w:rPr>
              <w:t>1</w:t>
            </w:r>
          </w:p>
        </w:tc>
        <w:tc>
          <w:tcPr>
            <w:tcW w:w="1636" w:type="dxa"/>
            <w:tcBorders>
              <w:top w:val="single" w:color="auto" w:sz="4" w:space="0"/>
              <w:left w:val="single" w:color="auto" w:sz="4" w:space="0"/>
              <w:bottom w:val="single" w:color="auto" w:sz="4" w:space="0"/>
              <w:right w:val="single" w:color="auto" w:sz="4" w:space="0"/>
            </w:tcBorders>
            <w:vAlign w:val="top"/>
          </w:tcPr>
          <w:p w14:paraId="1971A2F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{（继承信息，不可编辑）XX}</w:t>
            </w:r>
          </w:p>
        </w:tc>
        <w:tc>
          <w:tcPr>
            <w:tcW w:w="1773" w:type="dxa"/>
            <w:tcBorders>
              <w:top w:val="single" w:color="auto" w:sz="4" w:space="0"/>
              <w:left w:val="single" w:color="auto" w:sz="4" w:space="0"/>
              <w:bottom w:val="single" w:color="auto" w:sz="4" w:space="0"/>
              <w:right w:val="single" w:color="auto" w:sz="4" w:space="0"/>
            </w:tcBorders>
            <w:vAlign w:val="top"/>
          </w:tcPr>
          <w:p w14:paraId="3102E86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{（继承信息，不可编辑）XX}</w:t>
            </w:r>
          </w:p>
        </w:tc>
        <w:tc>
          <w:tcPr>
            <w:tcW w:w="2563" w:type="dxa"/>
            <w:tcBorders>
              <w:top w:val="single" w:color="auto" w:sz="4" w:space="0"/>
              <w:left w:val="single" w:color="auto" w:sz="4" w:space="0"/>
              <w:bottom w:val="single" w:color="auto" w:sz="4" w:space="0"/>
              <w:right w:val="single" w:color="auto" w:sz="4" w:space="0"/>
            </w:tcBorders>
            <w:vAlign w:val="top"/>
          </w:tcPr>
          <w:p w14:paraId="096A016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sz w:val="24"/>
                <w:szCs w:val="24"/>
              </w:rPr>
            </w:pPr>
            <w:r>
              <w:rPr>
                <w:rFonts w:hint="eastAsia"/>
                <w:sz w:val="24"/>
                <w:szCs w:val="24"/>
              </w:rPr>
              <w:t>｛XX｝</w:t>
            </w:r>
          </w:p>
          <w:p w14:paraId="44AC852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（注：如供应商和制造商不同，请分</w:t>
            </w:r>
            <w:r>
              <w:rPr>
                <w:rFonts w:hint="eastAsia"/>
                <w:sz w:val="24"/>
                <w:szCs w:val="24"/>
              </w:rPr>
              <w:t>别</w:t>
            </w:r>
            <w:r>
              <w:rPr>
                <w:rFonts w:hint="eastAsia"/>
                <w:sz w:val="24"/>
                <w:szCs w:val="24"/>
                <w:lang w:val="en-US" w:eastAsia="zh-CN"/>
              </w:rPr>
              <w:t>填</w:t>
            </w:r>
            <w:r>
              <w:rPr>
                <w:rFonts w:hint="eastAsia"/>
                <w:sz w:val="24"/>
                <w:szCs w:val="24"/>
              </w:rPr>
              <w:t>写）</w:t>
            </w:r>
          </w:p>
        </w:tc>
        <w:tc>
          <w:tcPr>
            <w:tcW w:w="3491" w:type="dxa"/>
            <w:tcBorders>
              <w:top w:val="single" w:color="auto" w:sz="4" w:space="0"/>
              <w:left w:val="single" w:color="auto" w:sz="4" w:space="0"/>
              <w:bottom w:val="single" w:color="auto" w:sz="4" w:space="0"/>
              <w:right w:val="single" w:color="auto" w:sz="4" w:space="0"/>
            </w:tcBorders>
            <w:vAlign w:val="top"/>
          </w:tcPr>
          <w:p w14:paraId="4925E09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｛（预设内容，可选择）大型企业/中型企业/小微型企业/残疾人福利性单位/监狱企业/其他｝</w:t>
            </w:r>
          </w:p>
          <w:p w14:paraId="1B33597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（注：如果供应商和制造商不同，只填写制造商类型）</w:t>
            </w:r>
          </w:p>
        </w:tc>
      </w:tr>
      <w:tr w14:paraId="57233C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733" w:type="dxa"/>
            <w:tcBorders>
              <w:top w:val="single" w:color="auto" w:sz="4" w:space="0"/>
              <w:left w:val="single" w:color="auto" w:sz="4" w:space="0"/>
              <w:bottom w:val="single" w:color="auto" w:sz="4" w:space="0"/>
              <w:right w:val="single" w:color="auto" w:sz="4" w:space="0"/>
            </w:tcBorders>
            <w:vAlign w:val="top"/>
          </w:tcPr>
          <w:p w14:paraId="6B340EF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eastAsia="宋体"/>
                <w:sz w:val="24"/>
                <w:szCs w:val="24"/>
                <w:lang w:val="en-US" w:eastAsia="zh-CN"/>
              </w:rPr>
              <w:t>2</w:t>
            </w:r>
          </w:p>
        </w:tc>
        <w:tc>
          <w:tcPr>
            <w:tcW w:w="1636" w:type="dxa"/>
            <w:tcBorders>
              <w:top w:val="single" w:color="auto" w:sz="4" w:space="0"/>
              <w:left w:val="single" w:color="auto" w:sz="4" w:space="0"/>
              <w:bottom w:val="single" w:color="auto" w:sz="4" w:space="0"/>
              <w:right w:val="single" w:color="auto" w:sz="4" w:space="0"/>
            </w:tcBorders>
            <w:vAlign w:val="top"/>
          </w:tcPr>
          <w:p w14:paraId="42397E3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eastAsia="宋体"/>
                <w:sz w:val="24"/>
                <w:szCs w:val="24"/>
                <w:lang w:val="en-US" w:eastAsia="zh-CN"/>
              </w:rPr>
              <w:t>...</w:t>
            </w:r>
          </w:p>
        </w:tc>
        <w:tc>
          <w:tcPr>
            <w:tcW w:w="1773" w:type="dxa"/>
            <w:tcBorders>
              <w:top w:val="single" w:color="auto" w:sz="4" w:space="0"/>
              <w:left w:val="single" w:color="auto" w:sz="4" w:space="0"/>
              <w:bottom w:val="single" w:color="auto" w:sz="4" w:space="0"/>
              <w:right w:val="single" w:color="auto" w:sz="4" w:space="0"/>
            </w:tcBorders>
            <w:vAlign w:val="top"/>
          </w:tcPr>
          <w:p w14:paraId="67EEA04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p>
        </w:tc>
        <w:tc>
          <w:tcPr>
            <w:tcW w:w="2563" w:type="dxa"/>
            <w:tcBorders>
              <w:top w:val="single" w:color="auto" w:sz="4" w:space="0"/>
              <w:left w:val="single" w:color="auto" w:sz="4" w:space="0"/>
              <w:bottom w:val="single" w:color="auto" w:sz="4" w:space="0"/>
              <w:right w:val="single" w:color="auto" w:sz="4" w:space="0"/>
            </w:tcBorders>
            <w:vAlign w:val="top"/>
          </w:tcPr>
          <w:p w14:paraId="4F9F762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eastAsia="宋体"/>
                <w:sz w:val="24"/>
                <w:szCs w:val="24"/>
                <w:lang w:val="en-US" w:eastAsia="zh-CN"/>
              </w:rPr>
              <w:t>...</w:t>
            </w:r>
          </w:p>
        </w:tc>
        <w:tc>
          <w:tcPr>
            <w:tcW w:w="3491" w:type="dxa"/>
            <w:tcBorders>
              <w:top w:val="single" w:color="auto" w:sz="4" w:space="0"/>
              <w:left w:val="single" w:color="auto" w:sz="4" w:space="0"/>
              <w:bottom w:val="single" w:color="auto" w:sz="4" w:space="0"/>
              <w:right w:val="single" w:color="auto" w:sz="4" w:space="0"/>
            </w:tcBorders>
            <w:vAlign w:val="top"/>
          </w:tcPr>
          <w:p w14:paraId="573A113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eastAsia="宋体"/>
                <w:sz w:val="24"/>
                <w:szCs w:val="24"/>
                <w:lang w:val="en-US" w:eastAsia="zh-CN"/>
              </w:rPr>
              <w:t>...</w:t>
            </w:r>
          </w:p>
        </w:tc>
      </w:tr>
    </w:tbl>
    <w:p w14:paraId="0336A5B9">
      <w:pPr>
        <w:spacing w:before="172" w:line="221" w:lineRule="auto"/>
        <w:jc w:val="both"/>
        <w:rPr>
          <w:sz w:val="24"/>
          <w:szCs w:val="24"/>
        </w:rPr>
      </w:pPr>
      <w:r>
        <w:rPr>
          <w:rFonts w:hint="eastAsia"/>
          <w:sz w:val="24"/>
          <w:szCs w:val="24"/>
        </w:rPr>
        <w:t>（涉及采购进口产品选择【是】展示以下内容并可编辑，选择【否】</w:t>
      </w:r>
      <w:r>
        <w:rPr>
          <w:rFonts w:ascii="宋体" w:hAnsi="宋体" w:eastAsia="宋体" w:cs="宋体"/>
          <w:spacing w:val="-9"/>
          <w:sz w:val="24"/>
          <w:szCs w:val="24"/>
        </w:rPr>
        <w:t>不展示）</w:t>
      </w:r>
    </w:p>
    <w:p w14:paraId="25FBF03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涉及采购进口产品：</w:t>
      </w:r>
    </w:p>
    <w:tbl>
      <w:tblPr>
        <w:tblStyle w:val="9"/>
        <w:tblW w:w="999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0"/>
        <w:gridCol w:w="1495"/>
        <w:gridCol w:w="1246"/>
        <w:gridCol w:w="1234"/>
        <w:gridCol w:w="1316"/>
        <w:gridCol w:w="1316"/>
        <w:gridCol w:w="1317"/>
        <w:gridCol w:w="1458"/>
      </w:tblGrid>
      <w:tr w14:paraId="7CE2BA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610" w:type="dxa"/>
            <w:tcBorders>
              <w:bottom w:val="nil"/>
            </w:tcBorders>
            <w:vAlign w:val="top"/>
          </w:tcPr>
          <w:p w14:paraId="6A3F1A9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序号</w:t>
            </w:r>
          </w:p>
        </w:tc>
        <w:tc>
          <w:tcPr>
            <w:tcW w:w="1495" w:type="dxa"/>
            <w:tcBorders>
              <w:bottom w:val="nil"/>
            </w:tcBorders>
            <w:vAlign w:val="top"/>
          </w:tcPr>
          <w:p w14:paraId="1FFDC82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采购品目名称</w:t>
            </w:r>
          </w:p>
        </w:tc>
        <w:tc>
          <w:tcPr>
            <w:tcW w:w="1246" w:type="dxa"/>
            <w:tcBorders>
              <w:bottom w:val="nil"/>
            </w:tcBorders>
            <w:vAlign w:val="top"/>
          </w:tcPr>
          <w:p w14:paraId="7DAA130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标的名称</w:t>
            </w:r>
          </w:p>
        </w:tc>
        <w:tc>
          <w:tcPr>
            <w:tcW w:w="1234" w:type="dxa"/>
            <w:tcBorders>
              <w:bottom w:val="nil"/>
            </w:tcBorders>
            <w:vAlign w:val="top"/>
          </w:tcPr>
          <w:p w14:paraId="7942D6B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产品名称</w:t>
            </w:r>
          </w:p>
        </w:tc>
        <w:tc>
          <w:tcPr>
            <w:tcW w:w="1316" w:type="dxa"/>
            <w:tcBorders>
              <w:bottom w:val="nil"/>
            </w:tcBorders>
            <w:vAlign w:val="top"/>
          </w:tcPr>
          <w:p w14:paraId="4FE8B4E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品牌</w:t>
            </w:r>
          </w:p>
        </w:tc>
        <w:tc>
          <w:tcPr>
            <w:tcW w:w="1316" w:type="dxa"/>
            <w:tcBorders>
              <w:bottom w:val="nil"/>
            </w:tcBorders>
            <w:vAlign w:val="top"/>
          </w:tcPr>
          <w:p w14:paraId="2B712C2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规格型号</w:t>
            </w:r>
          </w:p>
        </w:tc>
        <w:tc>
          <w:tcPr>
            <w:tcW w:w="1317" w:type="dxa"/>
            <w:tcBorders>
              <w:bottom w:val="nil"/>
            </w:tcBorders>
            <w:vAlign w:val="top"/>
          </w:tcPr>
          <w:p w14:paraId="1B7E147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金额</w:t>
            </w:r>
          </w:p>
        </w:tc>
        <w:tc>
          <w:tcPr>
            <w:tcW w:w="1458" w:type="dxa"/>
            <w:tcBorders>
              <w:bottom w:val="nil"/>
            </w:tcBorders>
            <w:vAlign w:val="top"/>
          </w:tcPr>
          <w:p w14:paraId="4B01951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国别</w:t>
            </w:r>
          </w:p>
        </w:tc>
      </w:tr>
      <w:tr w14:paraId="5A55ED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610" w:type="dxa"/>
            <w:vAlign w:val="top"/>
          </w:tcPr>
          <w:p w14:paraId="0A69785D">
            <w:pPr>
              <w:keepNext w:val="0"/>
              <w:keepLines w:val="0"/>
              <w:pageBreakBefore w:val="0"/>
              <w:widowControl/>
              <w:kinsoku w:val="0"/>
              <w:wordWrap/>
              <w:overflowPunct/>
              <w:topLinePunct w:val="0"/>
              <w:autoSpaceDE w:val="0"/>
              <w:autoSpaceDN w:val="0"/>
              <w:bidi w:val="0"/>
              <w:adjustRightInd w:val="0"/>
              <w:snapToGrid w:val="0"/>
              <w:spacing w:line="360" w:lineRule="auto"/>
              <w:ind w:firstLine="240" w:firstLineChars="100"/>
              <w:jc w:val="both"/>
              <w:textAlignment w:val="baseline"/>
              <w:rPr>
                <w:rFonts w:hint="eastAsia" w:eastAsia="宋体"/>
                <w:sz w:val="24"/>
                <w:szCs w:val="24"/>
                <w:lang w:val="en-US" w:eastAsia="zh-CN"/>
              </w:rPr>
            </w:pPr>
            <w:r>
              <w:rPr>
                <w:rFonts w:hint="eastAsia" w:eastAsia="宋体"/>
                <w:sz w:val="24"/>
                <w:szCs w:val="24"/>
                <w:lang w:val="en-US" w:eastAsia="zh-CN"/>
              </w:rPr>
              <w:t>1</w:t>
            </w:r>
          </w:p>
        </w:tc>
        <w:tc>
          <w:tcPr>
            <w:tcW w:w="1495" w:type="dxa"/>
            <w:vAlign w:val="top"/>
          </w:tcPr>
          <w:p w14:paraId="0FAADBB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rFonts w:hint="eastAsia"/>
                <w:sz w:val="24"/>
                <w:szCs w:val="24"/>
              </w:rPr>
              <w:t>{（继承信息，不可编辑）XX}</w:t>
            </w:r>
          </w:p>
        </w:tc>
        <w:tc>
          <w:tcPr>
            <w:tcW w:w="1246" w:type="dxa"/>
            <w:vAlign w:val="top"/>
          </w:tcPr>
          <w:p w14:paraId="48F35D3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rFonts w:hint="eastAsia"/>
                <w:sz w:val="24"/>
                <w:szCs w:val="24"/>
              </w:rPr>
              <w:t>{（继承信息，不可编辑）XX}</w:t>
            </w:r>
          </w:p>
        </w:tc>
        <w:tc>
          <w:tcPr>
            <w:tcW w:w="1234" w:type="dxa"/>
            <w:vAlign w:val="top"/>
          </w:tcPr>
          <w:p w14:paraId="1A0D9AE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{（继承信息，可编辑）XX}</w:t>
            </w:r>
          </w:p>
        </w:tc>
        <w:tc>
          <w:tcPr>
            <w:tcW w:w="1316" w:type="dxa"/>
            <w:vAlign w:val="top"/>
          </w:tcPr>
          <w:p w14:paraId="1364033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{（根据响应情况编辑）XX}</w:t>
            </w:r>
          </w:p>
        </w:tc>
        <w:tc>
          <w:tcPr>
            <w:tcW w:w="1316" w:type="dxa"/>
            <w:vAlign w:val="top"/>
          </w:tcPr>
          <w:p w14:paraId="769269D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{（根据响应情况编辑）XX}</w:t>
            </w:r>
          </w:p>
        </w:tc>
        <w:tc>
          <w:tcPr>
            <w:tcW w:w="1317" w:type="dxa"/>
            <w:vAlign w:val="top"/>
          </w:tcPr>
          <w:p w14:paraId="4F4CA05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{（根据响应情况编辑）XX}</w:t>
            </w:r>
          </w:p>
        </w:tc>
        <w:tc>
          <w:tcPr>
            <w:tcW w:w="1458" w:type="dxa"/>
            <w:vAlign w:val="top"/>
          </w:tcPr>
          <w:p w14:paraId="62CF16C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{（根据响应情况编辑）XX}</w:t>
            </w:r>
          </w:p>
        </w:tc>
      </w:tr>
    </w:tbl>
    <w:p w14:paraId="0D75205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（涉及强制采购节能产品选择【是】才可编辑并展示，选择【否】整个模块不展示）</w:t>
      </w:r>
    </w:p>
    <w:p w14:paraId="13E4A84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涉及强制采购节能产品：</w:t>
      </w:r>
    </w:p>
    <w:tbl>
      <w:tblPr>
        <w:tblStyle w:val="9"/>
        <w:tblW w:w="9837" w:type="dxa"/>
        <w:tblInd w:w="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28"/>
        <w:gridCol w:w="1712"/>
        <w:gridCol w:w="1737"/>
        <w:gridCol w:w="1818"/>
        <w:gridCol w:w="1818"/>
        <w:gridCol w:w="1824"/>
      </w:tblGrid>
      <w:tr w14:paraId="0F7F88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928" w:type="dxa"/>
            <w:vAlign w:val="top"/>
          </w:tcPr>
          <w:p w14:paraId="18E0DCD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序号</w:t>
            </w:r>
          </w:p>
        </w:tc>
        <w:tc>
          <w:tcPr>
            <w:tcW w:w="1712" w:type="dxa"/>
            <w:vAlign w:val="top"/>
          </w:tcPr>
          <w:p w14:paraId="31D8910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采购品目名称</w:t>
            </w:r>
          </w:p>
        </w:tc>
        <w:tc>
          <w:tcPr>
            <w:tcW w:w="1737" w:type="dxa"/>
            <w:vAlign w:val="top"/>
          </w:tcPr>
          <w:p w14:paraId="0475FD6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标的名称</w:t>
            </w:r>
          </w:p>
        </w:tc>
        <w:tc>
          <w:tcPr>
            <w:tcW w:w="1818" w:type="dxa"/>
            <w:vAlign w:val="top"/>
          </w:tcPr>
          <w:p w14:paraId="421317D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产品名称</w:t>
            </w:r>
          </w:p>
        </w:tc>
        <w:tc>
          <w:tcPr>
            <w:tcW w:w="1818" w:type="dxa"/>
            <w:vAlign w:val="top"/>
          </w:tcPr>
          <w:p w14:paraId="5C915F8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品牌</w:t>
            </w:r>
          </w:p>
        </w:tc>
        <w:tc>
          <w:tcPr>
            <w:tcW w:w="1824" w:type="dxa"/>
            <w:vAlign w:val="top"/>
          </w:tcPr>
          <w:p w14:paraId="5A19292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规格型号</w:t>
            </w:r>
          </w:p>
        </w:tc>
      </w:tr>
      <w:tr w14:paraId="7EDE63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9" w:hRule="atLeast"/>
        </w:trPr>
        <w:tc>
          <w:tcPr>
            <w:tcW w:w="928" w:type="dxa"/>
            <w:vAlign w:val="top"/>
          </w:tcPr>
          <w:p w14:paraId="0B3479E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eastAsia="宋体"/>
                <w:sz w:val="24"/>
                <w:szCs w:val="24"/>
                <w:lang w:val="en-US" w:eastAsia="zh-CN"/>
              </w:rPr>
              <w:t>1</w:t>
            </w:r>
          </w:p>
        </w:tc>
        <w:tc>
          <w:tcPr>
            <w:tcW w:w="1712" w:type="dxa"/>
            <w:vAlign w:val="top"/>
          </w:tcPr>
          <w:p w14:paraId="0BC7CCF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rFonts w:hint="eastAsia"/>
                <w:sz w:val="24"/>
                <w:szCs w:val="24"/>
              </w:rPr>
              <w:t>{（继承信息，不可编辑）XX}</w:t>
            </w:r>
          </w:p>
        </w:tc>
        <w:tc>
          <w:tcPr>
            <w:tcW w:w="1737" w:type="dxa"/>
            <w:vAlign w:val="top"/>
          </w:tcPr>
          <w:p w14:paraId="326A817F">
            <w:pPr>
              <w:keepNext w:val="0"/>
              <w:keepLines w:val="0"/>
              <w:pageBreakBefore w:val="0"/>
              <w:widowControl/>
              <w:tabs>
                <w:tab w:val="left" w:pos="448"/>
              </w:tabs>
              <w:kinsoku w:val="0"/>
              <w:wordWrap/>
              <w:overflowPunct/>
              <w:topLinePunct w:val="0"/>
              <w:autoSpaceDE w:val="0"/>
              <w:autoSpaceDN w:val="0"/>
              <w:bidi w:val="0"/>
              <w:adjustRightInd w:val="0"/>
              <w:snapToGrid w:val="0"/>
              <w:spacing w:line="360" w:lineRule="auto"/>
              <w:textAlignment w:val="baseline"/>
              <w:rPr>
                <w:sz w:val="24"/>
                <w:szCs w:val="24"/>
              </w:rPr>
            </w:pPr>
            <w:r>
              <w:rPr>
                <w:rFonts w:hint="eastAsia"/>
                <w:sz w:val="24"/>
                <w:szCs w:val="24"/>
              </w:rPr>
              <w:t>{（继承信息，不可编辑）XX}</w:t>
            </w:r>
          </w:p>
        </w:tc>
        <w:tc>
          <w:tcPr>
            <w:tcW w:w="1818" w:type="dxa"/>
            <w:vAlign w:val="top"/>
          </w:tcPr>
          <w:p w14:paraId="21F1FDB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sz w:val="24"/>
                <w:szCs w:val="24"/>
              </w:rPr>
            </w:pPr>
            <w:r>
              <w:rPr>
                <w:rFonts w:hint="eastAsia"/>
                <w:sz w:val="24"/>
                <w:szCs w:val="24"/>
              </w:rPr>
              <w:t>{（继承信息，可编辑）XX}</w:t>
            </w:r>
          </w:p>
        </w:tc>
        <w:tc>
          <w:tcPr>
            <w:tcW w:w="1818" w:type="dxa"/>
            <w:vAlign w:val="top"/>
          </w:tcPr>
          <w:p w14:paraId="24AA8F6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sz w:val="24"/>
                <w:szCs w:val="24"/>
              </w:rPr>
            </w:pPr>
            <w:r>
              <w:rPr>
                <w:rFonts w:hint="eastAsia"/>
                <w:sz w:val="24"/>
                <w:szCs w:val="24"/>
              </w:rPr>
              <w:t>{（</w:t>
            </w:r>
            <w:r>
              <w:rPr>
                <w:rFonts w:hint="eastAsia" w:eastAsia="宋体"/>
                <w:sz w:val="24"/>
                <w:szCs w:val="24"/>
                <w:lang w:val="en-US" w:eastAsia="zh-CN"/>
              </w:rPr>
              <w:t>根据响应情况</w:t>
            </w:r>
            <w:r>
              <w:rPr>
                <w:rFonts w:hint="eastAsia"/>
                <w:sz w:val="24"/>
                <w:szCs w:val="24"/>
              </w:rPr>
              <w:t>编辑）XX}</w:t>
            </w:r>
          </w:p>
        </w:tc>
        <w:tc>
          <w:tcPr>
            <w:tcW w:w="1824" w:type="dxa"/>
            <w:vAlign w:val="top"/>
          </w:tcPr>
          <w:p w14:paraId="2457AC7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sz w:val="24"/>
                <w:szCs w:val="24"/>
              </w:rPr>
            </w:pPr>
            <w:r>
              <w:rPr>
                <w:rFonts w:hint="eastAsia"/>
                <w:sz w:val="24"/>
                <w:szCs w:val="24"/>
              </w:rPr>
              <w:t>{（</w:t>
            </w:r>
            <w:r>
              <w:rPr>
                <w:rFonts w:hint="eastAsia" w:eastAsia="宋体"/>
                <w:sz w:val="24"/>
                <w:szCs w:val="24"/>
                <w:lang w:val="en-US" w:eastAsia="zh-CN"/>
              </w:rPr>
              <w:t>根据响应情况</w:t>
            </w:r>
            <w:r>
              <w:rPr>
                <w:rFonts w:hint="eastAsia"/>
                <w:sz w:val="24"/>
                <w:szCs w:val="24"/>
              </w:rPr>
              <w:t>编辑）XX}</w:t>
            </w:r>
          </w:p>
        </w:tc>
      </w:tr>
    </w:tbl>
    <w:p w14:paraId="46EF2BF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（涉及优先采购节能产品选择【是】才可编辑并展示，选择【否】整个模块不展示）</w:t>
      </w:r>
    </w:p>
    <w:p w14:paraId="01BDD60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涉及优先采购节能产品：</w:t>
      </w:r>
    </w:p>
    <w:tbl>
      <w:tblPr>
        <w:tblStyle w:val="9"/>
        <w:tblW w:w="9737" w:type="dxa"/>
        <w:tblInd w:w="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1"/>
        <w:gridCol w:w="2021"/>
        <w:gridCol w:w="1783"/>
        <w:gridCol w:w="1763"/>
        <w:gridCol w:w="1713"/>
        <w:gridCol w:w="1716"/>
      </w:tblGrid>
      <w:tr w14:paraId="0B16BF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741" w:type="dxa"/>
            <w:vAlign w:val="top"/>
          </w:tcPr>
          <w:p w14:paraId="388C0C3D">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序号</w:t>
            </w:r>
          </w:p>
        </w:tc>
        <w:tc>
          <w:tcPr>
            <w:tcW w:w="2021" w:type="dxa"/>
            <w:vAlign w:val="top"/>
          </w:tcPr>
          <w:p w14:paraId="06AA08F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采购品目名称</w:t>
            </w:r>
          </w:p>
        </w:tc>
        <w:tc>
          <w:tcPr>
            <w:tcW w:w="1783" w:type="dxa"/>
            <w:vAlign w:val="top"/>
          </w:tcPr>
          <w:p w14:paraId="6E178800">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标的名称</w:t>
            </w:r>
          </w:p>
        </w:tc>
        <w:tc>
          <w:tcPr>
            <w:tcW w:w="1763" w:type="dxa"/>
            <w:vAlign w:val="top"/>
          </w:tcPr>
          <w:p w14:paraId="2A7DAEDD">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产品名称</w:t>
            </w:r>
          </w:p>
        </w:tc>
        <w:tc>
          <w:tcPr>
            <w:tcW w:w="1713" w:type="dxa"/>
            <w:vAlign w:val="top"/>
          </w:tcPr>
          <w:p w14:paraId="771626B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品牌</w:t>
            </w:r>
          </w:p>
        </w:tc>
        <w:tc>
          <w:tcPr>
            <w:tcW w:w="1716" w:type="dxa"/>
            <w:vAlign w:val="top"/>
          </w:tcPr>
          <w:p w14:paraId="6DFD269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规格型号</w:t>
            </w:r>
          </w:p>
        </w:tc>
      </w:tr>
      <w:tr w14:paraId="434CC6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41" w:type="dxa"/>
            <w:vAlign w:val="top"/>
          </w:tcPr>
          <w:p w14:paraId="4B66B82D">
            <w:pPr>
              <w:spacing w:before="149" w:line="228" w:lineRule="auto"/>
              <w:ind w:left="64"/>
              <w:rPr>
                <w:rFonts w:ascii="宋体" w:hAnsi="宋体" w:eastAsia="宋体" w:cs="宋体"/>
                <w:spacing w:val="1"/>
                <w:sz w:val="24"/>
                <w:szCs w:val="24"/>
              </w:rPr>
            </w:pPr>
            <w:r>
              <w:rPr>
                <w:rFonts w:hint="eastAsia" w:ascii="宋体" w:hAnsi="宋体" w:eastAsia="宋体" w:cs="宋体"/>
                <w:spacing w:val="1"/>
                <w:sz w:val="24"/>
                <w:szCs w:val="24"/>
                <w:lang w:val="en-US" w:eastAsia="zh-CN"/>
              </w:rPr>
              <w:t>1</w:t>
            </w:r>
          </w:p>
        </w:tc>
        <w:tc>
          <w:tcPr>
            <w:tcW w:w="2021" w:type="dxa"/>
            <w:vAlign w:val="top"/>
          </w:tcPr>
          <w:p w14:paraId="7DBDC768">
            <w:pPr>
              <w:spacing w:before="149" w:line="228" w:lineRule="auto"/>
              <w:ind w:left="64"/>
              <w:rPr>
                <w:rFonts w:ascii="宋体" w:hAnsi="宋体" w:eastAsia="宋体" w:cs="宋体"/>
                <w:spacing w:val="1"/>
                <w:sz w:val="24"/>
                <w:szCs w:val="24"/>
              </w:rPr>
            </w:pPr>
            <w:r>
              <w:rPr>
                <w:rFonts w:ascii="宋体" w:hAnsi="宋体" w:eastAsia="宋体" w:cs="宋体"/>
                <w:spacing w:val="1"/>
                <w:sz w:val="24"/>
                <w:szCs w:val="24"/>
              </w:rPr>
              <w:t>{（继承信息，不可编辑）XX}</w:t>
            </w:r>
          </w:p>
        </w:tc>
        <w:tc>
          <w:tcPr>
            <w:tcW w:w="1783" w:type="dxa"/>
            <w:vAlign w:val="top"/>
          </w:tcPr>
          <w:p w14:paraId="1D2CD5BE">
            <w:pPr>
              <w:spacing w:before="149" w:line="228" w:lineRule="auto"/>
              <w:ind w:left="64"/>
              <w:rPr>
                <w:rFonts w:ascii="宋体" w:hAnsi="宋体" w:eastAsia="宋体" w:cs="宋体"/>
                <w:spacing w:val="1"/>
                <w:sz w:val="24"/>
                <w:szCs w:val="24"/>
              </w:rPr>
            </w:pPr>
            <w:r>
              <w:rPr>
                <w:rFonts w:hint="eastAsia" w:ascii="宋体" w:hAnsi="宋体" w:eastAsia="宋体" w:cs="宋体"/>
                <w:spacing w:val="1"/>
                <w:sz w:val="24"/>
                <w:szCs w:val="24"/>
              </w:rPr>
              <w:t>{（继承信息 ， 不可编辑）XX}</w:t>
            </w:r>
          </w:p>
        </w:tc>
        <w:tc>
          <w:tcPr>
            <w:tcW w:w="1763" w:type="dxa"/>
            <w:vAlign w:val="top"/>
          </w:tcPr>
          <w:p w14:paraId="0EB0AD76">
            <w:pPr>
              <w:spacing w:before="149" w:line="228" w:lineRule="auto"/>
              <w:ind w:left="64"/>
              <w:rPr>
                <w:rFonts w:ascii="宋体" w:hAnsi="宋体" w:eastAsia="宋体" w:cs="宋体"/>
                <w:spacing w:val="1"/>
                <w:sz w:val="24"/>
                <w:szCs w:val="24"/>
              </w:rPr>
            </w:pPr>
            <w:r>
              <w:rPr>
                <w:rFonts w:hint="eastAsia" w:ascii="宋体" w:hAnsi="宋体" w:eastAsia="宋体" w:cs="宋体"/>
                <w:spacing w:val="1"/>
                <w:sz w:val="24"/>
                <w:szCs w:val="24"/>
              </w:rPr>
              <w:t>{（继承信息，可编辑）XX}</w:t>
            </w:r>
          </w:p>
        </w:tc>
        <w:tc>
          <w:tcPr>
            <w:tcW w:w="1713" w:type="dxa"/>
            <w:vAlign w:val="top"/>
          </w:tcPr>
          <w:p w14:paraId="49305771">
            <w:pPr>
              <w:spacing w:before="149" w:line="228" w:lineRule="auto"/>
              <w:ind w:left="64"/>
              <w:rPr>
                <w:rFonts w:ascii="宋体" w:hAnsi="宋体" w:eastAsia="宋体" w:cs="宋体"/>
                <w:spacing w:val="1"/>
                <w:sz w:val="24"/>
                <w:szCs w:val="24"/>
              </w:rPr>
            </w:pPr>
            <w:r>
              <w:rPr>
                <w:rFonts w:hint="eastAsia" w:ascii="宋体" w:hAnsi="宋体" w:eastAsia="宋体" w:cs="宋体"/>
                <w:spacing w:val="1"/>
                <w:sz w:val="24"/>
                <w:szCs w:val="24"/>
              </w:rPr>
              <w:t>{（根据响应情况编辑）XX}</w:t>
            </w:r>
          </w:p>
        </w:tc>
        <w:tc>
          <w:tcPr>
            <w:tcW w:w="1716" w:type="dxa"/>
            <w:vAlign w:val="top"/>
          </w:tcPr>
          <w:p w14:paraId="0DFA456A">
            <w:pPr>
              <w:spacing w:before="149" w:line="228" w:lineRule="auto"/>
              <w:ind w:left="64"/>
              <w:rPr>
                <w:rFonts w:ascii="宋体" w:hAnsi="宋体" w:eastAsia="宋体" w:cs="宋体"/>
                <w:spacing w:val="1"/>
                <w:sz w:val="24"/>
                <w:szCs w:val="24"/>
              </w:rPr>
            </w:pPr>
            <w:r>
              <w:rPr>
                <w:rFonts w:hint="eastAsia" w:ascii="宋体" w:hAnsi="宋体" w:eastAsia="宋体" w:cs="宋体"/>
                <w:spacing w:val="1"/>
                <w:sz w:val="24"/>
                <w:szCs w:val="24"/>
              </w:rPr>
              <w:t>{（根据响应情况编辑）XX}</w:t>
            </w:r>
          </w:p>
        </w:tc>
      </w:tr>
    </w:tbl>
    <w:p w14:paraId="15B992E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（涉及优先采购环境标志产品选择【是】才可编辑并展示，选择【否】整个模块不展示）</w:t>
      </w:r>
    </w:p>
    <w:p w14:paraId="720774B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涉及优先采购环境标志产品：</w:t>
      </w:r>
    </w:p>
    <w:tbl>
      <w:tblPr>
        <w:tblStyle w:val="9"/>
        <w:tblW w:w="963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7"/>
        <w:gridCol w:w="1813"/>
        <w:gridCol w:w="1647"/>
        <w:gridCol w:w="1781"/>
        <w:gridCol w:w="1781"/>
        <w:gridCol w:w="1787"/>
      </w:tblGrid>
      <w:tr w14:paraId="2570A5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827" w:type="dxa"/>
            <w:vAlign w:val="top"/>
          </w:tcPr>
          <w:p w14:paraId="39723CAB">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序号</w:t>
            </w:r>
          </w:p>
        </w:tc>
        <w:tc>
          <w:tcPr>
            <w:tcW w:w="1813" w:type="dxa"/>
            <w:vAlign w:val="top"/>
          </w:tcPr>
          <w:p w14:paraId="79FB8A8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采购品目名称</w:t>
            </w:r>
          </w:p>
        </w:tc>
        <w:tc>
          <w:tcPr>
            <w:tcW w:w="1647" w:type="dxa"/>
            <w:vAlign w:val="top"/>
          </w:tcPr>
          <w:p w14:paraId="5815E60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标的名称</w:t>
            </w:r>
          </w:p>
        </w:tc>
        <w:tc>
          <w:tcPr>
            <w:tcW w:w="1781" w:type="dxa"/>
            <w:vAlign w:val="top"/>
          </w:tcPr>
          <w:p w14:paraId="0913C115">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产品名称</w:t>
            </w:r>
          </w:p>
        </w:tc>
        <w:tc>
          <w:tcPr>
            <w:tcW w:w="1781" w:type="dxa"/>
            <w:vAlign w:val="top"/>
          </w:tcPr>
          <w:p w14:paraId="50884498">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品牌</w:t>
            </w:r>
          </w:p>
        </w:tc>
        <w:tc>
          <w:tcPr>
            <w:tcW w:w="1787" w:type="dxa"/>
            <w:vAlign w:val="top"/>
          </w:tcPr>
          <w:p w14:paraId="6F5B090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规格型号</w:t>
            </w:r>
          </w:p>
        </w:tc>
      </w:tr>
      <w:tr w14:paraId="61E817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3" w:hRule="atLeast"/>
        </w:trPr>
        <w:tc>
          <w:tcPr>
            <w:tcW w:w="827" w:type="dxa"/>
            <w:vAlign w:val="top"/>
          </w:tcPr>
          <w:p w14:paraId="4966F20F">
            <w:pPr>
              <w:spacing w:before="149" w:line="228" w:lineRule="auto"/>
              <w:ind w:left="64"/>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1</w:t>
            </w:r>
          </w:p>
        </w:tc>
        <w:tc>
          <w:tcPr>
            <w:tcW w:w="1813" w:type="dxa"/>
            <w:vAlign w:val="top"/>
          </w:tcPr>
          <w:p w14:paraId="77D3141A">
            <w:pPr>
              <w:spacing w:before="149" w:line="228" w:lineRule="auto"/>
              <w:ind w:left="64"/>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{（继承信息，不可编辑）XX}</w:t>
            </w:r>
          </w:p>
        </w:tc>
        <w:tc>
          <w:tcPr>
            <w:tcW w:w="1647" w:type="dxa"/>
            <w:vAlign w:val="top"/>
          </w:tcPr>
          <w:p w14:paraId="4A35F1E2">
            <w:pPr>
              <w:spacing w:before="149" w:line="228" w:lineRule="auto"/>
              <w:ind w:left="64"/>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{（继承信息，不可编辑）XX}</w:t>
            </w:r>
          </w:p>
        </w:tc>
        <w:tc>
          <w:tcPr>
            <w:tcW w:w="1781" w:type="dxa"/>
            <w:vAlign w:val="top"/>
          </w:tcPr>
          <w:p w14:paraId="7E034B28">
            <w:pPr>
              <w:spacing w:before="149" w:line="228" w:lineRule="auto"/>
              <w:ind w:left="64"/>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{（继承信息，可编辑）XX}</w:t>
            </w:r>
          </w:p>
        </w:tc>
        <w:tc>
          <w:tcPr>
            <w:tcW w:w="1781" w:type="dxa"/>
            <w:vAlign w:val="top"/>
          </w:tcPr>
          <w:p w14:paraId="5C85BD34">
            <w:pPr>
              <w:spacing w:before="149" w:line="228" w:lineRule="auto"/>
              <w:ind w:left="64"/>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{（根据响应情</w:t>
            </w:r>
          </w:p>
          <w:p w14:paraId="73B29668">
            <w:pPr>
              <w:spacing w:before="149" w:line="228" w:lineRule="auto"/>
              <w:ind w:left="64"/>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况编辑）XX}</w:t>
            </w:r>
          </w:p>
        </w:tc>
        <w:tc>
          <w:tcPr>
            <w:tcW w:w="1787" w:type="dxa"/>
            <w:vAlign w:val="top"/>
          </w:tcPr>
          <w:p w14:paraId="0DC2ABCD">
            <w:pPr>
              <w:spacing w:before="149" w:line="228" w:lineRule="auto"/>
              <w:ind w:left="64"/>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{（根据响应情况编辑）XX}</w:t>
            </w:r>
          </w:p>
        </w:tc>
      </w:tr>
    </w:tbl>
    <w:p w14:paraId="54FDC6D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（涉及绿色产品时选择【是】才可编辑并展示，选择【否】整个模块不展示）</w:t>
      </w:r>
    </w:p>
    <w:p w14:paraId="1B7E614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涉及绿色产品：</w:t>
      </w:r>
    </w:p>
    <w:tbl>
      <w:tblPr>
        <w:tblStyle w:val="9"/>
        <w:tblW w:w="967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3"/>
        <w:gridCol w:w="1808"/>
        <w:gridCol w:w="1654"/>
        <w:gridCol w:w="1789"/>
        <w:gridCol w:w="1789"/>
        <w:gridCol w:w="1794"/>
      </w:tblGrid>
      <w:tr w14:paraId="589E30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843" w:type="dxa"/>
            <w:vAlign w:val="top"/>
          </w:tcPr>
          <w:p w14:paraId="64F25D3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序号</w:t>
            </w:r>
          </w:p>
        </w:tc>
        <w:tc>
          <w:tcPr>
            <w:tcW w:w="1808" w:type="dxa"/>
            <w:vAlign w:val="top"/>
          </w:tcPr>
          <w:p w14:paraId="7239B28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采购品目名称</w:t>
            </w:r>
          </w:p>
        </w:tc>
        <w:tc>
          <w:tcPr>
            <w:tcW w:w="1654" w:type="dxa"/>
            <w:vAlign w:val="top"/>
          </w:tcPr>
          <w:p w14:paraId="3CE00FF8">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标的名称</w:t>
            </w:r>
          </w:p>
        </w:tc>
        <w:tc>
          <w:tcPr>
            <w:tcW w:w="1789" w:type="dxa"/>
            <w:vAlign w:val="top"/>
          </w:tcPr>
          <w:p w14:paraId="569EB34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产品名称</w:t>
            </w:r>
          </w:p>
        </w:tc>
        <w:tc>
          <w:tcPr>
            <w:tcW w:w="1789" w:type="dxa"/>
            <w:vAlign w:val="top"/>
          </w:tcPr>
          <w:p w14:paraId="7A1E3A9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品牌</w:t>
            </w:r>
          </w:p>
        </w:tc>
        <w:tc>
          <w:tcPr>
            <w:tcW w:w="1794" w:type="dxa"/>
            <w:vAlign w:val="top"/>
          </w:tcPr>
          <w:p w14:paraId="10D5B630">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规格型号</w:t>
            </w:r>
          </w:p>
        </w:tc>
      </w:tr>
      <w:tr w14:paraId="51E196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6" w:hRule="atLeast"/>
        </w:trPr>
        <w:tc>
          <w:tcPr>
            <w:tcW w:w="843" w:type="dxa"/>
            <w:vAlign w:val="top"/>
          </w:tcPr>
          <w:p w14:paraId="2D3436A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eastAsia="宋体"/>
                <w:sz w:val="24"/>
                <w:szCs w:val="24"/>
                <w:lang w:val="en-US" w:eastAsia="zh-CN"/>
              </w:rPr>
            </w:pPr>
            <w:r>
              <w:rPr>
                <w:rFonts w:hint="eastAsia" w:eastAsia="宋体"/>
                <w:sz w:val="24"/>
                <w:szCs w:val="24"/>
                <w:lang w:val="en-US" w:eastAsia="zh-CN"/>
              </w:rPr>
              <w:t>1</w:t>
            </w:r>
          </w:p>
        </w:tc>
        <w:tc>
          <w:tcPr>
            <w:tcW w:w="1808" w:type="dxa"/>
            <w:vAlign w:val="top"/>
          </w:tcPr>
          <w:p w14:paraId="172D0115">
            <w:pPr>
              <w:spacing w:before="149" w:line="228" w:lineRule="auto"/>
              <w:ind w:left="64"/>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{（根据响应情况编辑）XX}</w:t>
            </w:r>
          </w:p>
        </w:tc>
        <w:tc>
          <w:tcPr>
            <w:tcW w:w="1654" w:type="dxa"/>
            <w:vAlign w:val="top"/>
          </w:tcPr>
          <w:p w14:paraId="4F5724F7">
            <w:pPr>
              <w:spacing w:before="149" w:line="228" w:lineRule="auto"/>
              <w:ind w:left="64"/>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{（根据响应情况编辑）XX}</w:t>
            </w:r>
          </w:p>
        </w:tc>
        <w:tc>
          <w:tcPr>
            <w:tcW w:w="1789" w:type="dxa"/>
            <w:vAlign w:val="top"/>
          </w:tcPr>
          <w:p w14:paraId="063F06CC">
            <w:pPr>
              <w:spacing w:before="149" w:line="228" w:lineRule="auto"/>
              <w:ind w:left="64"/>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{（根据响应情况编辑）XX}</w:t>
            </w:r>
          </w:p>
        </w:tc>
        <w:tc>
          <w:tcPr>
            <w:tcW w:w="1789" w:type="dxa"/>
            <w:vAlign w:val="top"/>
          </w:tcPr>
          <w:p w14:paraId="42D109FA">
            <w:pPr>
              <w:spacing w:before="149" w:line="228" w:lineRule="auto"/>
              <w:ind w:left="64"/>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{（根据响应情况编辑）XX}</w:t>
            </w:r>
          </w:p>
        </w:tc>
        <w:tc>
          <w:tcPr>
            <w:tcW w:w="1794" w:type="dxa"/>
            <w:vAlign w:val="top"/>
          </w:tcPr>
          <w:p w14:paraId="57B0DC1E">
            <w:pPr>
              <w:spacing w:before="149" w:line="228" w:lineRule="auto"/>
              <w:ind w:left="64"/>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{（根据响应情</w:t>
            </w:r>
          </w:p>
          <w:p w14:paraId="2777D175">
            <w:pPr>
              <w:spacing w:before="149" w:line="228" w:lineRule="auto"/>
              <w:ind w:left="64"/>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况编辑）XX}</w:t>
            </w:r>
          </w:p>
        </w:tc>
      </w:tr>
    </w:tbl>
    <w:p w14:paraId="75DD95F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b/>
          <w:bCs/>
          <w:sz w:val="24"/>
          <w:szCs w:val="24"/>
        </w:rPr>
      </w:pPr>
      <w:r>
        <w:rPr>
          <w:b/>
          <w:bCs/>
          <w:sz w:val="24"/>
          <w:szCs w:val="24"/>
        </w:rPr>
        <w:t>二、货物要求</w:t>
      </w:r>
    </w:p>
    <w:p w14:paraId="1B63FB9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2.1.质量要求</w:t>
      </w:r>
    </w:p>
    <w:tbl>
      <w:tblPr>
        <w:tblStyle w:val="9"/>
        <w:tblW w:w="4866"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3620"/>
        <w:gridCol w:w="2745"/>
        <w:gridCol w:w="1662"/>
        <w:gridCol w:w="2003"/>
      </w:tblGrid>
      <w:tr w14:paraId="123126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2" w:hRule="atLeast"/>
        </w:trPr>
        <w:tc>
          <w:tcPr>
            <w:tcW w:w="1804" w:type="pct"/>
            <w:vAlign w:val="top"/>
          </w:tcPr>
          <w:p w14:paraId="00C146A1">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default"/>
                <w:sz w:val="24"/>
                <w:szCs w:val="24"/>
                <w:lang w:val="en-US" w:eastAsia="zh-CN"/>
              </w:rPr>
            </w:pPr>
            <w:r>
              <w:rPr>
                <w:rFonts w:hint="default"/>
                <w:sz w:val="24"/>
                <w:szCs w:val="24"/>
                <w:lang w:val="en-US" w:eastAsia="zh-CN"/>
              </w:rPr>
              <w:t>货物/注册（备案）证名称</w:t>
            </w:r>
          </w:p>
        </w:tc>
        <w:tc>
          <w:tcPr>
            <w:tcW w:w="1368" w:type="pct"/>
            <w:vAlign w:val="top"/>
          </w:tcPr>
          <w:p w14:paraId="03BB67D9">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default"/>
                <w:sz w:val="24"/>
                <w:szCs w:val="24"/>
                <w:lang w:val="en-US" w:eastAsia="zh-CN"/>
              </w:rPr>
            </w:pPr>
            <w:r>
              <w:rPr>
                <w:rFonts w:hint="default"/>
                <w:sz w:val="24"/>
                <w:szCs w:val="24"/>
                <w:lang w:val="en-US" w:eastAsia="zh-CN"/>
              </w:rPr>
              <w:t>注册（备案）证号</w:t>
            </w:r>
          </w:p>
        </w:tc>
        <w:tc>
          <w:tcPr>
            <w:tcW w:w="828" w:type="pct"/>
            <w:vAlign w:val="top"/>
          </w:tcPr>
          <w:p w14:paraId="7ED137AD">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default"/>
                <w:sz w:val="24"/>
                <w:szCs w:val="24"/>
                <w:lang w:val="en-US" w:eastAsia="zh-CN"/>
              </w:rPr>
            </w:pPr>
            <w:r>
              <w:rPr>
                <w:rFonts w:hint="default"/>
                <w:sz w:val="24"/>
                <w:szCs w:val="24"/>
                <w:lang w:val="en-US" w:eastAsia="zh-CN"/>
              </w:rPr>
              <w:t>生产地</w:t>
            </w:r>
          </w:p>
        </w:tc>
        <w:tc>
          <w:tcPr>
            <w:tcW w:w="998" w:type="pct"/>
            <w:vAlign w:val="top"/>
          </w:tcPr>
          <w:p w14:paraId="14DA106B">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default"/>
                <w:sz w:val="24"/>
                <w:szCs w:val="24"/>
                <w:lang w:val="en-US" w:eastAsia="zh-CN"/>
              </w:rPr>
            </w:pPr>
            <w:r>
              <w:rPr>
                <w:rFonts w:hint="default"/>
                <w:sz w:val="24"/>
                <w:szCs w:val="24"/>
                <w:lang w:val="en-US" w:eastAsia="zh-CN"/>
              </w:rPr>
              <w:t>制造商</w:t>
            </w:r>
          </w:p>
        </w:tc>
      </w:tr>
      <w:tr w14:paraId="276399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7" w:hRule="atLeast"/>
        </w:trPr>
        <w:tc>
          <w:tcPr>
            <w:tcW w:w="1804" w:type="pct"/>
            <w:vAlign w:val="top"/>
          </w:tcPr>
          <w:p w14:paraId="1CE4372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p>
        </w:tc>
        <w:tc>
          <w:tcPr>
            <w:tcW w:w="1368" w:type="pct"/>
            <w:vAlign w:val="top"/>
          </w:tcPr>
          <w:p w14:paraId="01EEC47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p>
        </w:tc>
        <w:tc>
          <w:tcPr>
            <w:tcW w:w="828" w:type="pct"/>
            <w:vAlign w:val="top"/>
          </w:tcPr>
          <w:p w14:paraId="6C8DAC2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p>
        </w:tc>
        <w:tc>
          <w:tcPr>
            <w:tcW w:w="998" w:type="pct"/>
            <w:vAlign w:val="top"/>
          </w:tcPr>
          <w:p w14:paraId="2E15C2A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p>
        </w:tc>
      </w:tr>
    </w:tbl>
    <w:p w14:paraId="3DD8E7B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eastAsia="zh-CN"/>
        </w:rPr>
      </w:pPr>
      <w:r>
        <w:rPr>
          <w:sz w:val="24"/>
          <w:szCs w:val="24"/>
        </w:rPr>
        <w:t>2.1.1.</w:t>
      </w:r>
      <w:r>
        <w:rPr>
          <w:rFonts w:hint="eastAsia"/>
          <w:sz w:val="24"/>
          <w:szCs w:val="24"/>
        </w:rPr>
        <w:t>质量符合或优于中国法律法规规定和（或）行业的标准，同时通过NMPA（如适用），符合采购文件质量要求、技术指标与出厂标准，保证是原产地生产的原装全新产品（含零部件、配件等），表面无划伤、无碰撞痕迹，且权属清楚，货物质量出现问题，乙方应负责三包（包修、包换、包退），费用由乙方负担，否则甲方有权拒绝收货，并要求乙方赔偿损失。具体技术参数详见采购文件、投标（响应）文件、合同附件、产品技术说明等。</w:t>
      </w:r>
      <w:r>
        <w:rPr>
          <w:rFonts w:hint="eastAsia"/>
          <w:sz w:val="24"/>
          <w:szCs w:val="24"/>
          <w:lang w:eastAsia="zh-CN"/>
        </w:rPr>
        <w:t>（</w:t>
      </w:r>
      <w:r>
        <w:rPr>
          <w:rFonts w:hint="eastAsia"/>
          <w:sz w:val="24"/>
          <w:szCs w:val="24"/>
          <w:lang w:val="en-US" w:eastAsia="zh-CN"/>
        </w:rPr>
        <w:t>合同附件应包含：配置清单、装箱清单、零配件易耗品价格清单</w:t>
      </w:r>
      <w:r>
        <w:rPr>
          <w:rFonts w:hint="eastAsia"/>
          <w:sz w:val="24"/>
          <w:szCs w:val="24"/>
          <w:lang w:eastAsia="zh-CN"/>
        </w:rPr>
        <w:t>）</w:t>
      </w:r>
    </w:p>
    <w:p w14:paraId="1EC7EF9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2.1.</w:t>
      </w:r>
      <w:r>
        <w:rPr>
          <w:rFonts w:hint="eastAsia"/>
          <w:sz w:val="24"/>
          <w:szCs w:val="24"/>
          <w:lang w:val="en-US" w:eastAsia="zh-CN"/>
        </w:rPr>
        <w:t>2</w:t>
      </w:r>
      <w:r>
        <w:rPr>
          <w:sz w:val="24"/>
          <w:szCs w:val="24"/>
        </w:rPr>
        <w:t>.乙方所提供的货物应符合国家有关安全、环保、卫生的规定。</w:t>
      </w:r>
    </w:p>
    <w:p w14:paraId="7B20358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乙方必须保证该套货物配置齐全，达到该套货物的所有技术参数及功能，如配置清单没列举完整的，乙方也应无条件提供，对此，乙方应当基于自己的行业经验充分合理预判，费用已包含在合同价款之中。若短缺配置市场采购价高于原合同单价的，差价由乙方承担；短缺导致采购周期超过30日的，按合同第八条承担违约责任，如因短缺或其它因素造成该套货物不能按时完全正常使用，乙方负责赔偿由此给甲方造成的所有损失。</w:t>
      </w:r>
    </w:p>
    <w:p w14:paraId="1A00828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sz w:val="24"/>
          <w:szCs w:val="24"/>
        </w:rPr>
        <w:t>2.2.包装方式及运输</w:t>
      </w:r>
      <w:r>
        <w:rPr>
          <w:rFonts w:hint="eastAsia"/>
          <w:sz w:val="24"/>
          <w:szCs w:val="24"/>
          <w:lang w:val="en-US" w:eastAsia="zh-CN"/>
        </w:rPr>
        <w:t>方式</w:t>
      </w:r>
    </w:p>
    <w:p w14:paraId="12C7CAF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bookmarkStart w:id="0" w:name="_Hlk131519305"/>
      <w:r>
        <w:rPr>
          <w:rFonts w:hint="eastAsia"/>
          <w:sz w:val="24"/>
          <w:szCs w:val="24"/>
          <w:lang w:val="en-US" w:eastAsia="zh-CN"/>
        </w:rPr>
        <w:t>乙方提供产品及相关快递服务的具体包装要求和履约验收相关条款应符合财政部办公厅生态环境部办公厅国家邮政局办公室关于印发《商品包装政府采购需求标准（试行）》、《快递包装政府采购需求标准（试行）》的通知（财办库〔2020〕123号）的规定。</w:t>
      </w:r>
      <w:bookmarkEnd w:id="0"/>
    </w:p>
    <w:p w14:paraId="110A23A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2.3.质量保修范围和保修期</w:t>
      </w:r>
    </w:p>
    <w:p w14:paraId="24DF360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2.3.1.保修期</w:t>
      </w:r>
    </w:p>
    <w:p w14:paraId="33E6DBE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 xml:space="preserve">质保期限：自验收报告双方签字之日起全套货物质保期为 </w:t>
      </w:r>
      <w:r>
        <w:rPr>
          <w:rFonts w:hint="eastAsia"/>
          <w:sz w:val="24"/>
          <w:szCs w:val="24"/>
          <w:u w:val="single"/>
          <w:lang w:val="en-US" w:eastAsia="zh-CN"/>
        </w:rPr>
        <w:t xml:space="preserve">     </w:t>
      </w:r>
      <w:r>
        <w:rPr>
          <w:rFonts w:hint="eastAsia"/>
          <w:sz w:val="24"/>
          <w:szCs w:val="24"/>
          <w:lang w:val="en-US" w:eastAsia="zh-CN"/>
        </w:rPr>
        <w:t>年。</w:t>
      </w:r>
    </w:p>
    <w:p w14:paraId="1D6656C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质保期内，乙方工程师每年不少于  4  次巡回保养服务。</w:t>
      </w:r>
    </w:p>
    <w:p w14:paraId="53F1D50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2.3.2.质量保修范围</w:t>
      </w:r>
    </w:p>
    <w:p w14:paraId="1666D56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2.3.2.1.硬件在质保期内，如果出现三次以上因质量引起的故障，乙方负责更换同类新硬件。乙方应按生产厂家的质保规定和投标（响应）文件说明服务承诺做好质保等服务，质保期内维修、零部件、易损件及工时费等已含在总价内。软件如发生三次（含三次）以上缺陷问题，影响仪器、设备的正常运转，乙方必须更换性能更好、稳定性更高的软件。终身开放所有网络接口并永久提供安装密码、使用密码和维修密码给甲方。甲方任何时候开放软件及端口，乙方协助无缝连接，上述所有费用均包含在乙方报价内，甲方不再额外支付。</w:t>
      </w:r>
    </w:p>
    <w:p w14:paraId="7454655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2.3.2.2.质保期后，乙方终身上门服务。</w:t>
      </w:r>
    </w:p>
    <w:p w14:paraId="54FE9AA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2.3.2.3.维修时间和时限：乙方接到甲方通知后2小时内，作出反应，如4小时内无法电话解决问题，8小时内乙方工程师到达甲方现场进行维修与更换零部件，维修期间，根据甲方需求，乙方应向甲方提供替用设备。解决时间：不更换零部件自甲方通知之时起24小时内解决；更换非大型部件48小时内解决；更换大型部件10日内解决。以上所有时间均含节假日。</w:t>
      </w:r>
    </w:p>
    <w:p w14:paraId="1581CC7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2.3.2.4.易耗品与零配件供应及价格：乙方终身提供设备的易耗品与零配件，其易耗品与零配件价格以乙方投标响应为准。</w:t>
      </w:r>
    </w:p>
    <w:p w14:paraId="6845995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2.3.2.5.开机率：在质保期内，年开机率≥95％，开机天数每少一天，质保期增加10天。</w:t>
      </w:r>
    </w:p>
    <w:p w14:paraId="3A1070D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2.3.2.6.质保期后如甲方购买维保服务的，年维保费用（全保）不超过设备总价的</w:t>
      </w:r>
      <w:r>
        <w:rPr>
          <w:rFonts w:hint="eastAsia"/>
          <w:sz w:val="24"/>
          <w:szCs w:val="24"/>
          <w:u w:val="none"/>
          <w:lang w:val="en-US" w:eastAsia="zh-CN"/>
        </w:rPr>
        <w:t>5</w:t>
      </w:r>
      <w:r>
        <w:rPr>
          <w:rFonts w:hint="eastAsia"/>
          <w:sz w:val="24"/>
          <w:szCs w:val="24"/>
          <w:lang w:val="en-US" w:eastAsia="zh-CN"/>
        </w:rPr>
        <w:t>%，维保的内容和要求与质保期一致。乙方拒绝按前述约定与甲方签订维保合同的，甲方有权委托第三方进行维保，甲方支付给第三方的维保费超过前述约定价格的部分由乙方承担，造成甲方其他损失的，乙方还应当赔偿。如第三方无法提供维保服务，乙方又拒绝按前述约定与甲方签订维保合同的，甲方有权解除本合同，不支付剩余款项（如有），乙方应当向甲方支付本合同金额20%的违约金，并返还合同金额50%的款项，造成甲方其他损失的，乙方还应当赔偿。</w:t>
      </w:r>
    </w:p>
    <w:p w14:paraId="1BF5E72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2.3.2.7乙方应当在货物（仪器设备）的正常使用年限内保证零配件、专用耗材的供应，乙方违反本条约定的，甲方有权解除合同，不支付剩余款项(如有)。并视违约情况，</w:t>
      </w:r>
      <w:r>
        <w:rPr>
          <w:rFonts w:hint="eastAsia"/>
          <w:sz w:val="24"/>
          <w:szCs w:val="24"/>
          <w:lang w:eastAsia="zh-CN"/>
        </w:rPr>
        <w:t>甲方有权要求</w:t>
      </w:r>
      <w:r>
        <w:rPr>
          <w:rFonts w:hint="eastAsia"/>
          <w:sz w:val="24"/>
          <w:szCs w:val="24"/>
          <w:highlight w:val="none"/>
          <w:lang w:val="en-US" w:eastAsia="zh-CN"/>
        </w:rPr>
        <w:t>乙方向甲方支付本合同金额20%的违约金，并返还合同金额20-50 %的款项，</w:t>
      </w:r>
      <w:r>
        <w:rPr>
          <w:rFonts w:hint="eastAsia"/>
          <w:sz w:val="24"/>
          <w:szCs w:val="24"/>
          <w:lang w:val="en-US" w:eastAsia="zh-CN"/>
        </w:rPr>
        <w:t>造成甲方其他损失的【包括但不限于购买、安装替代货物与本合同货物的价差、重新招标（比选）的费用、更换货物导致的甲方的运营损失及第三方的损失等】，乙方还应当赔偿。</w:t>
      </w:r>
    </w:p>
    <w:p w14:paraId="17498A6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2.4.其他要求；</w:t>
      </w:r>
    </w:p>
    <w:p w14:paraId="50169BE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保修期后的易耗品及零配件供应</w:t>
      </w:r>
    </w:p>
    <w:p w14:paraId="325850C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sz w:val="24"/>
          <w:szCs w:val="24"/>
          <w:lang w:val="en-US" w:eastAsia="zh-CN"/>
        </w:rPr>
      </w:pPr>
      <w:r>
        <w:rPr>
          <w:rFonts w:hint="eastAsia"/>
          <w:sz w:val="24"/>
          <w:szCs w:val="24"/>
          <w:lang w:val="en-US" w:eastAsia="zh-CN"/>
        </w:rPr>
        <w:t>收费易耗品及零配件按照年用量为5000人次的标准计算年度合计金额。年度合计金额最低的报价将作为基准价。投标人须确保投标文件完整包含所有可能发生的费用。若投标人未提供消耗品及零配件清单，或清单中存在未列明价格、标注价格为0元的情况，均视为相关物料及服务费用已全部纳入投标总价。中标后采购人在标的使用过程中所涉及的一切易耗品更换、零配件维护及其他可能产生的费用，均包含在本项目总报价范围内，中标人不得以任何理由另行收取费用。保修期结束后，中标人应继续提供易耗品及零配件，直至采购人不再使用相应标的。（如适用）</w:t>
      </w:r>
    </w:p>
    <w:p w14:paraId="55970EF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lang w:val="en-US" w:eastAsia="zh-CN"/>
        </w:rPr>
        <w:t>【注：保修期后的易耗品及零配件报价清单格式参见附件－《保修期后的易耗品及零配件报价清单》】</w:t>
      </w:r>
    </w:p>
    <w:p w14:paraId="3A1711C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b/>
          <w:bCs/>
          <w:sz w:val="24"/>
          <w:szCs w:val="24"/>
        </w:rPr>
      </w:pPr>
      <w:r>
        <w:rPr>
          <w:b/>
          <w:bCs/>
          <w:sz w:val="24"/>
          <w:szCs w:val="24"/>
        </w:rPr>
        <w:t>三、合同价款、支付方式和付款进度安排</w:t>
      </w:r>
    </w:p>
    <w:p w14:paraId="01C2401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3.1.合同价款</w:t>
      </w:r>
    </w:p>
    <w:p w14:paraId="5116A82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（报价模式为总价时显示）</w:t>
      </w:r>
    </w:p>
    <w:p w14:paraId="690B63B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本合同总金额为｛（继承信息，不可编辑）XXX｝元（大写：｛（自动生成，不可编辑）XX｝元。</w:t>
      </w:r>
    </w:p>
    <w:p w14:paraId="1B608A9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（报价模式为单价/百分比/组合报价时显示）</w:t>
      </w:r>
    </w:p>
    <w:p w14:paraId="61A6531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本合同总金额为｛（继承信息，不可编辑）XXX｝元（大写：｛（自动生成，不可编辑）XX｝元。</w:t>
      </w:r>
    </w:p>
    <w:p w14:paraId="66A82D9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{（报价模式为单价时显示以下预设内容，可编辑）</w:t>
      </w:r>
    </w:p>
    <w:p w14:paraId="078A9BE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本合同为单价结算方式，具体结算以实际发生的服务量及合同约定的单价据实结算，但不得超过本合同总金额。}</w:t>
      </w:r>
    </w:p>
    <w:p w14:paraId="549CAD3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{（报价模式为百分比时显示以下预设内容，可编辑）</w:t>
      </w:r>
    </w:p>
    <w:p w14:paraId="10B1C7F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本合同按合同履行过程中实际发生时的价格乘以乙方所报百分</w:t>
      </w:r>
    </w:p>
    <w:p w14:paraId="1AB1870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比据实结算，但不得超过本合同总金额。}</w:t>
      </w:r>
    </w:p>
    <w:p w14:paraId="3426C5E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其他情况说明：</w:t>
      </w:r>
      <w:r>
        <w:rPr>
          <w:rFonts w:hint="eastAsia"/>
          <w:sz w:val="24"/>
          <w:szCs w:val="24"/>
          <w:lang w:val="en-US" w:eastAsia="zh-CN"/>
        </w:rPr>
        <w:t>本合同金额为包干价，含采购文件及合同约定的全部义务成本，不因汇率、税收政策、原材料价格等任何因素调整，包括：但不限于货物设计、材料、制造、包装、运输、装卸、保险、关税、增值税、仓储、商检、卫检、报关、输机、清关手续费、安装、调试、培训、质检、质保费用、技术支持、其它伴随服务等。</w:t>
      </w:r>
    </w:p>
    <w:p w14:paraId="7A4CFA4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3.2.支付方式；</w:t>
      </w:r>
    </w:p>
    <w:p w14:paraId="575BF92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货款的结算：甲乙双方确认按以下第</w:t>
      </w:r>
      <w:r>
        <w:rPr>
          <w:rFonts w:hint="eastAsia"/>
          <w:sz w:val="24"/>
          <w:szCs w:val="24"/>
          <w:u w:val="single"/>
          <w:lang w:val="en-US" w:eastAsia="zh-CN"/>
        </w:rPr>
        <w:t xml:space="preserve">   </w:t>
      </w:r>
      <w:r>
        <w:rPr>
          <w:rFonts w:hint="eastAsia"/>
          <w:sz w:val="24"/>
          <w:szCs w:val="24"/>
          <w:lang w:val="en-US" w:eastAsia="zh-CN"/>
        </w:rPr>
        <w:t>项约定结算货款，如乙方存在未决违约行为或索赔，甲方有权暂停支付尾款直至争议解决。甲方付款以银行转账方式转账至乙方公司账户内，甲方每次付款前乙方应开具相应金额的正式合规的财务票据，否则甲方付款期限相应顺延。</w:t>
      </w:r>
    </w:p>
    <w:p w14:paraId="0CDCEB7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（1）货到验收合格后，甲方应在收到乙方提交的付款申请、发票（发票金额为到货货物的总金额）之日起60日内向乙方支付到货货物金额的100%（金额     元；人民币大写金额：       ），若有其他扣款、赔偿金、违约金等需要乙方承担的费用，甲方有权直接予以扣除后支付。</w:t>
      </w:r>
    </w:p>
    <w:p w14:paraId="1A18CBF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（2）货物运到甲方指定地点后，甲方应在收到乙方提交的付款申请、发票（发票金额为到货货物的总金额）之日起60日内支付到货货物金额的60%（金额     元；人民币大写金额：     ）；安装验收合格后，甲方应在收到乙方提交的付款申请之日起60日内支付到货货物金额的40%（金额     元；人民币大写金额：     ）。</w:t>
      </w:r>
    </w:p>
    <w:p w14:paraId="3566CCA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3.3.付款进度安排</w:t>
      </w:r>
    </w:p>
    <w:tbl>
      <w:tblPr>
        <w:tblStyle w:val="9"/>
        <w:tblW w:w="9916" w:type="dxa"/>
        <w:tblInd w:w="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815"/>
        <w:gridCol w:w="2028"/>
        <w:gridCol w:w="1736"/>
        <w:gridCol w:w="1751"/>
        <w:gridCol w:w="1790"/>
        <w:gridCol w:w="1796"/>
      </w:tblGrid>
      <w:tr w14:paraId="184CF518">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521" w:hRule="atLeast"/>
        </w:trPr>
        <w:tc>
          <w:tcPr>
            <w:tcW w:w="815" w:type="dxa"/>
            <w:vAlign w:val="top"/>
          </w:tcPr>
          <w:p w14:paraId="710921B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期次</w:t>
            </w:r>
          </w:p>
        </w:tc>
        <w:tc>
          <w:tcPr>
            <w:tcW w:w="2028" w:type="dxa"/>
            <w:vAlign w:val="top"/>
          </w:tcPr>
          <w:p w14:paraId="003E46D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支付金额（元）</w:t>
            </w:r>
          </w:p>
        </w:tc>
        <w:tc>
          <w:tcPr>
            <w:tcW w:w="1736" w:type="dxa"/>
            <w:vAlign w:val="top"/>
          </w:tcPr>
          <w:p w14:paraId="5DDAA16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计划支付日期</w:t>
            </w:r>
          </w:p>
        </w:tc>
        <w:tc>
          <w:tcPr>
            <w:tcW w:w="1751" w:type="dxa"/>
            <w:vAlign w:val="top"/>
          </w:tcPr>
          <w:p w14:paraId="55780A9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收款人</w:t>
            </w:r>
          </w:p>
        </w:tc>
        <w:tc>
          <w:tcPr>
            <w:tcW w:w="1790" w:type="dxa"/>
            <w:vAlign w:val="top"/>
          </w:tcPr>
          <w:p w14:paraId="5831880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支付说明</w:t>
            </w:r>
          </w:p>
        </w:tc>
        <w:tc>
          <w:tcPr>
            <w:tcW w:w="1796" w:type="dxa"/>
            <w:vAlign w:val="top"/>
          </w:tcPr>
          <w:p w14:paraId="2B3644B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是否预付款</w:t>
            </w:r>
          </w:p>
        </w:tc>
      </w:tr>
      <w:tr w14:paraId="1FC52E6C">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411" w:hRule="atLeast"/>
        </w:trPr>
        <w:tc>
          <w:tcPr>
            <w:tcW w:w="815" w:type="dxa"/>
            <w:vAlign w:val="top"/>
          </w:tcPr>
          <w:p w14:paraId="1590A79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p>
          <w:p w14:paraId="6DA5EA0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w:t>
            </w:r>
          </w:p>
        </w:tc>
        <w:tc>
          <w:tcPr>
            <w:tcW w:w="2028" w:type="dxa"/>
            <w:vAlign w:val="top"/>
          </w:tcPr>
          <w:p w14:paraId="14C4B5C8">
            <w:pPr>
              <w:spacing w:before="80" w:line="300" w:lineRule="auto"/>
              <w:ind w:left="28" w:right="5" w:firstLine="1"/>
              <w:rPr>
                <w:rFonts w:ascii="宋体" w:hAnsi="宋体" w:eastAsia="宋体" w:cs="宋体"/>
                <w:spacing w:val="-10"/>
                <w:sz w:val="24"/>
                <w:szCs w:val="24"/>
              </w:rPr>
            </w:pPr>
            <w:r>
              <w:rPr>
                <w:rFonts w:ascii="宋体" w:hAnsi="宋体" w:eastAsia="宋体" w:cs="宋体"/>
                <w:spacing w:val="-10"/>
                <w:sz w:val="24"/>
                <w:szCs w:val="24"/>
              </w:rPr>
              <w:t>｛（采购人自行编辑）XX｝</w:t>
            </w:r>
          </w:p>
        </w:tc>
        <w:tc>
          <w:tcPr>
            <w:tcW w:w="1736" w:type="dxa"/>
            <w:vAlign w:val="top"/>
          </w:tcPr>
          <w:p w14:paraId="50E40880">
            <w:pPr>
              <w:spacing w:before="80" w:line="300" w:lineRule="auto"/>
              <w:ind w:left="28" w:right="5" w:firstLine="1"/>
              <w:rPr>
                <w:rFonts w:ascii="宋体" w:hAnsi="宋体" w:eastAsia="宋体" w:cs="宋体"/>
                <w:spacing w:val="-10"/>
                <w:sz w:val="24"/>
                <w:szCs w:val="24"/>
              </w:rPr>
            </w:pPr>
            <w:r>
              <w:rPr>
                <w:rFonts w:ascii="宋体" w:hAnsi="宋体" w:eastAsia="宋体" w:cs="宋体"/>
                <w:spacing w:val="-10"/>
                <w:sz w:val="24"/>
                <w:szCs w:val="24"/>
              </w:rPr>
              <w:t>｛（采购人选择支付日期）X X｝</w:t>
            </w:r>
          </w:p>
        </w:tc>
        <w:tc>
          <w:tcPr>
            <w:tcW w:w="1751" w:type="dxa"/>
            <w:vAlign w:val="top"/>
          </w:tcPr>
          <w:p w14:paraId="521BBBF5">
            <w:pPr>
              <w:spacing w:before="80" w:line="300" w:lineRule="auto"/>
              <w:ind w:left="28" w:right="5" w:firstLine="1"/>
              <w:rPr>
                <w:rFonts w:ascii="宋体" w:hAnsi="宋体" w:eastAsia="宋体" w:cs="宋体"/>
                <w:spacing w:val="-10"/>
                <w:sz w:val="24"/>
                <w:szCs w:val="24"/>
              </w:rPr>
            </w:pPr>
            <w:r>
              <w:rPr>
                <w:rFonts w:ascii="宋体" w:hAnsi="宋体" w:eastAsia="宋体" w:cs="宋体"/>
                <w:spacing w:val="-10"/>
                <w:sz w:val="24"/>
                <w:szCs w:val="24"/>
              </w:rPr>
              <w:t>｛（采购人选择供应商名称）XX｝</w:t>
            </w:r>
          </w:p>
        </w:tc>
        <w:tc>
          <w:tcPr>
            <w:tcW w:w="1790" w:type="dxa"/>
            <w:vAlign w:val="top"/>
          </w:tcPr>
          <w:p w14:paraId="42F3DDF2">
            <w:pPr>
              <w:spacing w:before="80" w:line="300" w:lineRule="auto"/>
              <w:ind w:left="28" w:right="5" w:firstLine="1"/>
              <w:rPr>
                <w:rFonts w:ascii="宋体" w:hAnsi="宋体" w:eastAsia="宋体" w:cs="宋体"/>
                <w:spacing w:val="-10"/>
                <w:sz w:val="24"/>
                <w:szCs w:val="24"/>
              </w:rPr>
            </w:pPr>
            <w:r>
              <w:rPr>
                <w:rFonts w:ascii="宋体" w:hAnsi="宋体" w:eastAsia="宋体" w:cs="宋体"/>
                <w:spacing w:val="-10"/>
                <w:sz w:val="24"/>
                <w:szCs w:val="24"/>
              </w:rPr>
              <w:t>｛（继承信息，可编辑）XX｝</w:t>
            </w:r>
          </w:p>
        </w:tc>
        <w:tc>
          <w:tcPr>
            <w:tcW w:w="1796" w:type="dxa"/>
            <w:vAlign w:val="top"/>
          </w:tcPr>
          <w:p w14:paraId="70E85600">
            <w:pPr>
              <w:spacing w:before="80" w:line="300" w:lineRule="auto"/>
              <w:ind w:left="27" w:right="67" w:firstLine="31"/>
              <w:rPr>
                <w:sz w:val="24"/>
                <w:szCs w:val="24"/>
              </w:rPr>
            </w:pPr>
            <w:r>
              <w:rPr>
                <w:rFonts w:ascii="宋体" w:hAnsi="宋体" w:eastAsia="宋体" w:cs="宋体"/>
                <w:spacing w:val="-4"/>
                <w:sz w:val="24"/>
                <w:szCs w:val="24"/>
              </w:rPr>
              <w:t>{（继承信息，</w:t>
            </w:r>
            <w:r>
              <w:rPr>
                <w:rFonts w:ascii="宋体" w:hAnsi="宋体" w:eastAsia="宋体" w:cs="宋体"/>
                <w:spacing w:val="9"/>
                <w:sz w:val="24"/>
                <w:szCs w:val="24"/>
              </w:rPr>
              <w:t>可编辑）</w:t>
            </w:r>
            <w:r>
              <w:rPr>
                <w:rFonts w:ascii="宋体" w:hAnsi="宋体" w:eastAsia="宋体" w:cs="宋体"/>
                <w:sz w:val="24"/>
                <w:szCs w:val="24"/>
              </w:rPr>
              <w:t>XX</w:t>
            </w:r>
            <w:r>
              <w:rPr>
                <w:rFonts w:ascii="宋体" w:hAnsi="宋体" w:eastAsia="宋体" w:cs="宋体"/>
                <w:spacing w:val="9"/>
                <w:sz w:val="24"/>
                <w:szCs w:val="24"/>
              </w:rPr>
              <w:t>}</w:t>
            </w:r>
          </w:p>
        </w:tc>
      </w:tr>
    </w:tbl>
    <w:p w14:paraId="0C71863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b/>
          <w:bCs/>
          <w:sz w:val="24"/>
          <w:szCs w:val="24"/>
        </w:rPr>
        <w:t>四、合同履行</w:t>
      </w:r>
    </w:p>
    <w:p w14:paraId="264A75D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highlight w:val="none"/>
        </w:rPr>
      </w:pPr>
      <w:r>
        <w:rPr>
          <w:sz w:val="24"/>
          <w:szCs w:val="24"/>
        </w:rPr>
        <w:t>4.</w:t>
      </w:r>
      <w:r>
        <w:rPr>
          <w:sz w:val="24"/>
          <w:szCs w:val="24"/>
          <w:highlight w:val="none"/>
        </w:rPr>
        <w:t>1.交货时间：｛（继承信息，可编辑）XX｝ 履约时间：{XXXX</w:t>
      </w:r>
    </w:p>
    <w:p w14:paraId="15F2A57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highlight w:val="none"/>
        </w:rPr>
      </w:pPr>
      <w:r>
        <w:rPr>
          <w:sz w:val="24"/>
          <w:szCs w:val="24"/>
          <w:highlight w:val="none"/>
        </w:rPr>
        <w:t>年 XX 月 XX 日}-{XXXX 年 XX 月 XX 日｝ (采购人选择)</w:t>
      </w:r>
    </w:p>
    <w:p w14:paraId="1B36639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highlight w:val="none"/>
        </w:rPr>
      </w:pPr>
      <w:r>
        <w:rPr>
          <w:sz w:val="24"/>
          <w:szCs w:val="24"/>
          <w:highlight w:val="none"/>
        </w:rPr>
        <w:t>4.2.交货地点：｛（继承信息，可编辑）XX｝</w:t>
      </w:r>
    </w:p>
    <w:p w14:paraId="3BFB8FA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highlight w:val="none"/>
        </w:rPr>
      </w:pPr>
      <w:r>
        <w:rPr>
          <w:sz w:val="24"/>
          <w:szCs w:val="24"/>
          <w:highlight w:val="none"/>
        </w:rPr>
        <w:t xml:space="preserve">4.3.分期履行要求： </w:t>
      </w:r>
    </w:p>
    <w:p w14:paraId="3D5444B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highlight w:val="none"/>
          <w:lang w:val="en-US" w:eastAsia="zh-CN"/>
        </w:rPr>
        <w:t>乙方按甲方实际需求进行交货，每批次货物需在收到甲方通知之日起</w:t>
      </w:r>
      <w:r>
        <w:rPr>
          <w:rFonts w:hint="eastAsia"/>
          <w:sz w:val="24"/>
          <w:szCs w:val="24"/>
          <w:highlight w:val="none"/>
          <w:u w:val="none"/>
          <w:lang w:val="en-US" w:eastAsia="zh-CN"/>
        </w:rPr>
        <w:t>30</w:t>
      </w:r>
      <w:r>
        <w:rPr>
          <w:rFonts w:hint="eastAsia"/>
          <w:sz w:val="24"/>
          <w:szCs w:val="24"/>
          <w:highlight w:val="none"/>
          <w:lang w:val="en-US" w:eastAsia="zh-CN"/>
        </w:rPr>
        <w:t>日内交货安装，单次交货数量需按甲方要求执行。乙方如不能按时交货，必须承担本合同约定的违约责任及由此给甲方造成的所有损失，同时甲方有权解除合同并追究乙方违约责任。本条所指交货是指乙方将货物运送至甲方指定地点，甲方按照本合同配置清单及装箱清单等进行核对无误后，视为交货完成。经甲方核对，乙方未能按本合同配置清单及装箱清单等交付的，甲方有权拒收全部货物，甲方拒收的，即为乙方未交货。拒收的货物由乙方负责处置，甲方不承</w:t>
      </w:r>
      <w:r>
        <w:rPr>
          <w:rFonts w:hint="eastAsia"/>
          <w:sz w:val="24"/>
          <w:szCs w:val="24"/>
          <w:lang w:val="en-US" w:eastAsia="zh-CN"/>
        </w:rPr>
        <w:t>担保管等责任。</w:t>
      </w:r>
    </w:p>
    <w:p w14:paraId="25BAC5A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sz w:val="24"/>
          <w:szCs w:val="24"/>
        </w:rPr>
        <w:t>4.4.风险处置措施和替代方案：</w:t>
      </w:r>
    </w:p>
    <w:p w14:paraId="4E88178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sz w:val="24"/>
          <w:szCs w:val="24"/>
          <w:highlight w:val="none"/>
          <w:lang w:val="en-US" w:eastAsia="zh-CN"/>
        </w:rPr>
      </w:pPr>
      <w:r>
        <w:rPr>
          <w:rFonts w:hint="eastAsia"/>
          <w:sz w:val="24"/>
          <w:szCs w:val="24"/>
          <w:highlight w:val="none"/>
          <w:lang w:val="en-US" w:eastAsia="zh-CN"/>
        </w:rPr>
        <w:t>甲方有权根据合同履行中的新情况(包括但不限于政策法律变化、经营方针调整、原有合同无法或难以履行等)解除本合同，但应当提前通知乙方，本合同自通知送达卖方后15日届满之日终止。通知送达之日前已经履行的，双方按照本合同约定结算，通知送达之日尚未履行的不再履行。乙方不得以此追究甲方违约责任。</w:t>
      </w:r>
    </w:p>
    <w:p w14:paraId="13584CD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b/>
          <w:bCs/>
          <w:sz w:val="24"/>
          <w:szCs w:val="24"/>
        </w:rPr>
      </w:pPr>
      <w:r>
        <w:rPr>
          <w:b/>
          <w:bCs/>
          <w:sz w:val="24"/>
          <w:szCs w:val="24"/>
        </w:rPr>
        <w:t>五、验收、交付标准和方法</w:t>
      </w:r>
    </w:p>
    <w:p w14:paraId="209E782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rPr>
        <w:t>5.</w:t>
      </w:r>
      <w:r>
        <w:rPr>
          <w:rFonts w:hint="eastAsia"/>
          <w:sz w:val="24"/>
          <w:szCs w:val="24"/>
          <w:lang w:val="en-US" w:eastAsia="zh-CN"/>
        </w:rPr>
        <w:t>1</w:t>
      </w:r>
      <w:r>
        <w:rPr>
          <w:rFonts w:hint="eastAsia"/>
          <w:sz w:val="24"/>
          <w:szCs w:val="24"/>
        </w:rPr>
        <w:t>.</w:t>
      </w:r>
      <w:r>
        <w:rPr>
          <w:rFonts w:hint="eastAsia"/>
          <w:sz w:val="24"/>
          <w:szCs w:val="24"/>
          <w:lang w:val="en-US" w:eastAsia="zh-CN"/>
        </w:rPr>
        <w:t>安装调试、培训及验收</w:t>
      </w:r>
    </w:p>
    <w:p w14:paraId="2311BB1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5.1.1.</w:t>
      </w:r>
      <w:r>
        <w:rPr>
          <w:rFonts w:hint="eastAsia"/>
          <w:sz w:val="24"/>
          <w:szCs w:val="24"/>
        </w:rPr>
        <w:t>安装、调试</w:t>
      </w:r>
    </w:p>
    <w:p w14:paraId="5C9FEB8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5.1.1.1.</w:t>
      </w:r>
      <w:r>
        <w:rPr>
          <w:rFonts w:hint="eastAsia"/>
          <w:sz w:val="24"/>
          <w:szCs w:val="24"/>
        </w:rPr>
        <w:t>乙方接到甲方通知后</w:t>
      </w:r>
      <w:r>
        <w:rPr>
          <w:rFonts w:hint="eastAsia"/>
          <w:sz w:val="24"/>
          <w:szCs w:val="24"/>
          <w:lang w:val="en-US" w:eastAsia="zh-CN"/>
        </w:rPr>
        <w:t xml:space="preserve">30 </w:t>
      </w:r>
      <w:r>
        <w:rPr>
          <w:rFonts w:hint="eastAsia"/>
          <w:sz w:val="24"/>
          <w:szCs w:val="24"/>
        </w:rPr>
        <w:t>日内，乙方向甲方提供全面的机房建筑设计、供水供电、专用地线技术要求等设计图纸及安装条件的技术要求（如适用），并派专人现场进行技术服务和指导，配合完成设备安装所应当具备的全部条件。</w:t>
      </w:r>
    </w:p>
    <w:p w14:paraId="11393F3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5.1.1.2.</w:t>
      </w:r>
      <w:r>
        <w:rPr>
          <w:rFonts w:hint="eastAsia"/>
          <w:sz w:val="24"/>
          <w:szCs w:val="24"/>
        </w:rPr>
        <w:t>开箱后，双方如无异议，乙方派有经验的工程技术人员开始负责安装和调试；如有异议，待问题解决后，乙方当日派人负责安装调试。如甲方的异议成立，则乙方的安装调试期限不顺延。</w:t>
      </w:r>
    </w:p>
    <w:p w14:paraId="127A93B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5.1.1.3.</w:t>
      </w:r>
      <w:r>
        <w:rPr>
          <w:rFonts w:hint="eastAsia"/>
          <w:sz w:val="24"/>
          <w:szCs w:val="24"/>
        </w:rPr>
        <w:t>安装、调试期限为货到</w:t>
      </w:r>
      <w:r>
        <w:rPr>
          <w:rFonts w:hint="eastAsia"/>
          <w:sz w:val="24"/>
          <w:szCs w:val="24"/>
          <w:lang w:val="en-US" w:eastAsia="zh-CN"/>
        </w:rPr>
        <w:t xml:space="preserve"> </w:t>
      </w:r>
      <w:r>
        <w:rPr>
          <w:rFonts w:hint="eastAsia"/>
          <w:strike w:val="0"/>
          <w:sz w:val="24"/>
          <w:szCs w:val="24"/>
          <w:u w:val="none"/>
          <w:lang w:val="en-US" w:eastAsia="zh-CN"/>
        </w:rPr>
        <w:t>30</w:t>
      </w:r>
      <w:r>
        <w:rPr>
          <w:rFonts w:hint="eastAsia"/>
          <w:sz w:val="24"/>
          <w:szCs w:val="24"/>
        </w:rPr>
        <w:t>日内。乙方应在规定的安装调试期内完成该项工作。如因乙方责任而造成延期，所有因延期而产生的费用由乙方承担。</w:t>
      </w:r>
    </w:p>
    <w:p w14:paraId="28CD54C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5.1.1.4.</w:t>
      </w:r>
      <w:r>
        <w:rPr>
          <w:rFonts w:hint="eastAsia"/>
          <w:sz w:val="24"/>
          <w:szCs w:val="24"/>
        </w:rPr>
        <w:t>安装调试过程中，乙方不得损坏甲方墙体等结构，若对甲方墙体等结构造成损坏，乙方需负责修复，所有修复费用由乙方承担，同时按照乙方不能履约处理</w:t>
      </w:r>
      <w:r>
        <w:rPr>
          <w:rFonts w:hint="eastAsia"/>
          <w:sz w:val="24"/>
          <w:szCs w:val="24"/>
          <w:lang w:eastAsia="zh-CN"/>
        </w:rPr>
        <w:t>，</w:t>
      </w:r>
      <w:r>
        <w:rPr>
          <w:rFonts w:hint="eastAsia"/>
          <w:sz w:val="24"/>
          <w:szCs w:val="24"/>
          <w:lang w:val="en-US" w:eastAsia="zh-CN"/>
        </w:rPr>
        <w:t>造成甲方损失的应当予以全额赔偿</w:t>
      </w:r>
      <w:r>
        <w:rPr>
          <w:rFonts w:hint="eastAsia"/>
          <w:sz w:val="24"/>
          <w:szCs w:val="24"/>
        </w:rPr>
        <w:t>。同时所有进场费用（包括但不限于吊车装运费用等）由乙方承担。嵌入设备与原基建装修单位产生的安装相关费用由供应商自行承担。</w:t>
      </w:r>
    </w:p>
    <w:p w14:paraId="44B4F18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5.1.1.5.</w:t>
      </w:r>
      <w:r>
        <w:rPr>
          <w:rFonts w:hint="eastAsia"/>
          <w:sz w:val="24"/>
          <w:szCs w:val="24"/>
        </w:rPr>
        <w:t>乙方所派安装、调试及维修、维保人员名单必须与投标（响应）文件拟派人员名单（如有）一致，如需更换需事先</w:t>
      </w:r>
      <w:r>
        <w:rPr>
          <w:rFonts w:hint="eastAsia"/>
          <w:sz w:val="24"/>
          <w:szCs w:val="24"/>
          <w:lang w:val="en-US" w:eastAsia="zh-CN"/>
        </w:rPr>
        <w:t>书面</w:t>
      </w:r>
      <w:r>
        <w:rPr>
          <w:rFonts w:hint="eastAsia"/>
          <w:sz w:val="24"/>
          <w:szCs w:val="24"/>
        </w:rPr>
        <w:t>征得甲方同意</w:t>
      </w:r>
      <w:r>
        <w:rPr>
          <w:rFonts w:hint="eastAsia"/>
          <w:sz w:val="24"/>
          <w:szCs w:val="24"/>
          <w:lang w:eastAsia="zh-CN"/>
        </w:rPr>
        <w:t>，</w:t>
      </w:r>
      <w:r>
        <w:rPr>
          <w:rFonts w:hint="eastAsia"/>
          <w:sz w:val="24"/>
          <w:szCs w:val="24"/>
          <w:lang w:val="en-US" w:eastAsia="zh-CN"/>
        </w:rPr>
        <w:t>且更换后人员的资质等级、工作经验等不得低于</w:t>
      </w:r>
      <w:r>
        <w:rPr>
          <w:rFonts w:hint="eastAsia"/>
          <w:sz w:val="24"/>
          <w:szCs w:val="24"/>
        </w:rPr>
        <w:t>投标（响应）文件拟派人员。</w:t>
      </w:r>
    </w:p>
    <w:p w14:paraId="15A38E8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5.1.2.</w:t>
      </w:r>
      <w:r>
        <w:rPr>
          <w:rFonts w:hint="eastAsia"/>
          <w:sz w:val="24"/>
          <w:szCs w:val="24"/>
        </w:rPr>
        <w:t>培训</w:t>
      </w:r>
    </w:p>
    <w:p w14:paraId="6DEA7B2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5.1.2.1.</w:t>
      </w:r>
      <w:r>
        <w:rPr>
          <w:rFonts w:hint="eastAsia"/>
          <w:sz w:val="24"/>
          <w:szCs w:val="24"/>
        </w:rPr>
        <w:t>乙方提供完整的培训计划和方案。</w:t>
      </w:r>
    </w:p>
    <w:p w14:paraId="09E0A61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5.1.2.2.</w:t>
      </w:r>
      <w:r>
        <w:rPr>
          <w:rFonts w:hint="eastAsia"/>
          <w:sz w:val="24"/>
          <w:szCs w:val="24"/>
        </w:rPr>
        <w:t>操作培训：在设备安装调试完毕后，由乙方应用专家进行现场操作使用的培训和指导。出席对象为甲方对该设备的操作技术人员、医师、物理师及相关人员等。培训目的是让操作技术人员完全掌握该设备的操作流程和方法，甲方受培训人员签字后视为培训合格。上述培训为货物的标准配套服务，培训所需全部费用均由乙方支付。</w:t>
      </w:r>
    </w:p>
    <w:p w14:paraId="36523EB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5.1.2.3.</w:t>
      </w:r>
      <w:r>
        <w:rPr>
          <w:rFonts w:hint="eastAsia"/>
          <w:sz w:val="24"/>
          <w:szCs w:val="24"/>
        </w:rPr>
        <w:t>维修培训：安装调试时，由乙方工程师对甲方维修工程师进行现场培训，培训的目的是让甲方维修工程师掌握常见故障的判断与常规处理方法以及日常的维护保养方法，甲方维修工程师签字后视为培训合格。上述培训为该货物的标准配套服务，培训所需全部费用均由乙方支付。</w:t>
      </w:r>
    </w:p>
    <w:p w14:paraId="712E619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5.1.3.验收</w:t>
      </w:r>
    </w:p>
    <w:p w14:paraId="77EE229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rPr>
        <w:t>乙方交付的货物应当符合下列约定：</w:t>
      </w:r>
    </w:p>
    <w:p w14:paraId="23C9E98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5.1.3.1.</w:t>
      </w:r>
      <w:r>
        <w:rPr>
          <w:rFonts w:hint="eastAsia"/>
          <w:sz w:val="24"/>
          <w:szCs w:val="24"/>
        </w:rPr>
        <w:t>验收依据：招标文件、投标文件、承诺约定、合同及附件。</w:t>
      </w:r>
    </w:p>
    <w:p w14:paraId="292C616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5.1.3.2.</w:t>
      </w:r>
      <w:r>
        <w:rPr>
          <w:rFonts w:hint="eastAsia"/>
          <w:sz w:val="24"/>
          <w:szCs w:val="24"/>
        </w:rPr>
        <w:t>货物配置齐全，乙方保证完全按时提供货物的硬件、软件和技术资料等。质量符合中国法律法规规定的标准，NMPA（</w:t>
      </w:r>
      <w:r>
        <w:rPr>
          <w:rFonts w:hint="eastAsia"/>
          <w:sz w:val="24"/>
          <w:szCs w:val="24"/>
          <w:lang w:val="en-US" w:eastAsia="zh-CN"/>
        </w:rPr>
        <w:t>如适用</w:t>
      </w:r>
      <w:r>
        <w:rPr>
          <w:rFonts w:hint="eastAsia"/>
          <w:sz w:val="24"/>
          <w:szCs w:val="24"/>
        </w:rPr>
        <w:t>），是原产地生产的原装全新产品；技术参数和性能指标达到招投标（响应）文件、合同附件、产品技术说明等。验收时向甲方提供保证其产品质量的相关手续。如双方对质量和参数性能有异议，由</w:t>
      </w:r>
      <w:r>
        <w:rPr>
          <w:rFonts w:hint="eastAsia"/>
          <w:sz w:val="24"/>
          <w:szCs w:val="24"/>
          <w:lang w:val="en-US" w:eastAsia="zh-CN"/>
        </w:rPr>
        <w:t>买、卖</w:t>
      </w:r>
      <w:r>
        <w:rPr>
          <w:rFonts w:hint="eastAsia"/>
          <w:sz w:val="24"/>
          <w:szCs w:val="24"/>
        </w:rPr>
        <w:t>双方认可的国家相关部门专家验收，出具检测验收报告为准，甲方也可委托中国有资格的单位对上述仪器的质量、技术参数、精度等进行检测校准，发生的所有费用由乙方承担。甲乙双方如对质量要求和技术指标的约定标准有相互抵触或异议的事项，由甲方在招标与投标（响应）文件中按质量要求和技术指标比较优胜的原则确定该项的约定标准进行验收。如货物经乙方一次维修</w:t>
      </w:r>
      <w:r>
        <w:rPr>
          <w:rFonts w:hint="eastAsia"/>
          <w:sz w:val="24"/>
          <w:szCs w:val="24"/>
          <w:lang w:val="en-US" w:eastAsia="zh-CN"/>
        </w:rPr>
        <w:t>或更换</w:t>
      </w:r>
      <w:r>
        <w:rPr>
          <w:rFonts w:hint="eastAsia"/>
          <w:sz w:val="24"/>
          <w:szCs w:val="24"/>
        </w:rPr>
        <w:t>仍不能达到合同约定的质量标准，甲方有权退货，并视作乙方不能交付货物而须支付违约赔偿金给甲方，甲方还可依法追究乙方的违约责任。</w:t>
      </w:r>
    </w:p>
    <w:p w14:paraId="6851296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rPr>
        <w:t>技术资料齐全（中文版本或中外文对照），乙方应当在甲方验收时将所提供货物的装箱清单、配件、随机工具、用户使用手册、原厂保修卡等资料交付给甲方。进口设备需提供商检证明及按照现行法律规定需要提供的其他证明。乙方不能完整交付本款规定的资料的，必须负责补齐，否则视为未按合同约定</w:t>
      </w:r>
      <w:r>
        <w:rPr>
          <w:rFonts w:hint="eastAsia"/>
          <w:sz w:val="24"/>
          <w:szCs w:val="24"/>
          <w:highlight w:val="none"/>
        </w:rPr>
        <w:t>交货</w:t>
      </w:r>
      <w:r>
        <w:rPr>
          <w:rFonts w:hint="eastAsia"/>
          <w:sz w:val="24"/>
          <w:szCs w:val="24"/>
        </w:rPr>
        <w:t>。如包装有损坏、产品有质量缺陷、配置短缺、规格型号不符、数量不符、资料不全等或不符合上述标准的，由乙方在7日内给予更换、补齐，并承担由此产生的全部费用，且交货时间不顺延。若更换后仍不符合要求，甲方有权退货并要求乙方承担合同总额30%的惩罚性违约金</w:t>
      </w:r>
      <w:r>
        <w:rPr>
          <w:rFonts w:hint="eastAsia"/>
          <w:sz w:val="24"/>
          <w:szCs w:val="24"/>
          <w:lang w:eastAsia="zh-CN"/>
        </w:rPr>
        <w:t>。</w:t>
      </w:r>
    </w:p>
    <w:p w14:paraId="4BC15B5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5.1.4.</w:t>
      </w:r>
      <w:r>
        <w:rPr>
          <w:rFonts w:hint="eastAsia"/>
          <w:sz w:val="24"/>
          <w:szCs w:val="24"/>
        </w:rPr>
        <w:t>验收方式</w:t>
      </w:r>
    </w:p>
    <w:p w14:paraId="2A2C3C0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5.1.4.1.</w:t>
      </w:r>
      <w:r>
        <w:rPr>
          <w:rFonts w:hint="eastAsia"/>
          <w:sz w:val="24"/>
          <w:szCs w:val="24"/>
        </w:rPr>
        <w:t>由甲方编写验收资料[含配置验收、主要性能和质量验收、质量检测（涉及到需要计量检测的设备提供检测合格报告）及防护验收（如适用）、培训验收等]，自乙方</w:t>
      </w:r>
      <w:r>
        <w:rPr>
          <w:rFonts w:hint="eastAsia"/>
          <w:sz w:val="24"/>
          <w:szCs w:val="24"/>
          <w:lang w:val="en-US" w:eastAsia="zh-CN"/>
        </w:rPr>
        <w:t>书面</w:t>
      </w:r>
      <w:r>
        <w:rPr>
          <w:rFonts w:hint="eastAsia"/>
          <w:sz w:val="24"/>
          <w:szCs w:val="24"/>
        </w:rPr>
        <w:t>提出验收</w:t>
      </w:r>
      <w:r>
        <w:rPr>
          <w:rFonts w:hint="eastAsia"/>
          <w:sz w:val="24"/>
          <w:szCs w:val="24"/>
          <w:lang w:val="en-US" w:eastAsia="zh-CN"/>
        </w:rPr>
        <w:t>申请</w:t>
      </w:r>
      <w:r>
        <w:rPr>
          <w:rFonts w:hint="eastAsia"/>
          <w:sz w:val="24"/>
          <w:szCs w:val="24"/>
        </w:rPr>
        <w:t>之日起30日内组织相关部门与乙方共同验收，达到所有标准后，甲乙双方签字认可后开始计算</w:t>
      </w:r>
      <w:r>
        <w:rPr>
          <w:rFonts w:hint="eastAsia"/>
          <w:sz w:val="24"/>
          <w:szCs w:val="24"/>
          <w:lang w:val="en-US" w:eastAsia="zh-CN"/>
        </w:rPr>
        <w:t>质保</w:t>
      </w:r>
      <w:r>
        <w:rPr>
          <w:rFonts w:hint="eastAsia"/>
          <w:sz w:val="24"/>
          <w:szCs w:val="24"/>
        </w:rPr>
        <w:t>期。</w:t>
      </w:r>
    </w:p>
    <w:p w14:paraId="6B39830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5.1.4.2.</w:t>
      </w:r>
      <w:r>
        <w:rPr>
          <w:rFonts w:hint="eastAsia"/>
          <w:sz w:val="24"/>
          <w:szCs w:val="24"/>
        </w:rPr>
        <w:t>验收时如发现所交付的货物有短缺、次品、损坏或其它不符合标准及本合同规定之情形者，甲方应做出详尽的现场记录</w:t>
      </w:r>
      <w:r>
        <w:rPr>
          <w:rFonts w:hint="eastAsia"/>
          <w:sz w:val="24"/>
          <w:szCs w:val="24"/>
          <w:lang w:eastAsia="zh-CN"/>
        </w:rPr>
        <w:t>（</w:t>
      </w:r>
      <w:r>
        <w:rPr>
          <w:rFonts w:hint="eastAsia"/>
          <w:sz w:val="24"/>
          <w:szCs w:val="24"/>
          <w:lang w:val="en-US" w:eastAsia="zh-CN"/>
        </w:rPr>
        <w:t>验收报告</w:t>
      </w:r>
      <w:r>
        <w:rPr>
          <w:rFonts w:hint="eastAsia"/>
          <w:sz w:val="24"/>
          <w:szCs w:val="24"/>
          <w:lang w:eastAsia="zh-CN"/>
        </w:rPr>
        <w:t>）</w:t>
      </w:r>
      <w:r>
        <w:rPr>
          <w:rFonts w:hint="eastAsia"/>
          <w:sz w:val="24"/>
          <w:szCs w:val="24"/>
        </w:rPr>
        <w:t>或由甲乙双方签署备忘录，此现场记录或备忘录可用作补充、缺失和更换损坏部件的有效证据，乙方应按照甲方要求</w:t>
      </w:r>
      <w:r>
        <w:rPr>
          <w:rFonts w:hint="eastAsia"/>
          <w:sz w:val="24"/>
          <w:szCs w:val="24"/>
          <w:lang w:eastAsia="zh-CN"/>
        </w:rPr>
        <w:t>整改，</w:t>
      </w:r>
      <w:r>
        <w:rPr>
          <w:rFonts w:hint="eastAsia"/>
          <w:sz w:val="24"/>
          <w:szCs w:val="24"/>
        </w:rPr>
        <w:t>及时修理、重整或更换，由此产生的时间延误与有关费用由乙方承担，验收期限相应顺延，但交货时间不顺延。</w:t>
      </w:r>
    </w:p>
    <w:p w14:paraId="4DC1D0B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5.1.5.</w:t>
      </w:r>
      <w:r>
        <w:rPr>
          <w:rFonts w:hint="eastAsia"/>
          <w:sz w:val="24"/>
          <w:szCs w:val="24"/>
        </w:rPr>
        <w:t>若乙方出现下列情形之一</w:t>
      </w:r>
      <w:r>
        <w:rPr>
          <w:rFonts w:hint="eastAsia"/>
          <w:sz w:val="24"/>
          <w:szCs w:val="24"/>
          <w:lang w:eastAsia="zh-CN"/>
        </w:rPr>
        <w:t>，即为验收不合格</w:t>
      </w:r>
      <w:r>
        <w:rPr>
          <w:rFonts w:hint="eastAsia"/>
          <w:sz w:val="24"/>
          <w:szCs w:val="24"/>
        </w:rPr>
        <w:t>：</w:t>
      </w:r>
    </w:p>
    <w:p w14:paraId="53CFC7B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highlight w:val="none"/>
        </w:rPr>
      </w:pPr>
      <w:r>
        <w:rPr>
          <w:rFonts w:hint="eastAsia"/>
          <w:sz w:val="24"/>
          <w:szCs w:val="24"/>
          <w:highlight w:val="none"/>
          <w:lang w:val="en-US" w:eastAsia="zh-CN"/>
        </w:rPr>
        <w:t>（1）</w:t>
      </w:r>
      <w:r>
        <w:rPr>
          <w:rFonts w:hint="eastAsia"/>
          <w:sz w:val="24"/>
          <w:szCs w:val="24"/>
          <w:highlight w:val="none"/>
        </w:rPr>
        <w:t>逾期30日未予整改；</w:t>
      </w:r>
    </w:p>
    <w:p w14:paraId="468C713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highlight w:val="none"/>
        </w:rPr>
      </w:pPr>
      <w:r>
        <w:rPr>
          <w:rFonts w:hint="eastAsia"/>
          <w:sz w:val="24"/>
          <w:szCs w:val="24"/>
          <w:highlight w:val="none"/>
          <w:lang w:val="en-US" w:eastAsia="zh-CN"/>
        </w:rPr>
        <w:t>（2）</w:t>
      </w:r>
      <w:r>
        <w:rPr>
          <w:rFonts w:hint="eastAsia"/>
          <w:sz w:val="24"/>
          <w:szCs w:val="24"/>
          <w:highlight w:val="none"/>
        </w:rPr>
        <w:t>整改后仍不符合招标</w:t>
      </w:r>
      <w:r>
        <w:rPr>
          <w:rFonts w:hint="eastAsia"/>
          <w:sz w:val="24"/>
          <w:szCs w:val="24"/>
          <w:highlight w:val="none"/>
          <w:lang w:eastAsia="zh-CN"/>
        </w:rPr>
        <w:t>（采购）</w:t>
      </w:r>
      <w:r>
        <w:rPr>
          <w:rFonts w:hint="eastAsia"/>
          <w:sz w:val="24"/>
          <w:szCs w:val="24"/>
          <w:highlight w:val="none"/>
        </w:rPr>
        <w:t>文件、投标</w:t>
      </w:r>
      <w:r>
        <w:rPr>
          <w:rFonts w:hint="eastAsia"/>
          <w:sz w:val="24"/>
          <w:szCs w:val="24"/>
          <w:highlight w:val="none"/>
          <w:lang w:eastAsia="zh-CN"/>
        </w:rPr>
        <w:t>（响应）</w:t>
      </w:r>
      <w:r>
        <w:rPr>
          <w:rFonts w:hint="eastAsia"/>
          <w:sz w:val="24"/>
          <w:szCs w:val="24"/>
          <w:highlight w:val="none"/>
        </w:rPr>
        <w:t>文件、承诺函、合同及其附件</w:t>
      </w:r>
      <w:r>
        <w:rPr>
          <w:rFonts w:hint="eastAsia"/>
          <w:sz w:val="24"/>
          <w:szCs w:val="24"/>
          <w:highlight w:val="none"/>
          <w:lang w:eastAsia="zh-CN"/>
        </w:rPr>
        <w:t>、补充协议或备忘录（如有）</w:t>
      </w:r>
      <w:r>
        <w:rPr>
          <w:rFonts w:hint="eastAsia"/>
          <w:sz w:val="24"/>
          <w:szCs w:val="24"/>
          <w:highlight w:val="none"/>
        </w:rPr>
        <w:t>所定标准；</w:t>
      </w:r>
    </w:p>
    <w:p w14:paraId="43A499F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highlight w:val="none"/>
          <w:lang w:eastAsia="zh-CN"/>
        </w:rPr>
      </w:pPr>
      <w:r>
        <w:rPr>
          <w:rFonts w:hint="eastAsia"/>
          <w:sz w:val="24"/>
          <w:szCs w:val="24"/>
          <w:highlight w:val="none"/>
          <w:lang w:val="en-US" w:eastAsia="zh-CN"/>
        </w:rPr>
        <w:t>（3）</w:t>
      </w:r>
      <w:r>
        <w:rPr>
          <w:rFonts w:hint="eastAsia"/>
          <w:sz w:val="24"/>
          <w:szCs w:val="24"/>
          <w:highlight w:val="none"/>
        </w:rPr>
        <w:t>无正当理由拒不</w:t>
      </w:r>
      <w:r>
        <w:rPr>
          <w:rFonts w:hint="eastAsia"/>
          <w:sz w:val="24"/>
          <w:szCs w:val="24"/>
          <w:highlight w:val="none"/>
          <w:lang w:eastAsia="zh-CN"/>
        </w:rPr>
        <w:t>申请验收、拒不参与验收、拒不</w:t>
      </w:r>
      <w:r>
        <w:rPr>
          <w:rFonts w:hint="eastAsia"/>
          <w:sz w:val="24"/>
          <w:szCs w:val="24"/>
          <w:highlight w:val="none"/>
        </w:rPr>
        <w:t>配合验收</w:t>
      </w:r>
      <w:r>
        <w:rPr>
          <w:rFonts w:hint="eastAsia"/>
          <w:sz w:val="24"/>
          <w:szCs w:val="24"/>
          <w:highlight w:val="none"/>
          <w:lang w:eastAsia="zh-CN"/>
        </w:rPr>
        <w:t>；</w:t>
      </w:r>
    </w:p>
    <w:p w14:paraId="5634895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highlight w:val="none"/>
        </w:rPr>
      </w:pPr>
      <w:r>
        <w:rPr>
          <w:rFonts w:hint="eastAsia"/>
          <w:sz w:val="24"/>
          <w:szCs w:val="24"/>
          <w:highlight w:val="none"/>
          <w:lang w:val="en-US" w:eastAsia="zh-CN"/>
        </w:rPr>
        <w:t>（4）</w:t>
      </w:r>
      <w:r>
        <w:rPr>
          <w:rFonts w:hint="eastAsia"/>
          <w:sz w:val="24"/>
          <w:szCs w:val="24"/>
          <w:highlight w:val="none"/>
        </w:rPr>
        <w:t>拒绝签署</w:t>
      </w:r>
      <w:r>
        <w:rPr>
          <w:rFonts w:hint="eastAsia"/>
          <w:sz w:val="24"/>
          <w:szCs w:val="24"/>
          <w:highlight w:val="none"/>
          <w:lang w:eastAsia="zh-CN"/>
        </w:rPr>
        <w:t>记载</w:t>
      </w:r>
      <w:r>
        <w:rPr>
          <w:rFonts w:hint="eastAsia"/>
          <w:sz w:val="24"/>
          <w:szCs w:val="24"/>
          <w:highlight w:val="none"/>
        </w:rPr>
        <w:t>验收</w:t>
      </w:r>
      <w:r>
        <w:rPr>
          <w:rFonts w:hint="eastAsia"/>
          <w:sz w:val="24"/>
          <w:szCs w:val="24"/>
          <w:highlight w:val="none"/>
          <w:lang w:eastAsia="zh-CN"/>
        </w:rPr>
        <w:t>情况的</w:t>
      </w:r>
      <w:r>
        <w:rPr>
          <w:rFonts w:hint="eastAsia"/>
          <w:sz w:val="24"/>
          <w:szCs w:val="24"/>
          <w:highlight w:val="none"/>
        </w:rPr>
        <w:t>文件；</w:t>
      </w:r>
    </w:p>
    <w:p w14:paraId="07D2809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eastAsia="zh-CN"/>
        </w:rPr>
        <w:t>乙方出现上述情况的，</w:t>
      </w:r>
      <w:r>
        <w:rPr>
          <w:rFonts w:hint="eastAsia"/>
          <w:sz w:val="24"/>
          <w:szCs w:val="24"/>
        </w:rPr>
        <w:t>甲方有权单方解除本合同，</w:t>
      </w:r>
      <w:r>
        <w:rPr>
          <w:rFonts w:hint="eastAsia"/>
          <w:sz w:val="24"/>
          <w:szCs w:val="24"/>
          <w:lang w:val="en-US" w:eastAsia="zh-CN"/>
        </w:rPr>
        <w:t>乙方应当按照甲方要求期限退还已支付费用，剩余价款不再支付，且</w:t>
      </w:r>
      <w:r>
        <w:rPr>
          <w:rFonts w:hint="eastAsia"/>
          <w:sz w:val="24"/>
          <w:szCs w:val="24"/>
        </w:rPr>
        <w:t>乙方须自收到解除通知之日起10日内拆除</w:t>
      </w:r>
      <w:r>
        <w:rPr>
          <w:rFonts w:hint="eastAsia"/>
          <w:sz w:val="24"/>
          <w:szCs w:val="24"/>
          <w:lang w:eastAsia="zh-CN"/>
        </w:rPr>
        <w:t>、</w:t>
      </w:r>
      <w:r>
        <w:rPr>
          <w:rFonts w:hint="eastAsia"/>
          <w:sz w:val="24"/>
          <w:szCs w:val="24"/>
        </w:rPr>
        <w:t>运离全部设备，将安装场地恢复原状</w:t>
      </w:r>
      <w:r>
        <w:rPr>
          <w:rFonts w:hint="eastAsia"/>
          <w:sz w:val="24"/>
          <w:szCs w:val="24"/>
          <w:lang w:eastAsia="zh-CN"/>
        </w:rPr>
        <w:t>，并承担上述费用</w:t>
      </w:r>
      <w:r>
        <w:rPr>
          <w:rFonts w:hint="eastAsia"/>
          <w:sz w:val="24"/>
          <w:szCs w:val="24"/>
        </w:rPr>
        <w:t>。逾期未履行的，甲方可自行处置设备及场地（含破坏性拆除），由此产生的全部费用均由乙方承担，</w:t>
      </w:r>
      <w:r>
        <w:rPr>
          <w:rFonts w:hint="eastAsia"/>
          <w:sz w:val="24"/>
          <w:szCs w:val="24"/>
          <w:lang w:eastAsia="zh-CN"/>
        </w:rPr>
        <w:t>自合同解除通知送达乙方之日起</w:t>
      </w:r>
      <w:r>
        <w:rPr>
          <w:rFonts w:hint="eastAsia"/>
          <w:sz w:val="24"/>
          <w:szCs w:val="24"/>
        </w:rPr>
        <w:t>甲方不承担</w:t>
      </w:r>
      <w:r>
        <w:rPr>
          <w:rFonts w:hint="eastAsia"/>
          <w:sz w:val="24"/>
          <w:szCs w:val="24"/>
          <w:lang w:eastAsia="zh-CN"/>
        </w:rPr>
        <w:t>对乙方设备</w:t>
      </w:r>
      <w:r>
        <w:rPr>
          <w:rFonts w:hint="eastAsia"/>
          <w:sz w:val="24"/>
          <w:szCs w:val="24"/>
        </w:rPr>
        <w:t>任何保管责任或</w:t>
      </w:r>
      <w:r>
        <w:rPr>
          <w:rFonts w:hint="eastAsia"/>
          <w:sz w:val="24"/>
          <w:szCs w:val="24"/>
          <w:lang w:eastAsia="zh-CN"/>
        </w:rPr>
        <w:t>其他</w:t>
      </w:r>
      <w:r>
        <w:rPr>
          <w:rFonts w:hint="eastAsia"/>
          <w:sz w:val="24"/>
          <w:szCs w:val="24"/>
        </w:rPr>
        <w:t>法律责任。</w:t>
      </w:r>
    </w:p>
    <w:p w14:paraId="00CAFF4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rPr>
        <w:t>5.2.是否以采购活动中供应商提供的样品作为参考： {（继承信息，不可编辑）是/否}</w:t>
      </w:r>
    </w:p>
    <w:p w14:paraId="1082877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en-US"/>
        </w:rPr>
        <w:t>5.</w:t>
      </w:r>
      <w:r>
        <w:rPr>
          <w:rFonts w:hint="eastAsia"/>
          <w:sz w:val="24"/>
          <w:szCs w:val="24"/>
          <w:lang w:val="en-US" w:eastAsia="zh-CN"/>
        </w:rPr>
        <w:t>3.进口货物保险（如适用）</w:t>
      </w:r>
    </w:p>
    <w:p w14:paraId="7B79977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en-US"/>
        </w:rPr>
      </w:pPr>
      <w:r>
        <w:rPr>
          <w:rFonts w:hint="eastAsia"/>
          <w:sz w:val="24"/>
          <w:szCs w:val="24"/>
          <w:lang w:val="en-US" w:eastAsia="zh-CN"/>
        </w:rPr>
        <w:t>乙方应提供一式三联保险凭证，按合同金额的110%承保，且在保险凭证注明可在中国索赔。该保险含陆运、空运、海运全程保险和战争险等。</w:t>
      </w:r>
    </w:p>
    <w:p w14:paraId="5CEC7EC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b/>
          <w:bCs/>
          <w:sz w:val="24"/>
          <w:szCs w:val="24"/>
        </w:rPr>
      </w:pPr>
      <w:r>
        <w:rPr>
          <w:b/>
          <w:bCs/>
          <w:sz w:val="24"/>
          <w:szCs w:val="24"/>
        </w:rPr>
        <w:t>六、甲方的权利和义务</w:t>
      </w:r>
    </w:p>
    <w:p w14:paraId="5696EAC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6.1.甲方有权依据双方签订的合同对乙方提供的货物进行验收。</w:t>
      </w:r>
    </w:p>
    <w:p w14:paraId="38CA9CD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sz w:val="24"/>
          <w:szCs w:val="24"/>
        </w:rPr>
        <w:t>6.2.根据本合同规定，满足约定支付条件的，甲方</w:t>
      </w:r>
      <w:r>
        <w:rPr>
          <w:rFonts w:hint="eastAsia"/>
          <w:sz w:val="24"/>
          <w:szCs w:val="24"/>
          <w:lang w:val="en-US" w:eastAsia="zh-CN"/>
        </w:rPr>
        <w:t>按约定付款。</w:t>
      </w:r>
    </w:p>
    <w:p w14:paraId="5D1E6BC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sz w:val="24"/>
          <w:szCs w:val="24"/>
          <w:lang w:val="en-US" w:eastAsia="zh-CN"/>
        </w:rPr>
      </w:pPr>
      <w:r>
        <w:rPr>
          <w:rFonts w:hint="eastAsia"/>
          <w:sz w:val="24"/>
          <w:szCs w:val="24"/>
          <w:lang w:val="en-US" w:eastAsia="zh-CN"/>
        </w:rPr>
        <w:t>6.3.本合同约定的甲方其他权利。</w:t>
      </w:r>
    </w:p>
    <w:p w14:paraId="108CE02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b/>
          <w:bCs/>
          <w:sz w:val="24"/>
          <w:szCs w:val="24"/>
        </w:rPr>
        <w:t>七、乙方的权利和义务</w:t>
      </w:r>
    </w:p>
    <w:p w14:paraId="7911B6B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7.1.乙方承诺遵守《中华人民共和国劳动合同法》有关规定和《中华人民共和国妇女权益保障法》中关于“劳动和社会保障权益 ”的有关要求。</w:t>
      </w:r>
    </w:p>
    <w:p w14:paraId="4518187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7.2.乙方有权根据本合同约定向甲方收取合同价款。</w:t>
      </w:r>
    </w:p>
    <w:p w14:paraId="36F0CA0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14:paraId="0E6F1BB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b/>
          <w:bCs/>
          <w:sz w:val="24"/>
          <w:szCs w:val="24"/>
        </w:rPr>
      </w:pPr>
      <w:r>
        <w:rPr>
          <w:b/>
          <w:bCs/>
          <w:sz w:val="24"/>
          <w:szCs w:val="24"/>
        </w:rPr>
        <w:t>八、违约责任</w:t>
      </w:r>
    </w:p>
    <w:p w14:paraId="218E831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eastAsia="宋体"/>
          <w:sz w:val="24"/>
          <w:szCs w:val="24"/>
          <w:lang w:val="en-US" w:eastAsia="zh-CN"/>
        </w:rPr>
        <w:t>8.1.</w:t>
      </w:r>
      <w:r>
        <w:rPr>
          <w:rFonts w:hint="eastAsia"/>
          <w:sz w:val="24"/>
          <w:szCs w:val="24"/>
        </w:rPr>
        <w:t>甲方违约责任</w:t>
      </w:r>
    </w:p>
    <w:p w14:paraId="22A78F8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rPr>
        <w:t>甲方无正当理由拒收货物的应赔偿乙方损失</w:t>
      </w:r>
      <w:r>
        <w:rPr>
          <w:rFonts w:hint="eastAsia" w:eastAsia="宋体"/>
          <w:sz w:val="24"/>
          <w:szCs w:val="24"/>
          <w:lang w:eastAsia="zh-CN"/>
        </w:rPr>
        <w:t>，</w:t>
      </w:r>
      <w:r>
        <w:rPr>
          <w:rFonts w:hint="eastAsia"/>
          <w:sz w:val="24"/>
          <w:szCs w:val="24"/>
        </w:rPr>
        <w:t>但赔偿金不超过拒收货物价款的10%。甲方拒收的产品，由乙方自行处置，甲方不承担保管、搬离以及货物丢失、损毁、灭失等的责任和由此产生的费用或损失。</w:t>
      </w:r>
    </w:p>
    <w:p w14:paraId="703550D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rPr>
        <w:t>甲方逾期支付货款的，除应及时付足货款外，应向乙方偿付欠款总额万分之</w:t>
      </w:r>
      <w:r>
        <w:rPr>
          <w:rFonts w:hint="eastAsia"/>
          <w:sz w:val="24"/>
          <w:szCs w:val="24"/>
          <w:lang w:val="en-US" w:eastAsia="zh-CN"/>
        </w:rPr>
        <w:t>二</w:t>
      </w:r>
      <w:r>
        <w:rPr>
          <w:rFonts w:hint="eastAsia"/>
          <w:sz w:val="24"/>
          <w:szCs w:val="24"/>
        </w:rPr>
        <w:t>/天的违约金，有正当理由除外。</w:t>
      </w:r>
    </w:p>
    <w:p w14:paraId="4673E6D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eastAsia="宋体"/>
          <w:sz w:val="24"/>
          <w:szCs w:val="24"/>
          <w:lang w:val="en-US" w:eastAsia="zh-CN"/>
        </w:rPr>
        <w:t>8.2.</w:t>
      </w:r>
      <w:r>
        <w:rPr>
          <w:rFonts w:hint="eastAsia"/>
          <w:sz w:val="24"/>
          <w:szCs w:val="24"/>
        </w:rPr>
        <w:t>乙方违约责任</w:t>
      </w:r>
    </w:p>
    <w:p w14:paraId="4742BDD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eastAsia="宋体"/>
          <w:sz w:val="24"/>
          <w:szCs w:val="24"/>
          <w:lang w:val="en-US" w:eastAsia="zh-CN"/>
        </w:rPr>
        <w:t>8.2.</w:t>
      </w:r>
      <w:r>
        <w:rPr>
          <w:rFonts w:hint="eastAsia"/>
          <w:sz w:val="24"/>
          <w:szCs w:val="24"/>
        </w:rPr>
        <w:t>1.乙方交付的货物质量不符合规定的，须在合同规定的交货时间内更换合格的货物给甲方，且不顺延交货期限，乙方逾期交货的，则按</w:t>
      </w:r>
      <w:r>
        <w:rPr>
          <w:rFonts w:hint="eastAsia" w:eastAsia="宋体"/>
          <w:sz w:val="24"/>
          <w:szCs w:val="24"/>
          <w:lang w:val="en-US" w:eastAsia="zh-CN"/>
        </w:rPr>
        <w:t>8.2.2.</w:t>
      </w:r>
      <w:r>
        <w:rPr>
          <w:rFonts w:hint="eastAsia"/>
          <w:sz w:val="24"/>
          <w:szCs w:val="24"/>
        </w:rPr>
        <w:t>规定由乙方偿付违约金给甲方。</w:t>
      </w:r>
    </w:p>
    <w:p w14:paraId="6BAC7AB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eastAsia="宋体"/>
          <w:sz w:val="24"/>
          <w:szCs w:val="24"/>
          <w:lang w:val="en-US" w:eastAsia="zh-CN"/>
        </w:rPr>
        <w:t>8.2.</w:t>
      </w:r>
      <w:r>
        <w:rPr>
          <w:rFonts w:hint="eastAsia"/>
          <w:sz w:val="24"/>
          <w:szCs w:val="24"/>
        </w:rPr>
        <w:t>2.乙方不能交付/调试安装货物或逾期交付/调试安装货物而违约的，除应及时交足货物外，应向甲方偿付货款总额的万分之</w:t>
      </w:r>
      <w:r>
        <w:rPr>
          <w:rFonts w:hint="eastAsia"/>
          <w:sz w:val="24"/>
          <w:szCs w:val="24"/>
          <w:lang w:val="en-US" w:eastAsia="zh-CN"/>
        </w:rPr>
        <w:t>二</w:t>
      </w:r>
      <w:r>
        <w:rPr>
          <w:rFonts w:hint="eastAsia"/>
          <w:sz w:val="24"/>
          <w:szCs w:val="24"/>
        </w:rPr>
        <w:t>/天的违约金及赔偿由此给甲方造成的全部损失；逾期交货/调试安装超过30天，甲方有权</w:t>
      </w:r>
      <w:r>
        <w:rPr>
          <w:rFonts w:hint="eastAsia"/>
          <w:sz w:val="24"/>
          <w:szCs w:val="24"/>
          <w:lang w:val="en-US" w:eastAsia="zh-CN"/>
        </w:rPr>
        <w:t>解除</w:t>
      </w:r>
      <w:r>
        <w:rPr>
          <w:rFonts w:hint="eastAsia"/>
          <w:sz w:val="24"/>
          <w:szCs w:val="24"/>
        </w:rPr>
        <w:t>合同，乙方则应按合同总价的20%的款额向甲方偿付赔偿金，并须全额退还甲方已</w:t>
      </w:r>
      <w:r>
        <w:rPr>
          <w:rFonts w:hint="eastAsia" w:eastAsia="宋体"/>
          <w:sz w:val="24"/>
          <w:szCs w:val="24"/>
          <w:lang w:eastAsia="zh-CN"/>
        </w:rPr>
        <w:t>经支</w:t>
      </w:r>
      <w:r>
        <w:rPr>
          <w:rFonts w:hint="eastAsia"/>
          <w:sz w:val="24"/>
          <w:szCs w:val="24"/>
        </w:rPr>
        <w:t>付给乙方的货款及同期银行贷款利息。</w:t>
      </w:r>
    </w:p>
    <w:p w14:paraId="596E11D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eastAsia="宋体"/>
          <w:sz w:val="24"/>
          <w:szCs w:val="24"/>
          <w:lang w:val="en-US" w:eastAsia="zh-CN"/>
        </w:rPr>
        <w:t>8.2.</w:t>
      </w:r>
      <w:r>
        <w:rPr>
          <w:rFonts w:hint="eastAsia"/>
          <w:sz w:val="24"/>
          <w:szCs w:val="24"/>
        </w:rPr>
        <w:t>3.乙方货物经甲方送交具有法定资格条件的质量技术监督机构检测后，如检测结果认定货物质量不符合本合同规定标准的，则视为乙方没有按时交货而违约，乙方须在30天内无条件更换合格的货物，且交货时间不顺延。如逾期不能更换合格的货物，甲方有权</w:t>
      </w:r>
      <w:r>
        <w:rPr>
          <w:rFonts w:hint="eastAsia"/>
          <w:sz w:val="24"/>
          <w:szCs w:val="24"/>
          <w:lang w:val="en-US" w:eastAsia="zh-CN"/>
        </w:rPr>
        <w:t>解除</w:t>
      </w:r>
      <w:r>
        <w:rPr>
          <w:rFonts w:hint="eastAsia"/>
          <w:sz w:val="24"/>
          <w:szCs w:val="24"/>
        </w:rPr>
        <w:t>本合同，乙方应另付合同总价的20%的违约金给甲方，并须全额退还甲方已经付给乙方的货款及同期银行贷款利息。</w:t>
      </w:r>
    </w:p>
    <w:p w14:paraId="0FBC124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eastAsia="宋体"/>
          <w:sz w:val="24"/>
          <w:szCs w:val="24"/>
          <w:lang w:val="en-US" w:eastAsia="zh-CN"/>
        </w:rPr>
        <w:t>8.2.</w:t>
      </w:r>
      <w:r>
        <w:rPr>
          <w:rFonts w:hint="eastAsia"/>
          <w:sz w:val="24"/>
          <w:szCs w:val="24"/>
        </w:rPr>
        <w:t>4.乙方保证本合同项目的权利无瑕疵，包括货物或服务的所有权及知识产权等权利无瑕疵。如任何第三方经法院裁决有权对上述项目主张权利或国家机关依法对货物进行没收、查封、责令停止侵权行为等的，乙方除应向甲方返还已收款项及同期银行贷款利息外，还应另按合同总价的20%向甲方支付违约金并赔偿因此给甲方造成的一切直接及间接损失。</w:t>
      </w:r>
      <w:r>
        <w:rPr>
          <w:rFonts w:hint="eastAsia"/>
          <w:sz w:val="24"/>
          <w:szCs w:val="24"/>
          <w:lang w:val="en-US" w:eastAsia="zh-CN"/>
        </w:rPr>
        <w:t>甲方向第三方承担赔偿责任后，有权向乙方追偿。</w:t>
      </w:r>
    </w:p>
    <w:p w14:paraId="0F0AF83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eastAsia="宋体"/>
          <w:sz w:val="24"/>
          <w:szCs w:val="24"/>
          <w:lang w:val="en-US" w:eastAsia="zh-CN"/>
        </w:rPr>
        <w:t>8.2.</w:t>
      </w:r>
      <w:r>
        <w:rPr>
          <w:rFonts w:hint="eastAsia"/>
          <w:sz w:val="24"/>
          <w:szCs w:val="24"/>
        </w:rPr>
        <w:t>5.乙方未按照本协议约定及时履行其</w:t>
      </w:r>
      <w:r>
        <w:rPr>
          <w:rFonts w:hint="eastAsia"/>
          <w:sz w:val="24"/>
          <w:szCs w:val="24"/>
          <w:lang w:eastAsia="zh-CN"/>
        </w:rPr>
        <w:t>质</w:t>
      </w:r>
      <w:r>
        <w:rPr>
          <w:rFonts w:hint="eastAsia"/>
          <w:sz w:val="24"/>
          <w:szCs w:val="24"/>
        </w:rPr>
        <w:t>保义务的，甲方有权委托其他有资质的机构进行</w:t>
      </w:r>
      <w:r>
        <w:rPr>
          <w:rFonts w:hint="eastAsia"/>
          <w:sz w:val="24"/>
          <w:szCs w:val="24"/>
          <w:lang w:eastAsia="zh-CN"/>
        </w:rPr>
        <w:t>维</w:t>
      </w:r>
      <w:r>
        <w:rPr>
          <w:rFonts w:hint="eastAsia"/>
          <w:sz w:val="24"/>
          <w:szCs w:val="24"/>
        </w:rPr>
        <w:t>修，由此产生的一切费用由乙方承担，甲方有权从剩余货款中直接扣除</w:t>
      </w:r>
      <w:r>
        <w:rPr>
          <w:rFonts w:hint="eastAsia"/>
          <w:sz w:val="24"/>
          <w:szCs w:val="24"/>
          <w:lang w:eastAsia="zh-CN"/>
        </w:rPr>
        <w:t>；</w:t>
      </w:r>
      <w:r>
        <w:rPr>
          <w:rFonts w:hint="eastAsia"/>
          <w:sz w:val="24"/>
          <w:szCs w:val="24"/>
          <w:lang w:val="en-US" w:eastAsia="zh-CN"/>
        </w:rPr>
        <w:t>若甲方已完成货款支付的，乙方应当按照甲方期限要求向甲方另行支付第三方</w:t>
      </w:r>
      <w:r>
        <w:rPr>
          <w:rFonts w:hint="eastAsia"/>
          <w:sz w:val="24"/>
          <w:szCs w:val="24"/>
          <w:lang w:eastAsia="zh-CN"/>
        </w:rPr>
        <w:t>维</w:t>
      </w:r>
      <w:r>
        <w:rPr>
          <w:rFonts w:hint="eastAsia"/>
          <w:sz w:val="24"/>
          <w:szCs w:val="24"/>
        </w:rPr>
        <w:t>修</w:t>
      </w:r>
      <w:r>
        <w:rPr>
          <w:rFonts w:hint="eastAsia"/>
          <w:sz w:val="24"/>
          <w:szCs w:val="24"/>
          <w:lang w:val="en-US" w:eastAsia="zh-CN"/>
        </w:rPr>
        <w:t>费用</w:t>
      </w:r>
      <w:r>
        <w:rPr>
          <w:rFonts w:hint="eastAsia"/>
          <w:sz w:val="24"/>
          <w:szCs w:val="24"/>
        </w:rPr>
        <w:t>。若因此给甲方造成了损失的，乙方还应全额赔偿。</w:t>
      </w:r>
    </w:p>
    <w:p w14:paraId="3A0961E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eastAsia="宋体"/>
          <w:sz w:val="24"/>
          <w:szCs w:val="24"/>
          <w:lang w:val="en-US" w:eastAsia="zh-CN"/>
        </w:rPr>
        <w:t>8.2.</w:t>
      </w:r>
      <w:r>
        <w:rPr>
          <w:rFonts w:hint="eastAsia"/>
          <w:sz w:val="24"/>
          <w:szCs w:val="24"/>
        </w:rPr>
        <w:t>6.合同生效后乙方未经甲方同意拒绝交付货物，或除法定可以解除合同的情形外单方面解除合同的，乙方应向甲方支付合同总价的20%的违约金。</w:t>
      </w:r>
    </w:p>
    <w:p w14:paraId="0324DDB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eastAsia="宋体"/>
          <w:sz w:val="24"/>
          <w:szCs w:val="24"/>
          <w:lang w:val="en-US" w:eastAsia="zh-CN"/>
        </w:rPr>
        <w:t>8.2.</w:t>
      </w:r>
      <w:r>
        <w:rPr>
          <w:rFonts w:hint="eastAsia"/>
          <w:sz w:val="24"/>
          <w:szCs w:val="24"/>
        </w:rPr>
        <w:t>7.乙方违反本合同其他约定，经甲方通知后在30天内不改正或整改后仍不符合合同约定的，甲方有权解除合同、不支付乙方任何款项并追究乙方的违约责任</w:t>
      </w:r>
      <w:r>
        <w:rPr>
          <w:rFonts w:hint="eastAsia"/>
          <w:sz w:val="24"/>
          <w:szCs w:val="24"/>
          <w:lang w:eastAsia="zh-CN"/>
        </w:rPr>
        <w:t>，乙方应当退还甲方已支付的款项（如有），未支付的款项甲方不再支付</w:t>
      </w:r>
      <w:r>
        <w:rPr>
          <w:rFonts w:hint="eastAsia"/>
          <w:sz w:val="24"/>
          <w:szCs w:val="24"/>
        </w:rPr>
        <w:t>。</w:t>
      </w:r>
    </w:p>
    <w:p w14:paraId="41A4309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eastAsia="宋体"/>
          <w:sz w:val="24"/>
          <w:szCs w:val="24"/>
          <w:lang w:val="en-US" w:eastAsia="zh-CN"/>
        </w:rPr>
        <w:t>8.2.</w:t>
      </w:r>
      <w:r>
        <w:rPr>
          <w:rFonts w:hint="eastAsia"/>
          <w:sz w:val="24"/>
          <w:szCs w:val="24"/>
        </w:rPr>
        <w:t>8.</w:t>
      </w:r>
      <w:r>
        <w:rPr>
          <w:rFonts w:hint="eastAsia"/>
          <w:sz w:val="24"/>
          <w:szCs w:val="24"/>
          <w:lang w:eastAsia="zh-CN"/>
        </w:rPr>
        <w:t>因乙方的原因（包括但不限于乙方拒绝交付货物、货物验收不合格等）致合同解除的，乙方应当退还甲方已支付的款项（如有），未支付的款项甲方不再支付，乙方还应当按合同金额的</w:t>
      </w:r>
      <w:r>
        <w:rPr>
          <w:rFonts w:hint="eastAsia"/>
          <w:sz w:val="24"/>
          <w:szCs w:val="24"/>
          <w:lang w:val="en-US" w:eastAsia="zh-CN"/>
        </w:rPr>
        <w:t>20%向甲方支付违约金。</w:t>
      </w:r>
    </w:p>
    <w:p w14:paraId="193A925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eastAsia="宋体"/>
          <w:sz w:val="24"/>
          <w:szCs w:val="24"/>
          <w:lang w:val="en-US" w:eastAsia="zh-CN"/>
        </w:rPr>
        <w:t>8.2.</w:t>
      </w:r>
      <w:r>
        <w:rPr>
          <w:rFonts w:hint="eastAsia"/>
          <w:sz w:val="24"/>
          <w:szCs w:val="24"/>
        </w:rPr>
        <w:t>9.乙方违约除按上述约定承担违约责任外，还应另行赔偿由此给甲方造成的全部损失（包括但不限于重新采购</w:t>
      </w:r>
      <w:r>
        <w:rPr>
          <w:rFonts w:hint="eastAsia"/>
          <w:sz w:val="24"/>
          <w:szCs w:val="24"/>
          <w:lang w:val="en-US" w:eastAsia="zh-CN"/>
        </w:rPr>
        <w:t>/购买</w:t>
      </w:r>
      <w:r>
        <w:rPr>
          <w:rFonts w:hint="eastAsia"/>
          <w:sz w:val="24"/>
          <w:szCs w:val="24"/>
        </w:rPr>
        <w:t>的费用、重新采购</w:t>
      </w:r>
      <w:r>
        <w:rPr>
          <w:rFonts w:hint="eastAsia"/>
          <w:sz w:val="24"/>
          <w:szCs w:val="24"/>
          <w:lang w:val="en-US" w:eastAsia="zh-CN"/>
        </w:rPr>
        <w:t>/购买</w:t>
      </w:r>
      <w:r>
        <w:rPr>
          <w:rFonts w:hint="eastAsia"/>
          <w:sz w:val="24"/>
          <w:szCs w:val="24"/>
        </w:rPr>
        <w:t>货物（含维保）的差价、因货物未能到位期间给甲方造成的运营损失及其他损失、甲方因乙方违约向第三方承担的违约金及赔偿金、诉讼费、保全费、律师费、鉴定费、差旅费等）。</w:t>
      </w:r>
    </w:p>
    <w:p w14:paraId="23F46D6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eastAsia="宋体"/>
          <w:sz w:val="24"/>
          <w:szCs w:val="24"/>
          <w:lang w:val="en-US" w:eastAsia="zh-CN"/>
        </w:rPr>
        <w:t>8.2.</w:t>
      </w:r>
      <w:r>
        <w:rPr>
          <w:rFonts w:hint="eastAsia"/>
          <w:sz w:val="24"/>
          <w:szCs w:val="24"/>
          <w:lang w:val="en-US" w:eastAsia="zh-CN"/>
        </w:rPr>
        <w:t>10.</w:t>
      </w:r>
      <w:r>
        <w:rPr>
          <w:rFonts w:hint="eastAsia"/>
          <w:sz w:val="24"/>
          <w:szCs w:val="24"/>
        </w:rPr>
        <w:t>乙方根据本合同约定应承担违约金和赔偿金，乙方拒绝支付的，甲方有权从应付款中扣除相应金额，乙方对此无异议。</w:t>
      </w:r>
    </w:p>
    <w:p w14:paraId="57D3323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eastAsia="宋体"/>
          <w:sz w:val="24"/>
          <w:szCs w:val="24"/>
          <w:lang w:val="en-US" w:eastAsia="zh-CN"/>
        </w:rPr>
        <w:t>8.2.</w:t>
      </w:r>
      <w:r>
        <w:rPr>
          <w:rFonts w:hint="eastAsia"/>
          <w:sz w:val="24"/>
          <w:szCs w:val="24"/>
          <w:lang w:val="en-US" w:eastAsia="zh-CN"/>
        </w:rPr>
        <w:t>11.</w:t>
      </w:r>
      <w:r>
        <w:rPr>
          <w:rFonts w:hint="eastAsia"/>
          <w:sz w:val="24"/>
          <w:szCs w:val="24"/>
        </w:rPr>
        <w:t>合同解除的，货物由乙方自行处置并承担相关费用，甲方不负责保管、拆除、送返等。</w:t>
      </w:r>
    </w:p>
    <w:p w14:paraId="6F27F1E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eastAsia="宋体"/>
          <w:sz w:val="24"/>
          <w:szCs w:val="24"/>
          <w:lang w:val="en-US" w:eastAsia="zh-CN"/>
        </w:rPr>
        <w:t>8.3.其他</w:t>
      </w:r>
      <w:r>
        <w:rPr>
          <w:rFonts w:hint="eastAsia"/>
          <w:sz w:val="24"/>
          <w:szCs w:val="24"/>
        </w:rPr>
        <w:t>违约责任</w:t>
      </w:r>
    </w:p>
    <w:p w14:paraId="3B62099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除本协议另有约定外，一方擅自解除本协议的，应当赔偿守约方损失，并支付违约金，违约金按照合同价格的10%计算</w:t>
      </w:r>
      <w:r>
        <w:rPr>
          <w:rFonts w:hint="eastAsia"/>
          <w:sz w:val="24"/>
          <w:szCs w:val="24"/>
          <w:lang w:eastAsia="zh-CN"/>
        </w:rPr>
        <w:t>。</w:t>
      </w:r>
    </w:p>
    <w:p w14:paraId="48FB670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b/>
          <w:bCs/>
          <w:sz w:val="24"/>
          <w:szCs w:val="24"/>
        </w:rPr>
      </w:pPr>
      <w:r>
        <w:rPr>
          <w:b/>
          <w:bCs/>
          <w:sz w:val="24"/>
          <w:szCs w:val="24"/>
        </w:rPr>
        <w:t>九、争议解决方法</w:t>
      </w:r>
    </w:p>
    <w:p w14:paraId="5D492E5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9.1.争议的解决</w:t>
      </w:r>
    </w:p>
    <w:p w14:paraId="4B136F3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eastAsia="宋体"/>
          <w:sz w:val="24"/>
          <w:szCs w:val="24"/>
          <w:lang w:val="en-US" w:eastAsia="zh-CN"/>
        </w:rPr>
        <w:t>9</w:t>
      </w:r>
      <w:r>
        <w:rPr>
          <w:rFonts w:hint="eastAsia" w:eastAsia="宋体"/>
          <w:sz w:val="24"/>
          <w:szCs w:val="24"/>
          <w:highlight w:val="none"/>
          <w:lang w:val="en-US" w:eastAsia="zh-CN"/>
        </w:rPr>
        <w:t>.1.1.</w:t>
      </w:r>
      <w:r>
        <w:rPr>
          <w:rFonts w:hint="eastAsia"/>
          <w:sz w:val="24"/>
          <w:szCs w:val="24"/>
          <w:highlight w:val="none"/>
        </w:rPr>
        <w:t>招标文件、投标文件、承诺约定、本合同的附件、补充协议、会议纪要等是构成本合同不可分割的部分，与本合同具有同等法律效力，如以上各文件相互有冲突或有内容不一致的地方，或上述文件中表述出现歧义致甲乙双方的理解不同的，应以有利于甲方解释为准。</w:t>
      </w:r>
    </w:p>
    <w:p w14:paraId="66D7CA9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eastAsia="宋体"/>
          <w:sz w:val="24"/>
          <w:szCs w:val="24"/>
          <w:lang w:val="en-US" w:eastAsia="zh-CN"/>
        </w:rPr>
        <w:t>9.1.2.</w:t>
      </w:r>
      <w:r>
        <w:rPr>
          <w:rFonts w:hint="eastAsia"/>
          <w:sz w:val="24"/>
          <w:szCs w:val="24"/>
        </w:rPr>
        <w:t>招标文件、投标文件、承诺约定、本合同的附件及本合同等如有中、英文两种版本应以中文版本为准且应做有利于甲方解释。</w:t>
      </w:r>
    </w:p>
    <w:p w14:paraId="60FF41C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eastAsia="宋体"/>
          <w:sz w:val="24"/>
          <w:szCs w:val="24"/>
          <w:lang w:val="en-US" w:eastAsia="zh-CN"/>
        </w:rPr>
        <w:t>9.1.3.</w:t>
      </w:r>
      <w:r>
        <w:rPr>
          <w:rFonts w:hint="eastAsia"/>
          <w:sz w:val="24"/>
          <w:szCs w:val="24"/>
        </w:rPr>
        <w:t>未尽事宜</w:t>
      </w:r>
      <w:r>
        <w:rPr>
          <w:rFonts w:hint="eastAsia" w:eastAsia="宋体"/>
          <w:sz w:val="24"/>
          <w:szCs w:val="24"/>
          <w:lang w:eastAsia="zh-CN"/>
        </w:rPr>
        <w:t>，</w:t>
      </w:r>
      <w:r>
        <w:rPr>
          <w:rFonts w:hint="eastAsia"/>
          <w:sz w:val="24"/>
          <w:szCs w:val="24"/>
        </w:rPr>
        <w:t>双方另行协商解决，并签订补充协议。</w:t>
      </w:r>
    </w:p>
    <w:p w14:paraId="5DE1827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9.2.</w:t>
      </w:r>
      <w:r>
        <w:rPr>
          <w:rFonts w:hint="eastAsia"/>
          <w:sz w:val="24"/>
          <w:szCs w:val="24"/>
        </w:rPr>
        <w:t>法律管辖及诉讼</w:t>
      </w:r>
    </w:p>
    <w:p w14:paraId="72C4AE5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rPr>
        <w:t>甲乙双方之合同受中华人民共和国法律之管辖并依其进行解释。如有争议，在双方友好交涉无法解决时，根据中国法律在中国境内（甲方所在地）进行起诉。</w:t>
      </w:r>
    </w:p>
    <w:p w14:paraId="764A1F5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9.3.如甲乙双方有争议的事项不影响合同其他部分的履行，在争议解决期间，合同其他部分应当继续履行。</w:t>
      </w:r>
    </w:p>
    <w:p w14:paraId="704BCE7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b/>
          <w:bCs/>
          <w:sz w:val="24"/>
          <w:szCs w:val="24"/>
        </w:rPr>
        <w:t>十、组成合同的文件</w:t>
      </w:r>
    </w:p>
    <w:p w14:paraId="650689B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本合同与下列文件一起构成合同文件，如下述文件之间有任何抵触、矛盾或歧义，应按以下顺序解释：</w:t>
      </w:r>
    </w:p>
    <w:p w14:paraId="5CB791B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highlight w:val="none"/>
        </w:rPr>
      </w:pPr>
      <w:r>
        <w:rPr>
          <w:sz w:val="24"/>
          <w:szCs w:val="24"/>
          <w:highlight w:val="none"/>
        </w:rPr>
        <w:t>（1）政府采购合同及其变更、补充协议</w:t>
      </w:r>
    </w:p>
    <w:p w14:paraId="732A5E6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highlight w:val="none"/>
        </w:rPr>
      </w:pPr>
      <w:r>
        <w:rPr>
          <w:sz w:val="24"/>
          <w:szCs w:val="24"/>
          <w:highlight w:val="none"/>
        </w:rPr>
        <w:t>（2）中标（成交）通知书</w:t>
      </w:r>
    </w:p>
    <w:p w14:paraId="047E0C7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highlight w:val="none"/>
        </w:rPr>
      </w:pPr>
      <w:r>
        <w:rPr>
          <w:sz w:val="24"/>
          <w:szCs w:val="24"/>
          <w:highlight w:val="none"/>
        </w:rPr>
        <w:t>（3）投标（响应）文件</w:t>
      </w:r>
    </w:p>
    <w:p w14:paraId="72A33D4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highlight w:val="none"/>
        </w:rPr>
      </w:pPr>
      <w:r>
        <w:rPr>
          <w:sz w:val="24"/>
          <w:szCs w:val="24"/>
          <w:highlight w:val="none"/>
        </w:rPr>
        <w:t>（4）采购文件</w:t>
      </w:r>
    </w:p>
    <w:p w14:paraId="2ACEEA7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highlight w:val="none"/>
        </w:rPr>
      </w:pPr>
      <w:r>
        <w:rPr>
          <w:sz w:val="24"/>
          <w:szCs w:val="24"/>
          <w:highlight w:val="none"/>
        </w:rPr>
        <w:t>（5）有关技术文件，图纸</w:t>
      </w:r>
    </w:p>
    <w:p w14:paraId="4EFA0BD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highlight w:val="none"/>
        </w:rPr>
      </w:pPr>
      <w:r>
        <w:rPr>
          <w:sz w:val="24"/>
          <w:szCs w:val="24"/>
          <w:highlight w:val="none"/>
        </w:rPr>
        <w:t>（6）国家法律、行政法规和规章制度规定或合同约定的作为合同组成部分的其他文件</w:t>
      </w:r>
    </w:p>
    <w:p w14:paraId="5ADCBE0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b/>
          <w:bCs/>
          <w:sz w:val="24"/>
          <w:szCs w:val="24"/>
        </w:rPr>
      </w:pPr>
      <w:r>
        <w:rPr>
          <w:b/>
          <w:bCs/>
          <w:sz w:val="24"/>
          <w:szCs w:val="24"/>
        </w:rPr>
        <w:t>十一、其他条款</w:t>
      </w:r>
    </w:p>
    <w:p w14:paraId="40A6EB1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11.1.履约保证金</w:t>
      </w:r>
    </w:p>
    <w:p w14:paraId="0F95D2D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｛（继承信息，为【否】时不可编辑）</w:t>
      </w:r>
    </w:p>
    <w:p w14:paraId="4001C47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是否收取履约保证金：否｝</w:t>
      </w:r>
    </w:p>
    <w:p w14:paraId="2EB7369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｛（继承信息，为【是】时部分可编辑）</w:t>
      </w:r>
    </w:p>
    <w:p w14:paraId="4076DF6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是否收取履约保证金</w:t>
      </w:r>
      <w:r>
        <w:rPr>
          <w:rFonts w:hint="eastAsia" w:eastAsia="宋体"/>
          <w:sz w:val="24"/>
          <w:szCs w:val="24"/>
          <w:lang w:eastAsia="zh-CN"/>
        </w:rPr>
        <w:t>：</w:t>
      </w:r>
      <w:r>
        <w:rPr>
          <w:sz w:val="24"/>
          <w:szCs w:val="24"/>
        </w:rPr>
        <w:t>是</w:t>
      </w:r>
    </w:p>
    <w:p w14:paraId="559C9CB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履约保证金金额</w:t>
      </w:r>
      <w:r>
        <w:rPr>
          <w:rFonts w:hint="eastAsia" w:eastAsia="宋体"/>
          <w:sz w:val="24"/>
          <w:szCs w:val="24"/>
          <w:lang w:eastAsia="zh-CN"/>
        </w:rPr>
        <w:t>（</w:t>
      </w:r>
      <w:r>
        <w:rPr>
          <w:sz w:val="24"/>
          <w:szCs w:val="24"/>
        </w:rPr>
        <w:t>元</w:t>
      </w:r>
      <w:r>
        <w:rPr>
          <w:rFonts w:hint="eastAsia" w:eastAsia="宋体"/>
          <w:sz w:val="24"/>
          <w:szCs w:val="24"/>
          <w:lang w:eastAsia="zh-CN"/>
        </w:rPr>
        <w:t>）：</w:t>
      </w:r>
      <w:r>
        <w:rPr>
          <w:sz w:val="24"/>
          <w:szCs w:val="24"/>
        </w:rPr>
        <w:t>{（以中标（成交）金额按预设比例计算，保留两位小数四舍五入，可编辑）XX}</w:t>
      </w:r>
    </w:p>
    <w:p w14:paraId="35910DE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履约保证金收取比例</w:t>
      </w:r>
      <w:r>
        <w:rPr>
          <w:rFonts w:hint="eastAsia" w:eastAsia="宋体"/>
          <w:sz w:val="24"/>
          <w:szCs w:val="24"/>
          <w:lang w:eastAsia="zh-CN"/>
        </w:rPr>
        <w:t>：</w:t>
      </w:r>
      <w:r>
        <w:rPr>
          <w:sz w:val="24"/>
          <w:szCs w:val="24"/>
        </w:rPr>
        <w:t>{（继承信息，不可编辑）XX}%</w:t>
      </w:r>
    </w:p>
    <w:p w14:paraId="57EAF08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履约保证金收取方式</w:t>
      </w:r>
      <w:r>
        <w:rPr>
          <w:rFonts w:hint="eastAsia" w:eastAsia="宋体"/>
          <w:sz w:val="24"/>
          <w:szCs w:val="24"/>
          <w:lang w:eastAsia="zh-CN"/>
        </w:rPr>
        <w:t>：</w:t>
      </w:r>
      <w:r>
        <w:rPr>
          <w:sz w:val="24"/>
          <w:szCs w:val="24"/>
        </w:rPr>
        <w:t>{单选，银行转账、支票(汇票/本票)、保函(保险)、纸质保函(保险)}</w:t>
      </w:r>
    </w:p>
    <w:p w14:paraId="06C3510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收款单位：{（继承信息，不可编辑）XX}</w:t>
      </w:r>
    </w:p>
    <w:p w14:paraId="76BC038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开户行：{（继承信息，不可编辑）XX}</w:t>
      </w:r>
    </w:p>
    <w:p w14:paraId="3EE73D7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银行账号：{（继承信息，不可编辑）XX}</w:t>
      </w:r>
    </w:p>
    <w:p w14:paraId="5D35362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退还方式：{（继承信息，不可编辑）XX}</w:t>
      </w:r>
    </w:p>
    <w:p w14:paraId="42EC7D0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退还时间：{（继承信息，不可编辑）XX}</w:t>
      </w:r>
    </w:p>
    <w:p w14:paraId="10D7FC8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不予退还情形：{（继承信息，不可编辑）XX}</w:t>
      </w:r>
    </w:p>
    <w:p w14:paraId="75BBB5A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不予退还的，将按照有关规定上缴国库。逾期退还履约保证金的，将依法承担法律责任，并赔偿供应商损失。｝</w:t>
      </w:r>
    </w:p>
    <w:p w14:paraId="165789B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{（预设内容，可编辑）</w:t>
      </w:r>
    </w:p>
    <w:p w14:paraId="535E6A0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如果乙方未能按合同约定全面履行义务，甲方有权从履约保证金中取得补偿或赔偿，且不影响甲方要求乙方承担合同约定的超过履约保证金的违约责任的权利。</w:t>
      </w:r>
    </w:p>
    <w:p w14:paraId="335D5E8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甲方逾期退还履约保证金的，乙方可要求甲方支付违约金，违约金支付比例：XX。}</w:t>
      </w:r>
    </w:p>
    <w:p w14:paraId="5F7B4E7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11.2.不可抗力事件处理</w:t>
      </w:r>
    </w:p>
    <w:p w14:paraId="1B38415F">
      <w:pPr>
        <w:pStyle w:val="4"/>
        <w:rPr>
          <w:sz w:val="24"/>
          <w:szCs w:val="24"/>
        </w:rPr>
      </w:pPr>
      <w:r>
        <w:rPr>
          <w:sz w:val="24"/>
          <w:szCs w:val="24"/>
        </w:rPr>
        <w:t>11.2.1.任何一方对由于不可抗力造成的部分或全部不能履行合同不承担违约责任。但迟延履行后发生不可抗力的，不能免除责任。</w:t>
      </w:r>
    </w:p>
    <w:p w14:paraId="58349C62">
      <w:pPr>
        <w:pStyle w:val="4"/>
        <w:rPr>
          <w:rFonts w:hint="default"/>
          <w:sz w:val="24"/>
          <w:szCs w:val="24"/>
        </w:rPr>
      </w:pPr>
      <w:r>
        <w:rPr>
          <w:sz w:val="24"/>
          <w:szCs w:val="24"/>
        </w:rPr>
        <w:t>11.2.2.</w:t>
      </w:r>
      <w:r>
        <w:rPr>
          <w:rFonts w:hint="default"/>
          <w:sz w:val="24"/>
          <w:szCs w:val="24"/>
        </w:rPr>
        <w:t>因不可抗力事件受到影响无法履行合同的一方应在 7 个工作日内通知对方，当不可抗力事件消除后，受到影响的一方应尽快书面通知另一方。</w:t>
      </w:r>
    </w:p>
    <w:p w14:paraId="0272ED91">
      <w:pPr>
        <w:pStyle w:val="4"/>
        <w:rPr>
          <w:rFonts w:hint="default"/>
          <w:sz w:val="24"/>
          <w:szCs w:val="24"/>
        </w:rPr>
      </w:pPr>
      <w:r>
        <w:rPr>
          <w:sz w:val="24"/>
          <w:szCs w:val="24"/>
        </w:rPr>
        <w:t>11.2.3.</w:t>
      </w:r>
      <w:r>
        <w:rPr>
          <w:rFonts w:hint="default"/>
          <w:sz w:val="24"/>
          <w:szCs w:val="24"/>
        </w:rPr>
        <w:t>由于不可抗力事件而影响合同履行的，但不影响合同目的实现的，可延迟履行合同期限，延迟时间相当于事故所影响的时间。</w:t>
      </w:r>
    </w:p>
    <w:p w14:paraId="10529636">
      <w:pPr>
        <w:pStyle w:val="4"/>
        <w:rPr>
          <w:sz w:val="24"/>
          <w:szCs w:val="24"/>
        </w:rPr>
      </w:pPr>
      <w:r>
        <w:rPr>
          <w:sz w:val="24"/>
          <w:szCs w:val="24"/>
        </w:rPr>
        <w:t>11.3.权利瑕疵担保</w:t>
      </w:r>
    </w:p>
    <w:p w14:paraId="123C087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乙方保证对其出售的货物享有合法的权利。乙方保证在交付的货物上不存在抵押权等担保物权。如甲方使用上述货物构成对第三人侵权的，则由乙方承担全部责任。</w:t>
      </w:r>
      <w:r>
        <w:rPr>
          <w:rFonts w:hint="eastAsia"/>
          <w:sz w:val="24"/>
          <w:szCs w:val="24"/>
          <w:lang w:val="en-US" w:eastAsia="zh-CN"/>
        </w:rPr>
        <w:t>甲方承担责任后有权向乙方追偿。</w:t>
      </w:r>
    </w:p>
    <w:p w14:paraId="6A6BC9D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rPr>
        <w:t>11.4.知识产权保护</w:t>
      </w:r>
    </w:p>
    <w:p w14:paraId="5A35CA7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乙方应保证在本项目使用的任何产品和服务（包括部分使用）时，不会产生因第三方提出侵犯其专利权、商标权或其它知识产权而引起的法律和经济纠纷，如因专利权、商标权或其它知识产权而引起法律和经济纠纷，由乙方承担所有相关责任，若因此给甲方造成了损失，乙方还应全额赔偿。甲方享有本项目实施过程中产生的知识成果及知识产权。乙方如欲在项目实施过程中采用自有知识成果，需在合同中声明，并提供相关知识产权证明文件。使用该知识成果后，乙方需提供开发接口和开发手册等技术文档，乙方保证永久提供源代码级技术访问权限</w:t>
      </w:r>
      <w:r>
        <w:rPr>
          <w:rFonts w:hint="eastAsia"/>
          <w:sz w:val="24"/>
          <w:szCs w:val="24"/>
          <w:lang w:eastAsia="zh-CN"/>
        </w:rPr>
        <w:t>，</w:t>
      </w:r>
      <w:r>
        <w:rPr>
          <w:rFonts w:hint="eastAsia"/>
          <w:sz w:val="24"/>
          <w:szCs w:val="24"/>
        </w:rPr>
        <w:t>并承诺提供无限期技术支持，甲方享有永久使用权和后续开发权。如采用乙方所不拥有的知识产权，则该产品或服务的知识产权人的授权文书应作为本合同的</w:t>
      </w:r>
      <w:r>
        <w:rPr>
          <w:rFonts w:hint="eastAsia" w:eastAsia="宋体"/>
          <w:sz w:val="24"/>
          <w:szCs w:val="24"/>
          <w:lang w:eastAsia="zh-CN"/>
        </w:rPr>
        <w:t>组成部分，</w:t>
      </w:r>
      <w:r>
        <w:rPr>
          <w:rFonts w:hint="eastAsia"/>
          <w:sz w:val="24"/>
          <w:szCs w:val="24"/>
        </w:rPr>
        <w:t>且在合同价中必须包括合法获取该知识产权的相关费用。</w:t>
      </w:r>
    </w:p>
    <w:p w14:paraId="3564E6F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11.5.保密义务</w:t>
      </w:r>
    </w:p>
    <w:p w14:paraId="5B82FC6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甲、乙双方对采购和合同履行过程中所获悉的国家秘密、工作秘密、商业秘密或者其他</w:t>
      </w:r>
      <w:r>
        <w:rPr>
          <w:rFonts w:hint="eastAsia"/>
          <w:sz w:val="24"/>
          <w:szCs w:val="24"/>
          <w:lang w:val="en-US" w:eastAsia="zh-CN"/>
        </w:rPr>
        <w:t>未经合法渠道公开的</w:t>
      </w:r>
      <w:r>
        <w:rPr>
          <w:sz w:val="24"/>
          <w:szCs w:val="24"/>
        </w:rPr>
        <w:t>信息，均有保密义务且不受合同有效期所限，直至该信息成为公开信息。泄露、不正当地使用国家秘密、工作秘密、商业秘密或者其他应当保密的信息，应当承担相应责任。</w:t>
      </w:r>
    </w:p>
    <w:p w14:paraId="2A97B15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11.6.售后服务</w:t>
      </w:r>
    </w:p>
    <w:p w14:paraId="086F6BF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eastAsia="宋体"/>
          <w:sz w:val="24"/>
          <w:szCs w:val="24"/>
          <w:lang w:val="en-US" w:eastAsia="zh-CN"/>
        </w:rPr>
      </w:pPr>
      <w:r>
        <w:rPr>
          <w:rFonts w:hint="eastAsia"/>
          <w:sz w:val="24"/>
          <w:szCs w:val="24"/>
          <w:lang w:val="en-US" w:eastAsia="zh-CN"/>
        </w:rPr>
        <w:t>详见本合同第二条2.3约定。</w:t>
      </w:r>
      <w:r>
        <w:rPr>
          <w:sz w:val="24"/>
          <w:szCs w:val="24"/>
        </w:rPr>
        <w:t>乙方提供的售后服务的费用已包含在合同价款中，甲方不再另行</w:t>
      </w:r>
      <w:r>
        <w:rPr>
          <w:rFonts w:hint="eastAsia" w:eastAsia="宋体"/>
          <w:sz w:val="24"/>
          <w:szCs w:val="24"/>
          <w:lang w:val="en-US" w:eastAsia="zh-CN"/>
        </w:rPr>
        <w:t>支付。</w:t>
      </w:r>
    </w:p>
    <w:p w14:paraId="3D6593B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11.7.合同变更、中止与终止</w:t>
      </w:r>
    </w:p>
    <w:p w14:paraId="5845994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14:paraId="2FD43B5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11.7.1.合同的变更</w:t>
      </w:r>
    </w:p>
    <w:p w14:paraId="482BA73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政府采购合同履行中，在不改变合同其他条款的前提下，甲方可以在合同价款 10%的范围内追加与合同标的相同的货物，并就此与乙方协商一致后签订补充协议。}</w:t>
      </w:r>
    </w:p>
    <w:p w14:paraId="249E79A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11.7.2.合同的中止</w:t>
      </w:r>
    </w:p>
    <w:p w14:paraId="7A6CF32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11.7.2.1.合同签订后，因询问、质疑可能影响成交结果的，甲方应当中止履行合同，因供应商就采购文件、采购过程或结果提起投诉的，甲方认为有必要的，可以中止合同的履行。</w:t>
      </w:r>
    </w:p>
    <w:p w14:paraId="7C82993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1E055C3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11.7.2.3.乙方分立、合并或者变更住所的，应当及时以书面形式告知甲方。乙方没有及时告知甲方，致使合同履行发生困难的，甲方可以中止合同履行并要求乙方承担由此给甲方造成的损失。</w:t>
      </w:r>
    </w:p>
    <w:p w14:paraId="60B3BAC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11.7.2.4.甲方不得以行政区划调整、政府换届、机构或者职能调整以及相关责任人更替为由中止合同。</w:t>
      </w:r>
    </w:p>
    <w:p w14:paraId="304209E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11.7.3.合同的终止</w:t>
      </w:r>
    </w:p>
    <w:p w14:paraId="4A8F704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11.7.3.1.合同因有效期限届满而终止；</w:t>
      </w:r>
    </w:p>
    <w:p w14:paraId="3C4C511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11.7.3.2.任一方未按合同约定履行，构成根本性违约的，另一方有权</w:t>
      </w:r>
      <w:r>
        <w:rPr>
          <w:rFonts w:hint="eastAsia"/>
          <w:sz w:val="24"/>
          <w:szCs w:val="24"/>
          <w:lang w:val="en-US" w:eastAsia="zh-CN"/>
        </w:rPr>
        <w:t>解除</w:t>
      </w:r>
      <w:r>
        <w:rPr>
          <w:sz w:val="24"/>
          <w:szCs w:val="24"/>
        </w:rPr>
        <w:t>合同，并追究违约方的违约责任。</w:t>
      </w:r>
    </w:p>
    <w:p w14:paraId="5743851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sz w:val="24"/>
          <w:szCs w:val="24"/>
          <w:lang w:val="en-US" w:eastAsia="zh-CN"/>
        </w:rPr>
      </w:pPr>
      <w:r>
        <w:rPr>
          <w:sz w:val="24"/>
          <w:szCs w:val="24"/>
        </w:rPr>
        <w:t>11.7.3.</w:t>
      </w:r>
      <w:r>
        <w:rPr>
          <w:rFonts w:hint="eastAsia"/>
          <w:sz w:val="24"/>
          <w:szCs w:val="24"/>
          <w:lang w:val="en-US" w:eastAsia="zh-CN"/>
        </w:rPr>
        <w:t>3</w:t>
      </w:r>
      <w:r>
        <w:rPr>
          <w:sz w:val="24"/>
          <w:szCs w:val="24"/>
        </w:rPr>
        <w:t>.</w:t>
      </w:r>
      <w:r>
        <w:rPr>
          <w:rFonts w:hint="eastAsia"/>
          <w:sz w:val="24"/>
          <w:szCs w:val="24"/>
          <w:lang w:val="en-US" w:eastAsia="zh-CN"/>
        </w:rPr>
        <w:t>甲方依据本合同约定解除情形解除合同。</w:t>
      </w:r>
    </w:p>
    <w:p w14:paraId="3D0AC37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11.7.4.涉及国家利益、社会公共利益的情形</w:t>
      </w:r>
    </w:p>
    <w:p w14:paraId="21DE05E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eastAsia="宋体"/>
          <w:sz w:val="24"/>
          <w:szCs w:val="24"/>
          <w:lang w:val="en-US" w:eastAsia="zh-CN"/>
        </w:rPr>
      </w:pPr>
      <w:r>
        <w:rPr>
          <w:sz w:val="24"/>
          <w:szCs w:val="24"/>
        </w:rPr>
        <w:t>政府采购合同继续履行将损害国家利益和社会公共利益的，双方当事人应当变更、中止或者终止合同。有过错的一方应当承担赔偿责任，双方都有过错的，各自承担相应的</w:t>
      </w:r>
      <w:r>
        <w:rPr>
          <w:rFonts w:hint="eastAsia" w:eastAsia="宋体"/>
          <w:sz w:val="24"/>
          <w:szCs w:val="24"/>
          <w:lang w:val="en-US" w:eastAsia="zh-CN"/>
        </w:rPr>
        <w:t>责任。</w:t>
      </w:r>
    </w:p>
    <w:p w14:paraId="6C06028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11.8.合同分包</w:t>
      </w:r>
    </w:p>
    <w:p w14:paraId="7FCBB1A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乙方不得将合同转包给其他供应商。涉及合同分包的，乙方应根据采购文件和投标（响应）文件规定进行合同分包。</w:t>
      </w:r>
    </w:p>
    <w:p w14:paraId="52A3A31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乙方执行政府采购政策向中小企业依法分包的，乙方应当按采购文件和投标（响应）文件签订分包意向协议，分包意向协议属于本合同组成部分。</w:t>
      </w:r>
    </w:p>
    <w:p w14:paraId="7EC1443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11.9.法律适用</w:t>
      </w:r>
    </w:p>
    <w:p w14:paraId="3478501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本合同的订立、生效、解释、履行及与本合同有关的争议解决，均适用</w:t>
      </w:r>
      <w:r>
        <w:rPr>
          <w:rFonts w:hint="eastAsia"/>
          <w:sz w:val="24"/>
          <w:szCs w:val="24"/>
          <w:lang w:val="en-US" w:eastAsia="zh-CN"/>
        </w:rPr>
        <w:t>中国</w:t>
      </w:r>
      <w:r>
        <w:rPr>
          <w:sz w:val="24"/>
          <w:szCs w:val="24"/>
        </w:rPr>
        <w:t>法律、行政法规。</w:t>
      </w:r>
    </w:p>
    <w:p w14:paraId="6865258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本合同条款与法律、行政法规的强制性规定不一致的，双方当事人应按照法律、行政法规的强制性规定修改本合同的相关条款。</w:t>
      </w:r>
    </w:p>
    <w:p w14:paraId="65D8AC5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b/>
          <w:bCs/>
          <w:sz w:val="24"/>
          <w:szCs w:val="24"/>
        </w:rPr>
      </w:pPr>
      <w:r>
        <w:rPr>
          <w:b/>
          <w:bCs/>
          <w:sz w:val="24"/>
          <w:szCs w:val="24"/>
        </w:rPr>
        <w:t>十二、合同生效及其他</w:t>
      </w:r>
    </w:p>
    <w:p w14:paraId="41DBFE8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12.1.合同经双方法定代表人（或主要负责人）或授权委托代理人签字</w:t>
      </w:r>
      <w:r>
        <w:rPr>
          <w:rFonts w:hint="eastAsia"/>
          <w:sz w:val="24"/>
          <w:szCs w:val="24"/>
          <w:lang w:val="en-US" w:eastAsia="zh-CN"/>
        </w:rPr>
        <w:t>或</w:t>
      </w:r>
      <w:r>
        <w:rPr>
          <w:sz w:val="24"/>
          <w:szCs w:val="24"/>
        </w:rPr>
        <w:t>加盖公章后生效。</w:t>
      </w:r>
    </w:p>
    <w:p w14:paraId="08F3544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12.2</w:t>
      </w:r>
      <w:r>
        <w:rPr>
          <w:rFonts w:hint="eastAsia"/>
          <w:sz w:val="24"/>
          <w:szCs w:val="24"/>
        </w:rPr>
        <w:t>甲、乙双方确认，本合同载明的当事人联系方式和联系信息适用于双方往来联系、送达合同、发票，以及与本合同相关之公函、律师函等书面文件送达及争议解决、仲裁、诉讼时法律文书送达地址。人民法院和/或仲裁机构的诉讼文书（含裁判文书）向任何合同任何一方当事人的上述地址送达的，视为有效送达。甲乙双方联系人或履行合同的人如用电子邮件、短信、微信、QQ等即时通讯工具发送上述文件的，发出方系统显示发送成功之日应被视为对方收到日期。</w:t>
      </w:r>
    </w:p>
    <w:p w14:paraId="56D58DF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rPr>
        <w:t>因以下情形导致法律文书未能被当事人接收的，依然产生送达的法律后果，自交邮后第7日视为送达：</w:t>
      </w:r>
    </w:p>
    <w:p w14:paraId="2AC9505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rPr>
        <w:t>（一）当事人提供或者确认的送达地址不准确的；</w:t>
      </w:r>
    </w:p>
    <w:p w14:paraId="69CA4A9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rPr>
        <w:t>（二）送达地址变更后3日内未书面告知对方和人民法院的；</w:t>
      </w:r>
    </w:p>
    <w:p w14:paraId="08964E9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（三）当事人或有权签收人拒绝签收的。</w:t>
      </w:r>
    </w:p>
    <w:p w14:paraId="30E2A7D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12.</w:t>
      </w:r>
      <w:r>
        <w:rPr>
          <w:rFonts w:hint="eastAsia"/>
          <w:sz w:val="24"/>
          <w:szCs w:val="24"/>
          <w:lang w:val="en-US" w:eastAsia="zh-CN"/>
        </w:rPr>
        <w:t>3</w:t>
      </w:r>
      <w:r>
        <w:rPr>
          <w:sz w:val="24"/>
          <w:szCs w:val="24"/>
        </w:rPr>
        <w:t>.政府采购合同履行中，甲方需追加与合同标的相同的货物的，在不改变合同其他条款的前提下签订的补充合同，报政府采购监督管理部门备案，方可作为主合同不可分割的一部分。</w:t>
      </w:r>
    </w:p>
    <w:p w14:paraId="181EC1C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sz w:val="24"/>
          <w:szCs w:val="24"/>
        </w:rPr>
      </w:pPr>
      <w:r>
        <w:rPr>
          <w:sz w:val="24"/>
          <w:szCs w:val="24"/>
        </w:rPr>
        <w:t>12.</w:t>
      </w:r>
      <w:r>
        <w:rPr>
          <w:rFonts w:hint="eastAsia"/>
          <w:sz w:val="24"/>
          <w:szCs w:val="24"/>
          <w:lang w:val="en-US" w:eastAsia="zh-CN"/>
        </w:rPr>
        <w:t>4</w:t>
      </w:r>
      <w:r>
        <w:rPr>
          <w:sz w:val="24"/>
          <w:szCs w:val="24"/>
        </w:rPr>
        <w:t xml:space="preserve">.本合同一式 </w:t>
      </w:r>
      <w:r>
        <w:rPr>
          <w:rFonts w:hint="eastAsia" w:eastAsia="宋体"/>
          <w:sz w:val="24"/>
          <w:szCs w:val="24"/>
          <w:lang w:val="en-US" w:eastAsia="zh-CN"/>
        </w:rPr>
        <w:t>六</w:t>
      </w:r>
      <w:r>
        <w:rPr>
          <w:sz w:val="24"/>
          <w:szCs w:val="24"/>
        </w:rPr>
        <w:t xml:space="preserve">份， 自双方签章之日起生效。甲方持有 </w:t>
      </w:r>
      <w:r>
        <w:rPr>
          <w:rFonts w:hint="eastAsia" w:eastAsia="宋体"/>
          <w:sz w:val="24"/>
          <w:szCs w:val="24"/>
          <w:lang w:val="en-US" w:eastAsia="zh-CN"/>
        </w:rPr>
        <w:t>四</w:t>
      </w:r>
      <w:r>
        <w:rPr>
          <w:sz w:val="24"/>
          <w:szCs w:val="24"/>
        </w:rPr>
        <w:t xml:space="preserve">份，乙方持有 </w:t>
      </w:r>
      <w:r>
        <w:rPr>
          <w:rFonts w:hint="eastAsia" w:eastAsia="宋体"/>
          <w:sz w:val="24"/>
          <w:szCs w:val="24"/>
          <w:lang w:val="en-US" w:eastAsia="zh-CN"/>
        </w:rPr>
        <w:t xml:space="preserve">两 </w:t>
      </w:r>
      <w:r>
        <w:rPr>
          <w:sz w:val="24"/>
          <w:szCs w:val="24"/>
        </w:rPr>
        <w:t>份</w:t>
      </w:r>
      <w:r>
        <w:rPr>
          <w:rFonts w:hint="default" w:ascii="Arial" w:hAnsi="Arial" w:eastAsia="Arial"/>
          <w:color w:val="000000"/>
          <w:sz w:val="24"/>
          <w:szCs w:val="24"/>
        </w:rPr>
        <w:t>（其中采购代理机构一份（若涉及），由乙方交由采购代理机构）。经甲乙双方签字盖章后正式生效。</w:t>
      </w:r>
    </w:p>
    <w:p w14:paraId="1E150380">
      <w:pPr>
        <w:pStyle w:val="4"/>
        <w:rPr>
          <w:sz w:val="24"/>
          <w:szCs w:val="24"/>
        </w:rPr>
      </w:pPr>
    </w:p>
    <w:tbl>
      <w:tblPr>
        <w:tblStyle w:val="9"/>
        <w:tblW w:w="83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97"/>
        <w:gridCol w:w="4393"/>
      </w:tblGrid>
      <w:tr w14:paraId="61AEA8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390" w:type="dxa"/>
            <w:gridSpan w:val="2"/>
            <w:vAlign w:val="top"/>
          </w:tcPr>
          <w:p w14:paraId="75C6981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甲方</w:t>
            </w:r>
          </w:p>
        </w:tc>
      </w:tr>
      <w:tr w14:paraId="13EEB1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vAlign w:val="top"/>
          </w:tcPr>
          <w:p w14:paraId="3510481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单位名称</w:t>
            </w:r>
          </w:p>
        </w:tc>
        <w:tc>
          <w:tcPr>
            <w:tcW w:w="4393" w:type="dxa"/>
            <w:vAlign w:val="top"/>
          </w:tcPr>
          <w:p w14:paraId="111C6BE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（盖章）</w:t>
            </w:r>
          </w:p>
        </w:tc>
      </w:tr>
      <w:tr w14:paraId="53D766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vAlign w:val="top"/>
          </w:tcPr>
          <w:p w14:paraId="511E358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法定代表人或其授权委托代理人（签章）</w:t>
            </w:r>
          </w:p>
        </w:tc>
        <w:tc>
          <w:tcPr>
            <w:tcW w:w="4393" w:type="dxa"/>
            <w:vAlign w:val="top"/>
          </w:tcPr>
          <w:p w14:paraId="77D0881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p>
        </w:tc>
      </w:tr>
      <w:tr w14:paraId="33BF10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vAlign w:val="top"/>
          </w:tcPr>
          <w:p w14:paraId="48492A0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住  所</w:t>
            </w:r>
          </w:p>
        </w:tc>
        <w:tc>
          <w:tcPr>
            <w:tcW w:w="4393" w:type="dxa"/>
            <w:vAlign w:val="top"/>
          </w:tcPr>
          <w:p w14:paraId="73C417C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p>
        </w:tc>
      </w:tr>
      <w:tr w14:paraId="0FBCDA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vAlign w:val="top"/>
          </w:tcPr>
          <w:p w14:paraId="762D24F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开户银行</w:t>
            </w:r>
          </w:p>
        </w:tc>
        <w:tc>
          <w:tcPr>
            <w:tcW w:w="4393" w:type="dxa"/>
            <w:vAlign w:val="top"/>
          </w:tcPr>
          <w:p w14:paraId="2D0E057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p>
        </w:tc>
      </w:tr>
      <w:tr w14:paraId="3DCEB4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3997" w:type="dxa"/>
            <w:vAlign w:val="top"/>
          </w:tcPr>
          <w:p w14:paraId="7D9B2EF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银行账号</w:t>
            </w:r>
          </w:p>
        </w:tc>
        <w:tc>
          <w:tcPr>
            <w:tcW w:w="4393" w:type="dxa"/>
            <w:vAlign w:val="top"/>
          </w:tcPr>
          <w:p w14:paraId="792375C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p>
        </w:tc>
      </w:tr>
    </w:tbl>
    <w:p w14:paraId="71D3FA9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p>
    <w:p w14:paraId="0C93340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p>
    <w:tbl>
      <w:tblPr>
        <w:tblStyle w:val="9"/>
        <w:tblW w:w="83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97"/>
        <w:gridCol w:w="4393"/>
      </w:tblGrid>
      <w:tr w14:paraId="4B6799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390" w:type="dxa"/>
            <w:gridSpan w:val="2"/>
            <w:vAlign w:val="top"/>
          </w:tcPr>
          <w:p w14:paraId="50008B0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乙方</w:t>
            </w:r>
          </w:p>
        </w:tc>
      </w:tr>
      <w:tr w14:paraId="5D46C4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vAlign w:val="top"/>
          </w:tcPr>
          <w:p w14:paraId="5BF5E1A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单位名称</w:t>
            </w:r>
          </w:p>
        </w:tc>
        <w:tc>
          <w:tcPr>
            <w:tcW w:w="4393" w:type="dxa"/>
            <w:vAlign w:val="top"/>
          </w:tcPr>
          <w:p w14:paraId="2B4B80B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（盖章）</w:t>
            </w:r>
          </w:p>
        </w:tc>
      </w:tr>
      <w:tr w14:paraId="381E55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vAlign w:val="top"/>
          </w:tcPr>
          <w:p w14:paraId="02CD4D1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法定代表人或其授权委托代理人（签章）</w:t>
            </w:r>
          </w:p>
        </w:tc>
        <w:tc>
          <w:tcPr>
            <w:tcW w:w="4393" w:type="dxa"/>
            <w:vAlign w:val="top"/>
          </w:tcPr>
          <w:p w14:paraId="735B11E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p>
        </w:tc>
      </w:tr>
      <w:tr w14:paraId="45E614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vAlign w:val="top"/>
          </w:tcPr>
          <w:p w14:paraId="339B6EC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住  所</w:t>
            </w:r>
          </w:p>
        </w:tc>
        <w:tc>
          <w:tcPr>
            <w:tcW w:w="4393" w:type="dxa"/>
            <w:vAlign w:val="top"/>
          </w:tcPr>
          <w:p w14:paraId="0F777DE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p>
        </w:tc>
      </w:tr>
      <w:tr w14:paraId="15BBD2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vAlign w:val="top"/>
          </w:tcPr>
          <w:p w14:paraId="143C74E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开户银行</w:t>
            </w:r>
          </w:p>
        </w:tc>
        <w:tc>
          <w:tcPr>
            <w:tcW w:w="4393" w:type="dxa"/>
            <w:vAlign w:val="top"/>
          </w:tcPr>
          <w:p w14:paraId="209310E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p>
        </w:tc>
      </w:tr>
      <w:tr w14:paraId="520F1D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3997" w:type="dxa"/>
            <w:vAlign w:val="top"/>
          </w:tcPr>
          <w:p w14:paraId="7D6A06C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银行账号</w:t>
            </w:r>
          </w:p>
        </w:tc>
        <w:tc>
          <w:tcPr>
            <w:tcW w:w="4393" w:type="dxa"/>
            <w:vAlign w:val="top"/>
          </w:tcPr>
          <w:p w14:paraId="48728D5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p>
        </w:tc>
      </w:tr>
      <w:tr w14:paraId="4EF8FC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3997" w:type="dxa"/>
            <w:vAlign w:val="top"/>
          </w:tcPr>
          <w:p w14:paraId="742E8BF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w:t>
            </w:r>
          </w:p>
        </w:tc>
        <w:tc>
          <w:tcPr>
            <w:tcW w:w="4393" w:type="dxa"/>
            <w:vAlign w:val="top"/>
          </w:tcPr>
          <w:p w14:paraId="6845AE2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w:t>
            </w:r>
          </w:p>
        </w:tc>
      </w:tr>
    </w:tbl>
    <w:p w14:paraId="046A5A15">
      <w:pPr>
        <w:keepLines w:val="0"/>
        <w:pageBreakBefore w:val="0"/>
        <w:wordWrap/>
        <w:overflowPunct/>
        <w:topLinePunct w:val="0"/>
        <w:autoSpaceDE w:val="0"/>
        <w:autoSpaceDN w:val="0"/>
        <w:bidi w:val="0"/>
        <w:adjustRightInd w:val="0"/>
        <w:spacing w:line="360" w:lineRule="auto"/>
        <w:ind w:firstLine="480" w:firstLineChars="200"/>
        <w:rPr>
          <w:rFonts w:ascii="Arial"/>
          <w:b/>
          <w:bCs/>
          <w:sz w:val="24"/>
          <w:szCs w:val="24"/>
        </w:rPr>
      </w:pPr>
    </w:p>
    <w:p w14:paraId="0FE25D44">
      <w:pPr>
        <w:keepLines w:val="0"/>
        <w:pageBreakBefore w:val="0"/>
        <w:wordWrap/>
        <w:overflowPunct/>
        <w:topLinePunct w:val="0"/>
        <w:autoSpaceDE w:val="0"/>
        <w:autoSpaceDN w:val="0"/>
        <w:bidi w:val="0"/>
        <w:adjustRightInd w:val="0"/>
        <w:spacing w:line="360" w:lineRule="auto"/>
        <w:ind w:firstLine="560" w:firstLineChars="200"/>
        <w:rPr>
          <w:rFonts w:ascii="Arial"/>
          <w:b/>
          <w:bCs/>
          <w:sz w:val="28"/>
          <w:szCs w:val="28"/>
        </w:rPr>
      </w:pPr>
    </w:p>
    <w:p w14:paraId="2586AEC1">
      <w:pPr>
        <w:keepLines w:val="0"/>
        <w:pageBreakBefore w:val="0"/>
        <w:wordWrap/>
        <w:overflowPunct/>
        <w:topLinePunct w:val="0"/>
        <w:autoSpaceDE w:val="0"/>
        <w:autoSpaceDN w:val="0"/>
        <w:bidi w:val="0"/>
        <w:adjustRightInd w:val="0"/>
        <w:spacing w:line="360" w:lineRule="auto"/>
        <w:ind w:firstLine="560" w:firstLineChars="200"/>
        <w:rPr>
          <w:rFonts w:ascii="Arial"/>
          <w:b/>
          <w:bCs/>
          <w:sz w:val="28"/>
          <w:szCs w:val="28"/>
        </w:rPr>
      </w:pPr>
    </w:p>
    <w:p w14:paraId="214E096E">
      <w:pPr>
        <w:keepLines w:val="0"/>
        <w:pageBreakBefore w:val="0"/>
        <w:wordWrap/>
        <w:overflowPunct/>
        <w:topLinePunct w:val="0"/>
        <w:autoSpaceDE w:val="0"/>
        <w:autoSpaceDN w:val="0"/>
        <w:bidi w:val="0"/>
        <w:adjustRightInd w:val="0"/>
        <w:spacing w:line="360" w:lineRule="auto"/>
        <w:ind w:firstLine="560" w:firstLineChars="200"/>
        <w:rPr>
          <w:rFonts w:ascii="Arial"/>
          <w:b/>
          <w:bCs/>
          <w:sz w:val="28"/>
          <w:szCs w:val="28"/>
        </w:rPr>
      </w:pPr>
    </w:p>
    <w:p w14:paraId="2986EE58">
      <w:pPr>
        <w:keepLines w:val="0"/>
        <w:pageBreakBefore w:val="0"/>
        <w:wordWrap/>
        <w:overflowPunct/>
        <w:topLinePunct w:val="0"/>
        <w:autoSpaceDE w:val="0"/>
        <w:autoSpaceDN w:val="0"/>
        <w:bidi w:val="0"/>
        <w:adjustRightInd w:val="0"/>
        <w:spacing w:line="360" w:lineRule="auto"/>
        <w:ind w:firstLine="560" w:firstLineChars="200"/>
        <w:rPr>
          <w:rFonts w:ascii="Arial"/>
          <w:b/>
          <w:bCs/>
          <w:sz w:val="28"/>
          <w:szCs w:val="28"/>
        </w:rPr>
      </w:pPr>
    </w:p>
    <w:p w14:paraId="1852E16A">
      <w:pPr>
        <w:keepLines w:val="0"/>
        <w:pageBreakBefore w:val="0"/>
        <w:wordWrap/>
        <w:overflowPunct/>
        <w:topLinePunct w:val="0"/>
        <w:autoSpaceDE w:val="0"/>
        <w:autoSpaceDN w:val="0"/>
        <w:bidi w:val="0"/>
        <w:adjustRightInd w:val="0"/>
        <w:spacing w:line="360" w:lineRule="auto"/>
        <w:ind w:firstLine="560" w:firstLineChars="200"/>
        <w:rPr>
          <w:rFonts w:ascii="Arial"/>
          <w:b/>
          <w:bCs/>
          <w:sz w:val="28"/>
          <w:szCs w:val="28"/>
        </w:rPr>
      </w:pPr>
    </w:p>
    <w:p w14:paraId="2A74F0D1">
      <w:pPr>
        <w:pStyle w:val="4"/>
        <w:rPr>
          <w:rFonts w:ascii="Arial"/>
          <w:b/>
          <w:bCs/>
          <w:sz w:val="28"/>
          <w:szCs w:val="28"/>
        </w:rPr>
      </w:pPr>
    </w:p>
    <w:p w14:paraId="1B26444E">
      <w:pPr>
        <w:pStyle w:val="4"/>
        <w:rPr>
          <w:rFonts w:ascii="Arial"/>
          <w:b/>
          <w:bCs/>
          <w:sz w:val="28"/>
          <w:szCs w:val="28"/>
        </w:rPr>
      </w:pPr>
    </w:p>
    <w:p w14:paraId="71A1327A">
      <w:pPr>
        <w:pStyle w:val="4"/>
        <w:rPr>
          <w:rFonts w:ascii="Arial"/>
          <w:b/>
          <w:bCs/>
          <w:sz w:val="28"/>
          <w:szCs w:val="28"/>
        </w:rPr>
      </w:pPr>
    </w:p>
    <w:p w14:paraId="45B2E109">
      <w:pPr>
        <w:pStyle w:val="4"/>
        <w:rPr>
          <w:rFonts w:ascii="Arial"/>
          <w:b/>
          <w:bCs/>
          <w:sz w:val="28"/>
          <w:szCs w:val="28"/>
        </w:rPr>
      </w:pPr>
    </w:p>
    <w:p w14:paraId="4CAB0F52">
      <w:pPr>
        <w:pStyle w:val="4"/>
        <w:rPr>
          <w:rFonts w:ascii="Arial"/>
          <w:b/>
          <w:bCs/>
          <w:sz w:val="28"/>
          <w:szCs w:val="28"/>
        </w:rPr>
      </w:pPr>
    </w:p>
    <w:p w14:paraId="17FD33A7">
      <w:pPr>
        <w:pStyle w:val="4"/>
        <w:rPr>
          <w:rFonts w:ascii="Arial"/>
          <w:b/>
          <w:bCs/>
          <w:sz w:val="28"/>
          <w:szCs w:val="28"/>
        </w:rPr>
      </w:pPr>
    </w:p>
    <w:p w14:paraId="7C3DA01F">
      <w:pPr>
        <w:pStyle w:val="4"/>
        <w:rPr>
          <w:rFonts w:ascii="Arial"/>
          <w:b/>
          <w:bCs/>
          <w:sz w:val="28"/>
          <w:szCs w:val="28"/>
        </w:rPr>
      </w:pPr>
    </w:p>
    <w:p w14:paraId="38A53FDF">
      <w:pPr>
        <w:pStyle w:val="4"/>
        <w:rPr>
          <w:rFonts w:ascii="Arial"/>
          <w:b/>
          <w:bCs/>
          <w:sz w:val="28"/>
          <w:szCs w:val="28"/>
        </w:rPr>
      </w:pPr>
    </w:p>
    <w:p w14:paraId="41CDD06F">
      <w:pPr>
        <w:pStyle w:val="4"/>
        <w:rPr>
          <w:rFonts w:ascii="Arial"/>
          <w:b/>
          <w:bCs/>
          <w:sz w:val="28"/>
          <w:szCs w:val="28"/>
        </w:rPr>
      </w:pPr>
    </w:p>
    <w:p w14:paraId="1A9C17A0">
      <w:pPr>
        <w:keepLines w:val="0"/>
        <w:pageBreakBefore w:val="0"/>
        <w:wordWrap/>
        <w:overflowPunct/>
        <w:topLinePunct w:val="0"/>
        <w:autoSpaceDE w:val="0"/>
        <w:autoSpaceDN w:val="0"/>
        <w:bidi w:val="0"/>
        <w:adjustRightInd w:val="0"/>
        <w:spacing w:line="360" w:lineRule="auto"/>
        <w:ind w:firstLine="560" w:firstLineChars="200"/>
        <w:rPr>
          <w:rFonts w:ascii="Arial"/>
          <w:b/>
          <w:bCs/>
          <w:sz w:val="28"/>
          <w:szCs w:val="28"/>
        </w:rPr>
      </w:pPr>
    </w:p>
    <w:p w14:paraId="382B4DEE">
      <w:pPr>
        <w:keepLines w:val="0"/>
        <w:pageBreakBefore w:val="0"/>
        <w:wordWrap/>
        <w:overflowPunct/>
        <w:topLinePunct w:val="0"/>
        <w:autoSpaceDE w:val="0"/>
        <w:autoSpaceDN w:val="0"/>
        <w:bidi w:val="0"/>
        <w:adjustRightInd w:val="0"/>
        <w:spacing w:line="360" w:lineRule="auto"/>
        <w:ind w:firstLine="560" w:firstLineChars="200"/>
        <w:rPr>
          <w:rFonts w:ascii="Arial"/>
          <w:b/>
          <w:bCs/>
          <w:sz w:val="28"/>
          <w:szCs w:val="28"/>
        </w:rPr>
      </w:pPr>
    </w:p>
    <w:p w14:paraId="1A81C9B6">
      <w:pPr>
        <w:keepLines w:val="0"/>
        <w:pageBreakBefore w:val="0"/>
        <w:wordWrap/>
        <w:overflowPunct/>
        <w:topLinePunct w:val="0"/>
        <w:autoSpaceDE w:val="0"/>
        <w:autoSpaceDN w:val="0"/>
        <w:bidi w:val="0"/>
        <w:adjustRightInd w:val="0"/>
        <w:spacing w:line="360" w:lineRule="auto"/>
        <w:ind w:firstLine="560" w:firstLineChars="200"/>
        <w:rPr>
          <w:rFonts w:ascii="Arial"/>
          <w:b/>
          <w:bCs/>
          <w:sz w:val="28"/>
          <w:szCs w:val="28"/>
        </w:rPr>
      </w:pPr>
    </w:p>
    <w:p w14:paraId="730DEFC9">
      <w:pPr>
        <w:keepLines w:val="0"/>
        <w:pageBreakBefore w:val="0"/>
        <w:wordWrap/>
        <w:overflowPunct/>
        <w:topLinePunct w:val="0"/>
        <w:autoSpaceDE w:val="0"/>
        <w:autoSpaceDN w:val="0"/>
        <w:bidi w:val="0"/>
        <w:adjustRightInd w:val="0"/>
        <w:spacing w:line="360" w:lineRule="auto"/>
        <w:ind w:firstLine="560" w:firstLineChars="200"/>
        <w:rPr>
          <w:rFonts w:ascii="Arial"/>
          <w:b/>
          <w:bCs/>
          <w:sz w:val="28"/>
          <w:szCs w:val="28"/>
        </w:rPr>
      </w:pPr>
    </w:p>
    <w:p w14:paraId="18A59C29">
      <w:pPr>
        <w:keepLines w:val="0"/>
        <w:pageBreakBefore w:val="0"/>
        <w:wordWrap/>
        <w:overflowPunct/>
        <w:topLinePunct w:val="0"/>
        <w:autoSpaceDE w:val="0"/>
        <w:autoSpaceDN w:val="0"/>
        <w:bidi w:val="0"/>
        <w:adjustRightInd w:val="0"/>
        <w:spacing w:line="360" w:lineRule="auto"/>
        <w:ind w:firstLine="560" w:firstLineChars="200"/>
        <w:rPr>
          <w:rFonts w:ascii="Arial"/>
          <w:b/>
          <w:bCs/>
          <w:sz w:val="28"/>
          <w:szCs w:val="28"/>
        </w:rPr>
      </w:pPr>
    </w:p>
    <w:p w14:paraId="22D22DF0">
      <w:pPr>
        <w:keepLines w:val="0"/>
        <w:pageBreakBefore w:val="0"/>
        <w:wordWrap/>
        <w:overflowPunct/>
        <w:topLinePunct w:val="0"/>
        <w:autoSpaceDE w:val="0"/>
        <w:autoSpaceDN w:val="0"/>
        <w:bidi w:val="0"/>
        <w:adjustRightInd w:val="0"/>
        <w:spacing w:line="360" w:lineRule="auto"/>
        <w:ind w:firstLine="560" w:firstLineChars="200"/>
        <w:rPr>
          <w:rFonts w:ascii="Arial"/>
          <w:b/>
          <w:bCs/>
          <w:sz w:val="28"/>
          <w:szCs w:val="28"/>
        </w:rPr>
      </w:pPr>
    </w:p>
    <w:p w14:paraId="1B3F7004">
      <w:pPr>
        <w:spacing w:line="360" w:lineRule="auto"/>
        <w:rPr>
          <w:rFonts w:hint="eastAsia" w:ascii="仿宋" w:hAnsi="仿宋" w:eastAsia="仿宋"/>
          <w:b/>
          <w:bCs/>
          <w:sz w:val="32"/>
          <w:szCs w:val="32"/>
          <w:lang w:eastAsia="zh-CN"/>
        </w:rPr>
      </w:pPr>
      <w:r>
        <w:rPr>
          <w:rFonts w:hint="eastAsia" w:ascii="仿宋" w:hAnsi="仿宋" w:eastAsia="仿宋"/>
          <w:b/>
          <w:bCs/>
          <w:sz w:val="32"/>
          <w:szCs w:val="32"/>
        </w:rPr>
        <w:t xml:space="preserve">附件一  </w:t>
      </w:r>
      <w:r>
        <w:rPr>
          <w:rFonts w:hint="eastAsia" w:ascii="仿宋" w:hAnsi="仿宋" w:eastAsia="仿宋"/>
          <w:b/>
          <w:bCs/>
          <w:sz w:val="32"/>
          <w:szCs w:val="32"/>
          <w:lang w:val="en-US" w:eastAsia="zh-CN"/>
        </w:rPr>
        <w:t xml:space="preserve"> </w:t>
      </w:r>
    </w:p>
    <w:p w14:paraId="132FD9F1">
      <w:pPr>
        <w:spacing w:line="360" w:lineRule="auto"/>
        <w:jc w:val="center"/>
        <w:rPr>
          <w:rFonts w:hint="eastAsia" w:ascii="仿宋" w:hAnsi="仿宋" w:eastAsia="仿宋" w:cs="仿宋"/>
          <w:bCs/>
          <w:sz w:val="36"/>
          <w:szCs w:val="36"/>
        </w:rPr>
      </w:pPr>
    </w:p>
    <w:p w14:paraId="5A86B9B2">
      <w:pPr>
        <w:spacing w:line="360" w:lineRule="auto"/>
        <w:jc w:val="center"/>
        <w:rPr>
          <w:rFonts w:hint="eastAsia" w:ascii="仿宋" w:hAnsi="仿宋" w:eastAsia="仿宋" w:cs="仿宋"/>
          <w:bCs/>
          <w:sz w:val="36"/>
          <w:szCs w:val="36"/>
        </w:rPr>
      </w:pPr>
      <w:r>
        <w:rPr>
          <w:rFonts w:hint="eastAsia" w:ascii="仿宋" w:hAnsi="仿宋" w:eastAsia="仿宋" w:cs="仿宋"/>
          <w:bCs/>
          <w:sz w:val="36"/>
          <w:szCs w:val="36"/>
        </w:rPr>
        <w:t>四川省肿瘤医院廉洁购销协议</w:t>
      </w:r>
    </w:p>
    <w:p w14:paraId="41FE6A36">
      <w:pPr>
        <w:pStyle w:val="4"/>
        <w:rPr>
          <w:rFonts w:hint="eastAsia"/>
        </w:rPr>
      </w:pPr>
    </w:p>
    <w:p w14:paraId="0BB4C2AC">
      <w:pPr>
        <w:numPr>
          <w:ilvl w:val="12"/>
          <w:numId w:val="0"/>
        </w:num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甲方：四川省肿瘤医院</w:t>
      </w:r>
    </w:p>
    <w:p w14:paraId="25B806EA">
      <w:pPr>
        <w:numPr>
          <w:ilvl w:val="12"/>
          <w:numId w:val="0"/>
        </w:num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乙方：</w:t>
      </w:r>
    </w:p>
    <w:p w14:paraId="3117F547">
      <w:pPr>
        <w:numPr>
          <w:ilvl w:val="12"/>
          <w:numId w:val="0"/>
        </w:num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为进一步加强医疗卫生行风建设，规范医疗卫生机构购销行为，有效防范商业贿赂行为，营造公平交易、诚实守信的购销环境，经甲、乙双方协商，同意签订本合同，并共同遵守：</w:t>
      </w:r>
    </w:p>
    <w:p w14:paraId="020DA8F7">
      <w:pPr>
        <w:numPr>
          <w:ilvl w:val="12"/>
          <w:numId w:val="0"/>
        </w:num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一、甲乙双方按照《中华人民共和国民法典》及购销合同约定的购销药品、医药设备、医用耗材等。</w:t>
      </w:r>
    </w:p>
    <w:p w14:paraId="02953061">
      <w:pPr>
        <w:numPr>
          <w:ilvl w:val="12"/>
          <w:numId w:val="0"/>
        </w:num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二、甲方应当严格执行医药产品购销合同验收、入库制度，对采购医药产品及发票进行查验，不得违反有关规定合同外采购、违价采购或从非规定渠道采购。</w:t>
      </w:r>
    </w:p>
    <w:p w14:paraId="515947C2">
      <w:pPr>
        <w:numPr>
          <w:ilvl w:val="12"/>
          <w:numId w:val="0"/>
        </w:num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医院纪检监察部门反映情况。</w:t>
      </w:r>
    </w:p>
    <w:p w14:paraId="701EC78A">
      <w:pPr>
        <w:numPr>
          <w:ilvl w:val="12"/>
          <w:numId w:val="0"/>
        </w:num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四、严禁甲方工作人员利用任何途径和方式，为乙方统计医师个人及临床科室有关医药产品用量信息，或为乙方统计提供便利。</w:t>
      </w:r>
    </w:p>
    <w:p w14:paraId="590B10F7">
      <w:pPr>
        <w:numPr>
          <w:ilvl w:val="12"/>
          <w:numId w:val="0"/>
        </w:num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五、乙方公司如有甲方干部及配偶、子女及配偶在其公司从事设备、耗材等经营活动的人员必需如实向甲方纪检部门进行报备。人员信息如有变更，需及时向甲方纪检部门重新报备。</w:t>
      </w:r>
    </w:p>
    <w:p w14:paraId="7773FB2E">
      <w:pPr>
        <w:numPr>
          <w:ilvl w:val="12"/>
          <w:numId w:val="0"/>
        </w:num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六、乙方不得以回扣、宴请等方式影响甲方工作人员采购或使用医药产品的选择权，不得在学术活动中提供旅游、超标准支付食费宿用。</w:t>
      </w:r>
    </w:p>
    <w:p w14:paraId="72CC7BDB">
      <w:pPr>
        <w:numPr>
          <w:ilvl w:val="12"/>
          <w:numId w:val="0"/>
        </w:num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七、乙方指定作为销售代表洽谈业务。销售代表必须在工作时间到甲方指定地点联系商谈，不得到住院部、门诊部、医技科室等推销产品，不得借故到甲方相关领导、部门负责人及相关工作人员家中访谈并提供任何好处费。</w:t>
      </w:r>
    </w:p>
    <w:p w14:paraId="63A98BDF">
      <w:pPr>
        <w:numPr>
          <w:ilvl w:val="12"/>
          <w:numId w:val="0"/>
        </w:num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八、乙方如违反本合同，一经发现，甲方有权终止购销合同，并向有关卫生计生行政部门报告。如乙方被列入商业贿赂不良记录，则严格按照《国家卫生计生委关于建立医药购销领域商业贿赂不良记录的规定》（国卫法制发[2013]50号）相关规定处理。</w:t>
      </w:r>
    </w:p>
    <w:p w14:paraId="2233535B">
      <w:pPr>
        <w:numPr>
          <w:ilvl w:val="12"/>
          <w:numId w:val="0"/>
        </w:numPr>
        <w:spacing w:line="360" w:lineRule="auto"/>
        <w:ind w:firstLine="420" w:firstLineChars="200"/>
        <w:rPr>
          <w:rFonts w:hint="eastAsia" w:ascii="仿宋" w:hAnsi="仿宋" w:eastAsia="仿宋" w:cs="仿宋"/>
          <w:sz w:val="21"/>
          <w:szCs w:val="21"/>
        </w:rPr>
      </w:pPr>
    </w:p>
    <w:p w14:paraId="5B530BB4">
      <w:pPr>
        <w:numPr>
          <w:ilvl w:val="12"/>
          <w:numId w:val="0"/>
        </w:numPr>
        <w:spacing w:line="360" w:lineRule="auto"/>
        <w:ind w:firstLine="420" w:firstLineChars="200"/>
        <w:rPr>
          <w:rFonts w:hint="eastAsia" w:ascii="仿宋" w:hAnsi="仿宋" w:eastAsia="仿宋" w:cs="仿宋"/>
          <w:sz w:val="21"/>
          <w:szCs w:val="21"/>
        </w:rPr>
      </w:pPr>
    </w:p>
    <w:p w14:paraId="522BE7D1">
      <w:pPr>
        <w:spacing w:line="360" w:lineRule="auto"/>
        <w:rPr>
          <w:rFonts w:hint="eastAsia" w:ascii="仿宋" w:hAnsi="仿宋" w:eastAsia="仿宋"/>
        </w:rPr>
      </w:pPr>
      <w:r>
        <w:rPr>
          <w:rFonts w:hint="eastAsia" w:ascii="仿宋" w:hAnsi="仿宋" w:eastAsia="仿宋"/>
        </w:rPr>
        <w:t xml:space="preserve">甲方（盖章）：四川省肿瘤医院     </w:t>
      </w:r>
      <w:r>
        <w:rPr>
          <w:rFonts w:ascii="仿宋" w:hAnsi="仿宋" w:eastAsia="仿宋"/>
        </w:rPr>
        <w:t xml:space="preserve">          </w:t>
      </w:r>
      <w:r>
        <w:rPr>
          <w:rFonts w:hint="eastAsia" w:ascii="仿宋" w:hAnsi="仿宋" w:eastAsia="仿宋"/>
        </w:rPr>
        <w:t>乙方（盖章）：</w:t>
      </w:r>
    </w:p>
    <w:p w14:paraId="47B11FEC">
      <w:pPr>
        <w:pStyle w:val="4"/>
        <w:rPr>
          <w:rFonts w:hint="eastAsia"/>
        </w:rPr>
      </w:pPr>
    </w:p>
    <w:p w14:paraId="41E6E2B1">
      <w:pPr>
        <w:spacing w:line="360" w:lineRule="auto"/>
        <w:rPr>
          <w:rFonts w:hint="eastAsia" w:ascii="仿宋" w:hAnsi="仿宋" w:eastAsia="仿宋"/>
        </w:rPr>
      </w:pPr>
      <w:r>
        <w:rPr>
          <w:rFonts w:hint="eastAsia" w:ascii="仿宋" w:hAnsi="仿宋" w:eastAsia="仿宋"/>
        </w:rPr>
        <w:t>甲方法定代表人</w:t>
      </w:r>
      <w:r>
        <w:rPr>
          <w:rFonts w:hint="eastAsia" w:ascii="仿宋" w:hAnsi="仿宋" w:eastAsia="仿宋"/>
          <w:lang w:val="en-US" w:eastAsia="zh-CN"/>
        </w:rPr>
        <w:t>/授权代表</w:t>
      </w:r>
      <w:r>
        <w:rPr>
          <w:rFonts w:hint="eastAsia" w:ascii="仿宋" w:hAnsi="仿宋" w:eastAsia="仿宋"/>
        </w:rPr>
        <w:t xml:space="preserve">： </w:t>
      </w:r>
      <w:r>
        <w:rPr>
          <w:rFonts w:ascii="仿宋" w:hAnsi="仿宋" w:eastAsia="仿宋"/>
        </w:rPr>
        <w:t xml:space="preserve">  </w:t>
      </w:r>
      <w:r>
        <w:rPr>
          <w:rFonts w:hint="eastAsia" w:ascii="仿宋" w:hAnsi="仿宋" w:eastAsia="仿宋"/>
          <w:lang w:val="en-US" w:eastAsia="zh-CN"/>
        </w:rPr>
        <w:t xml:space="preserve">               </w:t>
      </w:r>
      <w:r>
        <w:rPr>
          <w:rFonts w:hint="eastAsia" w:ascii="仿宋" w:hAnsi="仿宋" w:eastAsia="仿宋"/>
        </w:rPr>
        <w:t>法定代表人</w:t>
      </w:r>
      <w:r>
        <w:rPr>
          <w:rFonts w:hint="eastAsia" w:ascii="仿宋" w:hAnsi="仿宋" w:eastAsia="仿宋"/>
          <w:lang w:val="en-US" w:eastAsia="zh-CN"/>
        </w:rPr>
        <w:t>/授权代表</w:t>
      </w:r>
      <w:r>
        <w:rPr>
          <w:rFonts w:hint="eastAsia" w:ascii="仿宋" w:hAnsi="仿宋" w:eastAsia="仿宋"/>
        </w:rPr>
        <w:t xml:space="preserve">：                   </w:t>
      </w:r>
    </w:p>
    <w:p w14:paraId="2548CE42">
      <w:pPr>
        <w:spacing w:line="360" w:lineRule="auto"/>
        <w:rPr>
          <w:rFonts w:hint="eastAsia" w:ascii="仿宋" w:hAnsi="仿宋" w:eastAsia="仿宋"/>
        </w:rPr>
      </w:pPr>
      <w:r>
        <w:rPr>
          <w:rFonts w:hint="eastAsia" w:ascii="仿宋" w:hAnsi="仿宋" w:eastAsia="仿宋"/>
        </w:rPr>
        <w:t>年   月   日                               年   月   日</w:t>
      </w:r>
    </w:p>
    <w:p w14:paraId="63B48E42">
      <w:pPr>
        <w:widowControl/>
        <w:jc w:val="left"/>
        <w:rPr>
          <w:rFonts w:hint="eastAsia" w:ascii="仿宋" w:hAnsi="仿宋" w:eastAsia="仿宋"/>
        </w:rPr>
      </w:pPr>
      <w:r>
        <w:rPr>
          <w:rFonts w:hint="eastAsia" w:ascii="仿宋" w:hAnsi="仿宋" w:eastAsia="仿宋"/>
        </w:rPr>
        <w:br w:type="page"/>
      </w:r>
    </w:p>
    <w:p w14:paraId="22C62DDE">
      <w:pPr>
        <w:spacing w:line="360" w:lineRule="auto"/>
        <w:rPr>
          <w:rFonts w:hint="eastAsia" w:ascii="仿宋" w:hAnsi="仿宋" w:eastAsia="仿宋"/>
          <w:b/>
          <w:bCs/>
          <w:sz w:val="32"/>
          <w:szCs w:val="32"/>
        </w:rPr>
      </w:pPr>
      <w:r>
        <w:rPr>
          <w:rFonts w:hint="eastAsia" w:ascii="仿宋" w:hAnsi="仿宋" w:eastAsia="仿宋"/>
          <w:b/>
          <w:bCs/>
          <w:sz w:val="32"/>
          <w:szCs w:val="32"/>
        </w:rPr>
        <w:t>附件二  配置清单</w:t>
      </w:r>
    </w:p>
    <w:p w14:paraId="1982D0AA">
      <w:pPr>
        <w:pStyle w:val="4"/>
        <w:rPr>
          <w:rFonts w:hint="eastAsia"/>
        </w:rPr>
      </w:pPr>
    </w:p>
    <w:p w14:paraId="39F4F845">
      <w:pPr>
        <w:spacing w:line="360" w:lineRule="auto"/>
        <w:rPr>
          <w:rFonts w:hint="eastAsia" w:ascii="仿宋" w:hAnsi="仿宋" w:eastAsia="仿宋"/>
          <w:b/>
          <w:bCs/>
          <w:sz w:val="32"/>
          <w:szCs w:val="32"/>
        </w:rPr>
      </w:pPr>
      <w:r>
        <w:rPr>
          <w:rFonts w:hint="eastAsia" w:ascii="仿宋" w:hAnsi="仿宋" w:eastAsia="仿宋"/>
          <w:b/>
          <w:bCs/>
          <w:sz w:val="32"/>
          <w:szCs w:val="32"/>
        </w:rPr>
        <w:t>附件</w:t>
      </w:r>
      <w:r>
        <w:rPr>
          <w:rFonts w:hint="eastAsia" w:ascii="仿宋" w:hAnsi="仿宋" w:eastAsia="仿宋"/>
          <w:b/>
          <w:bCs/>
          <w:sz w:val="32"/>
          <w:szCs w:val="32"/>
          <w:lang w:val="en-US" w:eastAsia="zh-CN"/>
        </w:rPr>
        <w:t>三</w:t>
      </w:r>
      <w:r>
        <w:rPr>
          <w:rFonts w:hint="eastAsia" w:ascii="仿宋" w:hAnsi="仿宋" w:eastAsia="仿宋"/>
          <w:b/>
          <w:bCs/>
          <w:sz w:val="32"/>
          <w:szCs w:val="32"/>
        </w:rPr>
        <w:t xml:space="preserve">  零配件、易耗品价格清单</w:t>
      </w:r>
    </w:p>
    <w:p w14:paraId="2D0EAA35">
      <w:pPr>
        <w:pStyle w:val="4"/>
        <w:rPr>
          <w:rFonts w:hint="eastAsia"/>
        </w:rPr>
      </w:pPr>
    </w:p>
    <w:p w14:paraId="73F1695A">
      <w:pPr>
        <w:spacing w:line="360" w:lineRule="auto"/>
        <w:rPr>
          <w:rFonts w:hint="eastAsia" w:ascii="仿宋" w:hAnsi="仿宋" w:eastAsia="仿宋"/>
          <w:b/>
          <w:bCs/>
          <w:sz w:val="32"/>
          <w:szCs w:val="32"/>
        </w:rPr>
      </w:pPr>
      <w:r>
        <w:rPr>
          <w:rFonts w:hint="eastAsia" w:ascii="仿宋" w:hAnsi="仿宋" w:eastAsia="仿宋"/>
          <w:b/>
          <w:bCs/>
          <w:sz w:val="32"/>
          <w:szCs w:val="32"/>
        </w:rPr>
        <w:t>附件</w:t>
      </w:r>
      <w:r>
        <w:rPr>
          <w:rFonts w:hint="eastAsia" w:ascii="仿宋" w:hAnsi="仿宋" w:eastAsia="仿宋"/>
          <w:b/>
          <w:bCs/>
          <w:sz w:val="32"/>
          <w:szCs w:val="32"/>
          <w:lang w:val="en-US" w:eastAsia="zh-CN"/>
        </w:rPr>
        <w:t>四</w:t>
      </w:r>
      <w:r>
        <w:rPr>
          <w:rFonts w:hint="eastAsia" w:ascii="仿宋" w:hAnsi="仿宋" w:eastAsia="仿宋"/>
          <w:b/>
          <w:bCs/>
          <w:sz w:val="32"/>
          <w:szCs w:val="32"/>
        </w:rPr>
        <w:t xml:space="preserve">  装箱清单</w:t>
      </w:r>
    </w:p>
    <w:p w14:paraId="2A3556A7">
      <w:pPr>
        <w:keepLines w:val="0"/>
        <w:pageBreakBefore w:val="0"/>
        <w:wordWrap/>
        <w:overflowPunct/>
        <w:topLinePunct w:val="0"/>
        <w:autoSpaceDE w:val="0"/>
        <w:autoSpaceDN w:val="0"/>
        <w:bidi w:val="0"/>
        <w:adjustRightInd w:val="0"/>
        <w:spacing w:line="360" w:lineRule="auto"/>
        <w:ind w:firstLine="560" w:firstLineChars="200"/>
        <w:rPr>
          <w:rFonts w:ascii="Arial"/>
          <w:b/>
          <w:bCs/>
          <w:sz w:val="28"/>
          <w:szCs w:val="28"/>
        </w:rPr>
      </w:pPr>
    </w:p>
    <w:sectPr>
      <w:pgSz w:w="11906" w:h="16839"/>
      <w:pgMar w:top="400" w:right="661" w:bottom="1610" w:left="945" w:header="0" w:footer="124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FangSong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A3C7F">
    <w:pPr>
      <w:spacing w:line="233" w:lineRule="auto"/>
      <w:ind w:left="7628"/>
      <w:rPr>
        <w:rFonts w:ascii="宋体" w:hAnsi="宋体" w:eastAsia="宋体" w:cs="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25B2F">
    <w:pPr>
      <w:spacing w:line="233" w:lineRule="auto"/>
      <w:ind w:left="22"/>
      <w:rPr>
        <w:rFonts w:ascii="宋体" w:hAnsi="宋体" w:eastAsia="宋体" w:cs="宋体"/>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DEA64">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trackRevisions w:val="1"/>
  <w:documentProtection w:edit="readOnly"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GU5YTk2NWU3OTRhNTU0YjZlNWE0ODExMjY4YzM0MTgifQ=="/>
  </w:docVars>
  <w:rsids>
    <w:rsidRoot w:val="00000000"/>
    <w:rsid w:val="01623CF0"/>
    <w:rsid w:val="016609DC"/>
    <w:rsid w:val="018E5EEF"/>
    <w:rsid w:val="019A6CA6"/>
    <w:rsid w:val="02D26034"/>
    <w:rsid w:val="03613C71"/>
    <w:rsid w:val="03E8167A"/>
    <w:rsid w:val="04386B4A"/>
    <w:rsid w:val="048B3E34"/>
    <w:rsid w:val="05080EB6"/>
    <w:rsid w:val="05203638"/>
    <w:rsid w:val="055F40C8"/>
    <w:rsid w:val="05607148"/>
    <w:rsid w:val="072703B4"/>
    <w:rsid w:val="08296773"/>
    <w:rsid w:val="08571015"/>
    <w:rsid w:val="089D5EE4"/>
    <w:rsid w:val="091004C3"/>
    <w:rsid w:val="09D45F5C"/>
    <w:rsid w:val="0A000DDE"/>
    <w:rsid w:val="0A7F080D"/>
    <w:rsid w:val="0C7D3CE3"/>
    <w:rsid w:val="0EAA7C1C"/>
    <w:rsid w:val="0EDC3C6E"/>
    <w:rsid w:val="0F6E7318"/>
    <w:rsid w:val="0FA0652F"/>
    <w:rsid w:val="1080208D"/>
    <w:rsid w:val="10D727AF"/>
    <w:rsid w:val="10F2670D"/>
    <w:rsid w:val="120D4FB9"/>
    <w:rsid w:val="14F7348A"/>
    <w:rsid w:val="1584492D"/>
    <w:rsid w:val="16014ED0"/>
    <w:rsid w:val="16225C7A"/>
    <w:rsid w:val="166E4862"/>
    <w:rsid w:val="169177CF"/>
    <w:rsid w:val="17DD06B8"/>
    <w:rsid w:val="18495740"/>
    <w:rsid w:val="18626A98"/>
    <w:rsid w:val="189833FA"/>
    <w:rsid w:val="18DF679A"/>
    <w:rsid w:val="193B44FA"/>
    <w:rsid w:val="19600F94"/>
    <w:rsid w:val="196B5F19"/>
    <w:rsid w:val="1B406739"/>
    <w:rsid w:val="1B701E42"/>
    <w:rsid w:val="1BB05003"/>
    <w:rsid w:val="1C3E30E2"/>
    <w:rsid w:val="1CC35FBF"/>
    <w:rsid w:val="1DA82F09"/>
    <w:rsid w:val="1E4A684B"/>
    <w:rsid w:val="1FD24341"/>
    <w:rsid w:val="20465285"/>
    <w:rsid w:val="21BE0E1A"/>
    <w:rsid w:val="22003B58"/>
    <w:rsid w:val="235A6A54"/>
    <w:rsid w:val="244A2F6C"/>
    <w:rsid w:val="2472601F"/>
    <w:rsid w:val="24EC0036"/>
    <w:rsid w:val="25B837B0"/>
    <w:rsid w:val="26675339"/>
    <w:rsid w:val="27BD4D3C"/>
    <w:rsid w:val="27D24E61"/>
    <w:rsid w:val="28EB2C53"/>
    <w:rsid w:val="29C70BBB"/>
    <w:rsid w:val="2B3D0B03"/>
    <w:rsid w:val="2B650952"/>
    <w:rsid w:val="2CB63A29"/>
    <w:rsid w:val="2CC2112A"/>
    <w:rsid w:val="2DE502F4"/>
    <w:rsid w:val="2E0F5EA0"/>
    <w:rsid w:val="2E7C7E69"/>
    <w:rsid w:val="2FB616D4"/>
    <w:rsid w:val="2FF90B70"/>
    <w:rsid w:val="308A7E2E"/>
    <w:rsid w:val="313D31D6"/>
    <w:rsid w:val="31992E3D"/>
    <w:rsid w:val="32836AB1"/>
    <w:rsid w:val="331F55C4"/>
    <w:rsid w:val="33D57D4B"/>
    <w:rsid w:val="350206A8"/>
    <w:rsid w:val="36274EBB"/>
    <w:rsid w:val="363C7057"/>
    <w:rsid w:val="363E2A7C"/>
    <w:rsid w:val="36965A7B"/>
    <w:rsid w:val="3703131F"/>
    <w:rsid w:val="391A0D07"/>
    <w:rsid w:val="398B5289"/>
    <w:rsid w:val="39B5145B"/>
    <w:rsid w:val="39D569DC"/>
    <w:rsid w:val="3B225844"/>
    <w:rsid w:val="3C1572C5"/>
    <w:rsid w:val="3D9A4272"/>
    <w:rsid w:val="3E8E4943"/>
    <w:rsid w:val="3EA22CC8"/>
    <w:rsid w:val="3F7A243C"/>
    <w:rsid w:val="40071499"/>
    <w:rsid w:val="401E2DE4"/>
    <w:rsid w:val="40AA2CE2"/>
    <w:rsid w:val="40AB3370"/>
    <w:rsid w:val="424173CD"/>
    <w:rsid w:val="42B871C2"/>
    <w:rsid w:val="42D4795F"/>
    <w:rsid w:val="441D5F07"/>
    <w:rsid w:val="44626E27"/>
    <w:rsid w:val="44B244EA"/>
    <w:rsid w:val="46021398"/>
    <w:rsid w:val="4609748D"/>
    <w:rsid w:val="4642529A"/>
    <w:rsid w:val="47DC5257"/>
    <w:rsid w:val="48C4659A"/>
    <w:rsid w:val="49A03091"/>
    <w:rsid w:val="4A087859"/>
    <w:rsid w:val="4AB17EAD"/>
    <w:rsid w:val="4B0C5FD6"/>
    <w:rsid w:val="4BAD3134"/>
    <w:rsid w:val="4BDD4F66"/>
    <w:rsid w:val="4C183B1D"/>
    <w:rsid w:val="4D742AA0"/>
    <w:rsid w:val="4E2D3F3A"/>
    <w:rsid w:val="4ED04A44"/>
    <w:rsid w:val="4F1C661E"/>
    <w:rsid w:val="4F996D44"/>
    <w:rsid w:val="4FCE5A35"/>
    <w:rsid w:val="51CF7E46"/>
    <w:rsid w:val="52A474FE"/>
    <w:rsid w:val="53CB1CD7"/>
    <w:rsid w:val="55256612"/>
    <w:rsid w:val="554305CE"/>
    <w:rsid w:val="55F434A9"/>
    <w:rsid w:val="568C18E1"/>
    <w:rsid w:val="57067C20"/>
    <w:rsid w:val="57233025"/>
    <w:rsid w:val="57C84714"/>
    <w:rsid w:val="58324E4B"/>
    <w:rsid w:val="58CD24E6"/>
    <w:rsid w:val="58CD322F"/>
    <w:rsid w:val="59B557F7"/>
    <w:rsid w:val="5AE44879"/>
    <w:rsid w:val="5B4A3CCD"/>
    <w:rsid w:val="5B52266E"/>
    <w:rsid w:val="5C087F4D"/>
    <w:rsid w:val="5D932CA5"/>
    <w:rsid w:val="5DB239C4"/>
    <w:rsid w:val="5EF1333F"/>
    <w:rsid w:val="604B6AB6"/>
    <w:rsid w:val="6065020A"/>
    <w:rsid w:val="61106D9A"/>
    <w:rsid w:val="621E75EE"/>
    <w:rsid w:val="62BC7E8A"/>
    <w:rsid w:val="62F62D1A"/>
    <w:rsid w:val="64B72EBA"/>
    <w:rsid w:val="65F619F8"/>
    <w:rsid w:val="664C6783"/>
    <w:rsid w:val="676C5D70"/>
    <w:rsid w:val="679B2764"/>
    <w:rsid w:val="68295FC1"/>
    <w:rsid w:val="68AA0EB0"/>
    <w:rsid w:val="691602F4"/>
    <w:rsid w:val="692F5CAF"/>
    <w:rsid w:val="6B8974A3"/>
    <w:rsid w:val="6C016918"/>
    <w:rsid w:val="6C483FAC"/>
    <w:rsid w:val="6C775BEF"/>
    <w:rsid w:val="6C9A123C"/>
    <w:rsid w:val="6CB95535"/>
    <w:rsid w:val="6DC02F24"/>
    <w:rsid w:val="6E9E0CAB"/>
    <w:rsid w:val="6FCA71E0"/>
    <w:rsid w:val="700245E7"/>
    <w:rsid w:val="700D1C28"/>
    <w:rsid w:val="714125CE"/>
    <w:rsid w:val="7142484E"/>
    <w:rsid w:val="72270B56"/>
    <w:rsid w:val="73C3376E"/>
    <w:rsid w:val="74E76937"/>
    <w:rsid w:val="75162154"/>
    <w:rsid w:val="75173427"/>
    <w:rsid w:val="752B2448"/>
    <w:rsid w:val="75776CC4"/>
    <w:rsid w:val="75872134"/>
    <w:rsid w:val="758E216C"/>
    <w:rsid w:val="76AA23EA"/>
    <w:rsid w:val="76B4114C"/>
    <w:rsid w:val="77E83245"/>
    <w:rsid w:val="77F819D2"/>
    <w:rsid w:val="783955CE"/>
    <w:rsid w:val="78F910A8"/>
    <w:rsid w:val="795D3D1D"/>
    <w:rsid w:val="7C0E12FE"/>
    <w:rsid w:val="7CBE44D5"/>
    <w:rsid w:val="7E4F5FD2"/>
    <w:rsid w:val="7FD2A5DC"/>
    <w:rsid w:val="F1F407C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FangSong_GB2312" w:hAnsi="FangSong_GB2312" w:eastAsia="FangSong_GB2312" w:cs="FangSong_GB2312"/>
      <w:sz w:val="30"/>
      <w:szCs w:val="30"/>
      <w:lang w:val="en-US" w:eastAsia="en-US" w:bidi="ar-SA"/>
    </w:rPr>
  </w:style>
  <w:style w:type="paragraph" w:styleId="4">
    <w:name w:val="Body Text Indent 2"/>
    <w:basedOn w:val="1"/>
    <w:qFormat/>
    <w:uiPriority w:val="0"/>
    <w:pPr>
      <w:spacing w:after="120" w:line="480" w:lineRule="auto"/>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19</Pages>
  <Words>2579</Words>
  <Characters>2766</Characters>
  <TotalTime>4</TotalTime>
  <ScaleCrop>false</ScaleCrop>
  <LinksUpToDate>false</LinksUpToDate>
  <CharactersWithSpaces>2796</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2025-12-18T08:46:00Z</dcterms:created>
  <dc:creator>丽莹</dc:creator>
  <cp:lastModifiedBy>C</cp:lastModifiedBy>
  <dcterms:modified xsi:type="dcterms:W3CDTF">2026-03-23T08:14:30Z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2025-12-25T16:18:09Z</vt:filetime>
  </property>
  <property fmtid="{D5CDD505-2E9C-101B-9397-08002B2CF9AE}" pid="4" name="KSOTemplateDocerSaveRecord">
    <vt:lpwstr>eyJoZGlkIjoiYzk1ZGI3NmM5ODFmN2MyNDg5MjFmYWU2ZDZjNzIyMWYiLCJ1c2VySWQiOiI1MDgwNzA5NzUifQ==</vt:lpwstr>
  </property>
  <property fmtid="{D5CDD505-2E9C-101B-9397-08002B2CF9AE}" pid="5" name="KSOProductBuildVer">
    <vt:lpwstr>2052-12.1.0.25225</vt:lpwstr>
  </property>
  <property fmtid="{D5CDD505-2E9C-101B-9397-08002B2CF9AE}" pid="6" name="ICV">
    <vt:lpwstr>7582A8CE53D7401BB84A0910A3C3D73E_13</vt:lpwstr>
  </property>
</Properties>
</file>