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版本号：N510183202600003820260410001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邛崃市第二人民医院CT球管保用维保服务采购项目(二次)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N5101832026000038</w:t>
      </w:r>
    </w:p>
    <w:p>
      <w:pPr>
        <w:pStyle w:val="null3"/>
        <w:jc w:val="left"/>
        <w:outlineLvl w:val="2"/>
      </w:pPr>
      <w:r>
        <w:rPr>
          <w:rFonts w:ascii="仿宋_GB2312" w:hAnsi="仿宋_GB2312" w:cs="仿宋_GB2312" w:eastAsia="仿宋_GB2312"/>
          <w:sz w:val="28"/>
          <w:b/>
        </w:rPr>
        <w:t>邛崃市第二人民医院（成都市第三人民医院邛崃医院）</w:t>
      </w:r>
    </w:p>
    <w:p>
      <w:pPr>
        <w:pStyle w:val="null3"/>
        <w:jc w:val="center"/>
        <w:outlineLvl w:val="2"/>
      </w:pPr>
      <w:r>
        <w:rPr>
          <w:rFonts w:ascii="仿宋_GB2312" w:hAnsi="仿宋_GB2312" w:cs="仿宋_GB2312" w:eastAsia="仿宋_GB2312"/>
          <w:sz w:val="28"/>
          <w:b/>
        </w:rPr>
        <w:t>四川致成信工程项目管理有限公司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四川致成信工程项目管理有限公司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邛崃市第二人民医院（成都市第三人民医院邛崃医院）</w:t>
      </w:r>
      <w:r>
        <w:rPr>
          <w:rFonts w:ascii="仿宋_GB2312" w:hAnsi="仿宋_GB2312" w:cs="仿宋_GB2312" w:eastAsia="仿宋_GB2312"/>
        </w:rPr>
        <w:t xml:space="preserve"> 委托，拟对 </w:t>
      </w:r>
      <w:r>
        <w:rPr>
          <w:rFonts w:ascii="仿宋_GB2312" w:hAnsi="仿宋_GB2312" w:cs="仿宋_GB2312" w:eastAsia="仿宋_GB2312"/>
        </w:rPr>
        <w:t>邛崃市第二人民医院CT球管保用维保服务采购项目(二次)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N5101832026000038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邛崃市第二人民医院CT球管保用维保服务采购项目(二次)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为保障我院GeOptima青城620CT正常运行，提高设备的使用稳定性、可靠性和使用率，防止设备意外停机造成病人不能及时就诊，现对GEOptima青城620CT设备采购人工技术保加球管保用服务的需求。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采购产品为医疗器械，供应商须符合《医疗器械监督管理条例》要求并提供供应商经营该产品的经营许可/经营备案证明材料；投标产品须符合《医疗器械注册与备案管理办法》要求并提供产品的注册/备案证明材料。（描述：采购产品为医疗器械，供应商须符合《医疗器械监督管理条例》要求并提供供应商经营该产品的经营许可/经营备案证明材料；投标产品须符合《医疗器械注册与备案管理办法》要求并提供产品的注册/备案证明材料。）</w:t>
      </w:r>
    </w:p>
    <w:p>
      <w:pPr>
        <w:pStyle w:val="null3"/>
        <w:jc w:val="left"/>
      </w:pPr>
      <w:r>
        <w:rPr>
          <w:rFonts w:ascii="仿宋_GB2312" w:hAnsi="仿宋_GB2312" w:cs="仿宋_GB2312" w:eastAsia="仿宋_GB2312"/>
        </w:rPr>
        <w:t>2、供应商须具备有效的《辐射安全许可证》（种类和范围需包含使用Ⅲ类射线装置）（描述：供应商须具备有效的《辐射安全许可证》（种类和范围需包含使用Ⅲ类射线装置））</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邛崃市第二人民医院（成都市第三人民医院邛崃医院）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邛崃市羊安街道金泉大道555号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028-88758418</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四川致成信工程项目管理有限公司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四川省成都市武侯区成都市武侯区武科东四路18号联邦财富中心1栋2单元10层1号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028-87851722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代理服务费收费标准：根据成本加利润原则定额收取代理服务费19000元整。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邛崃市第二人民医院（成都市第三人民医院邛崃医院）</w:t>
      </w:r>
      <w:r>
        <w:rPr>
          <w:rFonts w:ascii="仿宋_GB2312" w:hAnsi="仿宋_GB2312" w:cs="仿宋_GB2312" w:eastAsia="仿宋_GB2312"/>
        </w:rPr>
        <w:t xml:space="preserve"> 和 </w:t>
      </w:r>
      <w:r>
        <w:rPr>
          <w:rFonts w:ascii="仿宋_GB2312" w:hAnsi="仿宋_GB2312" w:cs="仿宋_GB2312" w:eastAsia="仿宋_GB2312"/>
        </w:rPr>
        <w:t>四川致成信工程项目管理有限公司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邛崃市第二人民医院（成都市第三人民医院邛崃医院）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四川致成信工程项目管理有限公司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供应商提出验收申请之日起10日内组织验收。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按采购文件要求及供应商应答服务内容验收。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按采购文件要求及供应商应答商务内容验收。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严格按照《财政部关于进一步加强政府采购需求和履约验收管理的指导意见》(财库〔2016〕205号)的要求进行验收。符合国家有关规定、招标文件的服务要求、供应商的投标文件及承诺以及合同条款</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邛崃市第二人民医院（成都市第三人民医院邛崃医院）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四川致成信工程项目管理有限公司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四川致成信工程项目管理有限公司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联系人：范老师</w:t>
      </w:r>
    </w:p>
    <w:p>
      <w:pPr>
        <w:pStyle w:val="null3"/>
        <w:jc w:val="left"/>
      </w:pPr>
      <w:r>
        <w:rPr>
          <w:rFonts w:ascii="仿宋_GB2312" w:hAnsi="仿宋_GB2312" w:cs="仿宋_GB2312" w:eastAsia="仿宋_GB2312"/>
        </w:rPr>
        <w:t>联系电话：028-87851722</w:t>
      </w:r>
    </w:p>
    <w:p>
      <w:pPr>
        <w:pStyle w:val="null3"/>
        <w:jc w:val="left"/>
      </w:pPr>
      <w:r>
        <w:rPr>
          <w:rFonts w:ascii="仿宋_GB2312" w:hAnsi="仿宋_GB2312" w:cs="仿宋_GB2312" w:eastAsia="仿宋_GB2312"/>
        </w:rPr>
        <w:t>地址：成都市青羊区蜀金路1号金沙万瑞中心C座305室</w:t>
      </w:r>
    </w:p>
    <w:p>
      <w:pPr>
        <w:pStyle w:val="null3"/>
        <w:jc w:val="left"/>
      </w:pPr>
      <w:r>
        <w:rPr>
          <w:rFonts w:ascii="仿宋_GB2312" w:hAnsi="仿宋_GB2312" w:cs="仿宋_GB2312" w:eastAsia="仿宋_GB2312"/>
        </w:rPr>
        <w:t>邮编：610000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邛崃市第二人民医院CT球管保用维保服务采购项目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邛崃市第二人民医院CT球管保用维保服务采购项目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标的名称：邛崃市第二人民医院CT球管保用维保服务采购项目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维保设备清单</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412"/>
              <w:gridCol w:w="1137"/>
              <w:gridCol w:w="1691"/>
              <w:gridCol w:w="583"/>
              <w:gridCol w:w="513"/>
              <w:gridCol w:w="1238"/>
            </w:tblGrid>
            <w:tr>
              <w:tc>
                <w:tcPr>
                  <w:tcW w:type="dxa" w:w="4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序号</w:t>
                  </w:r>
                </w:p>
              </w:tc>
              <w:tc>
                <w:tcPr>
                  <w:tcW w:type="dxa" w:w="11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设备名称</w:t>
                  </w:r>
                </w:p>
              </w:tc>
              <w:tc>
                <w:tcPr>
                  <w:tcW w:type="dxa" w:w="16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设备品牌型号</w:t>
                  </w:r>
                </w:p>
              </w:tc>
              <w:tc>
                <w:tcPr>
                  <w:tcW w:type="dxa" w:w="5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color w:val="000000"/>
                    </w:rPr>
                    <w:t>科室</w:t>
                  </w:r>
                </w:p>
              </w:tc>
              <w:tc>
                <w:tcPr>
                  <w:tcW w:type="dxa" w:w="5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数量</w:t>
                  </w:r>
                </w:p>
              </w:tc>
              <w:tc>
                <w:tcPr>
                  <w:tcW w:type="dxa" w:w="12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color w:val="000000"/>
                    </w:rPr>
                    <w:t>行业</w:t>
                  </w:r>
                </w:p>
              </w:tc>
            </w:tr>
            <w:tr>
              <w:tc>
                <w:tcPr>
                  <w:tcW w:type="dxa" w:w="4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1</w:t>
                  </w:r>
                </w:p>
              </w:tc>
              <w:tc>
                <w:tcPr>
                  <w:tcW w:type="dxa" w:w="11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62排CT</w:t>
                  </w: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航卫通用电气医疗系统有限公司</w:t>
                  </w:r>
                  <w:r>
                    <w:rPr>
                      <w:rFonts w:ascii="仿宋_GB2312" w:hAnsi="仿宋_GB2312" w:cs="仿宋_GB2312" w:eastAsia="仿宋_GB2312"/>
                      <w:sz w:val="32"/>
                      <w:color w:val="000000"/>
                    </w:rPr>
                    <w:t>GEOPtimaCT620</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color w:val="000000"/>
                    </w:rPr>
                    <w:t>放射科</w:t>
                  </w:r>
                </w:p>
              </w:tc>
              <w:tc>
                <w:tcPr>
                  <w:tcW w:type="dxa" w:w="5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color w:val="000000"/>
                    </w:rPr>
                    <w:t>1</w:t>
                  </w:r>
                </w:p>
              </w:tc>
              <w:tc>
                <w:tcPr>
                  <w:tcW w:type="dxa" w:w="12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color w:val="000000"/>
                    </w:rPr>
                    <w:t>其他未列明行业</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outlineLvl w:val="2"/>
            </w:pPr>
            <w:r>
              <w:rPr>
                <w:rFonts w:ascii="仿宋_GB2312" w:hAnsi="仿宋_GB2312" w:cs="仿宋_GB2312" w:eastAsia="仿宋_GB2312"/>
                <w:sz w:val="32"/>
                <w:b/>
              </w:rPr>
              <w:t>（</w:t>
            </w:r>
            <w:r>
              <w:rPr>
                <w:rFonts w:ascii="仿宋_GB2312" w:hAnsi="仿宋_GB2312" w:cs="仿宋_GB2312" w:eastAsia="仿宋_GB2312"/>
                <w:sz w:val="32"/>
                <w:b/>
              </w:rPr>
              <w:t>一</w:t>
            </w:r>
            <w:r>
              <w:rPr>
                <w:rFonts w:ascii="仿宋_GB2312" w:hAnsi="仿宋_GB2312" w:cs="仿宋_GB2312" w:eastAsia="仿宋_GB2312"/>
                <w:sz w:val="32"/>
                <w:b/>
              </w:rPr>
              <w:t>）</w:t>
            </w:r>
            <w:r>
              <w:rPr>
                <w:rFonts w:ascii="仿宋_GB2312" w:hAnsi="仿宋_GB2312" w:cs="仿宋_GB2312" w:eastAsia="仿宋_GB2312"/>
                <w:sz w:val="32"/>
                <w:b/>
              </w:rPr>
              <w:t>62排CT维保服务要求</w:t>
            </w:r>
          </w:p>
          <w:p>
            <w:pPr>
              <w:pStyle w:val="null3"/>
              <w:jc w:val="left"/>
              <w:outlineLvl w:val="3"/>
            </w:pPr>
            <w:r>
              <w:rPr>
                <w:rFonts w:ascii="仿宋_GB2312" w:hAnsi="仿宋_GB2312" w:cs="仿宋_GB2312" w:eastAsia="仿宋_GB2312"/>
                <w:sz w:val="32"/>
                <w:b/>
              </w:rPr>
              <w:t>1.</w:t>
            </w:r>
            <w:r>
              <w:rPr>
                <w:rFonts w:ascii="仿宋_GB2312" w:hAnsi="仿宋_GB2312" w:cs="仿宋_GB2312" w:eastAsia="仿宋_GB2312"/>
                <w:sz w:val="32"/>
                <w:b/>
              </w:rPr>
              <w:t>服务内容及要求</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提供本项目</w:t>
            </w:r>
            <w:r>
              <w:rPr>
                <w:rFonts w:ascii="仿宋_GB2312" w:hAnsi="仿宋_GB2312" w:cs="仿宋_GB2312" w:eastAsia="仿宋_GB2312"/>
                <w:sz w:val="32"/>
              </w:rPr>
              <w:t>GE62排CT，型号：OptimaCT620设备的三年</w:t>
            </w:r>
            <w:r>
              <w:rPr>
                <w:rFonts w:ascii="仿宋_GB2312" w:hAnsi="仿宋_GB2312" w:cs="仿宋_GB2312" w:eastAsia="仿宋_GB2312"/>
                <w:sz w:val="32"/>
              </w:rPr>
              <w:t>不限次数</w:t>
            </w:r>
            <w:r>
              <w:rPr>
                <w:rFonts w:ascii="仿宋_GB2312" w:hAnsi="仿宋_GB2312" w:cs="仿宋_GB2312" w:eastAsia="仿宋_GB2312"/>
                <w:sz w:val="32"/>
              </w:rPr>
              <w:t>人工技术保和</w:t>
            </w:r>
            <w:r>
              <w:rPr>
                <w:rFonts w:ascii="仿宋_GB2312" w:hAnsi="仿宋_GB2312" w:cs="仿宋_GB2312" w:eastAsia="仿宋_GB2312"/>
                <w:sz w:val="32"/>
              </w:rPr>
              <w:t>不限次数</w:t>
            </w:r>
            <w:r>
              <w:rPr>
                <w:rFonts w:ascii="仿宋_GB2312" w:hAnsi="仿宋_GB2312" w:cs="仿宋_GB2312" w:eastAsia="仿宋_GB2312"/>
                <w:sz w:val="32"/>
              </w:rPr>
              <w:t>球管</w:t>
            </w:r>
            <w:r>
              <w:rPr>
                <w:rFonts w:ascii="仿宋_GB2312" w:hAnsi="仿宋_GB2312" w:cs="仿宋_GB2312" w:eastAsia="仿宋_GB2312"/>
                <w:sz w:val="32"/>
              </w:rPr>
              <w:t>（</w:t>
            </w:r>
            <w:r>
              <w:rPr>
                <w:rFonts w:ascii="仿宋_GB2312" w:hAnsi="仿宋_GB2312" w:cs="仿宋_GB2312" w:eastAsia="仿宋_GB2312"/>
                <w:sz w:val="32"/>
              </w:rPr>
              <w:t>原厂球管</w:t>
            </w:r>
            <w:r>
              <w:rPr>
                <w:rFonts w:ascii="仿宋_GB2312" w:hAnsi="仿宋_GB2312" w:cs="仿宋_GB2312" w:eastAsia="仿宋_GB2312"/>
                <w:sz w:val="32"/>
              </w:rPr>
              <w:t>）</w:t>
            </w:r>
            <w:r>
              <w:rPr>
                <w:rFonts w:ascii="仿宋_GB2312" w:hAnsi="仿宋_GB2312" w:cs="仿宋_GB2312" w:eastAsia="仿宋_GB2312"/>
                <w:sz w:val="32"/>
              </w:rPr>
              <w:t>保用服务，三年内至少更换一只全新</w:t>
            </w:r>
            <w:r>
              <w:rPr>
                <w:rFonts w:ascii="仿宋_GB2312" w:hAnsi="仿宋_GB2312" w:cs="仿宋_GB2312" w:eastAsia="仿宋_GB2312"/>
                <w:sz w:val="32"/>
              </w:rPr>
              <w:t>原厂</w:t>
            </w:r>
            <w:r>
              <w:rPr>
                <w:rFonts w:ascii="仿宋_GB2312" w:hAnsi="仿宋_GB2312" w:cs="仿宋_GB2312" w:eastAsia="仿宋_GB2312"/>
                <w:sz w:val="32"/>
              </w:rPr>
              <w:t>球管</w:t>
            </w:r>
            <w:r>
              <w:rPr>
                <w:rFonts w:ascii="仿宋_GB2312" w:hAnsi="仿宋_GB2312" w:cs="仿宋_GB2312" w:eastAsia="仿宋_GB2312"/>
                <w:sz w:val="32"/>
              </w:rPr>
              <w:t>（供货时</w:t>
            </w:r>
            <w:r>
              <w:rPr>
                <w:rFonts w:ascii="仿宋_GB2312" w:hAnsi="仿宋_GB2312" w:cs="仿宋_GB2312" w:eastAsia="仿宋_GB2312"/>
                <w:sz w:val="32"/>
              </w:rPr>
              <w:t>提供相关合法来源证明和球管出厂检测报告</w:t>
            </w:r>
            <w:r>
              <w:rPr>
                <w:rFonts w:ascii="仿宋_GB2312" w:hAnsi="仿宋_GB2312" w:cs="仿宋_GB2312" w:eastAsia="仿宋_GB2312"/>
                <w:sz w:val="32"/>
              </w:rPr>
              <w:t>）</w:t>
            </w:r>
            <w:r>
              <w:rPr>
                <w:rFonts w:ascii="仿宋_GB2312" w:hAnsi="仿宋_GB2312" w:cs="仿宋_GB2312" w:eastAsia="仿宋_GB2312"/>
                <w:sz w:val="32"/>
              </w:rPr>
              <w:t>，球管发生故障后需</w:t>
            </w:r>
            <w:r>
              <w:rPr>
                <w:rFonts w:ascii="仿宋_GB2312" w:hAnsi="仿宋_GB2312" w:cs="仿宋_GB2312" w:eastAsia="仿宋_GB2312"/>
                <w:sz w:val="32"/>
              </w:rPr>
              <w:t>48小时内到货并完成安装；</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设备的保养、维护、维修必须遵守和执行该种设备的相应标准及规范要求，也要符合该种设备安全准则及安全专用要求。</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为保障</w:t>
            </w:r>
            <w:r>
              <w:rPr>
                <w:rFonts w:ascii="仿宋_GB2312" w:hAnsi="仿宋_GB2312" w:cs="仿宋_GB2312" w:eastAsia="仿宋_GB2312"/>
                <w:sz w:val="32"/>
              </w:rPr>
              <w:t>CT能正常运行降低故障率，供应商应提供固定维修工程师一名进行服务，</w:t>
            </w:r>
            <w:r>
              <w:rPr>
                <w:rFonts w:ascii="仿宋_GB2312" w:hAnsi="仿宋_GB2312" w:cs="仿宋_GB2312" w:eastAsia="仿宋_GB2312"/>
                <w:sz w:val="32"/>
              </w:rPr>
              <w:t>固定维修工程师需有</w:t>
            </w:r>
            <w:r>
              <w:rPr>
                <w:rFonts w:ascii="仿宋_GB2312" w:hAnsi="仿宋_GB2312" w:cs="仿宋_GB2312" w:eastAsia="仿宋_GB2312"/>
                <w:sz w:val="32"/>
              </w:rPr>
              <w:t>本项目</w:t>
            </w:r>
            <w:r>
              <w:rPr>
                <w:rFonts w:ascii="仿宋_GB2312" w:hAnsi="仿宋_GB2312" w:cs="仿宋_GB2312" w:eastAsia="仿宋_GB2312"/>
                <w:sz w:val="32"/>
              </w:rPr>
              <w:t>CT设备同品牌的工作经历。（提供固定维修工程师姓名、身份证号，CT同品牌工作经历证明）</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出具设备每年的维护保养报告。（签订合同后先做状态评估报告，年底出具状态检测报告）；</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设备远程故障诊断服务（视频、电话等方式），若</w:t>
            </w:r>
            <w:r>
              <w:rPr>
                <w:rFonts w:ascii="仿宋_GB2312" w:hAnsi="仿宋_GB2312" w:cs="仿宋_GB2312" w:eastAsia="仿宋_GB2312"/>
                <w:sz w:val="32"/>
              </w:rPr>
              <w:t>2小时内未解决故障，则24小时内到现场处理，以保证设备高效运转；</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每次维修完毕，公司维修部门专职电话回访，由医院确认维修状态。</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提供每三个月一次的客户维护专员现场拜访，总结服务情况，依据医院需求改进服务；</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8</w:t>
            </w:r>
            <w:r>
              <w:rPr>
                <w:rFonts w:ascii="仿宋_GB2312" w:hAnsi="仿宋_GB2312" w:cs="仿宋_GB2312" w:eastAsia="仿宋_GB2312"/>
                <w:sz w:val="32"/>
              </w:rPr>
              <w:t>）</w:t>
            </w:r>
            <w:r>
              <w:rPr>
                <w:rFonts w:ascii="仿宋_GB2312" w:hAnsi="仿宋_GB2312" w:cs="仿宋_GB2312" w:eastAsia="仿宋_GB2312"/>
                <w:sz w:val="32"/>
              </w:rPr>
              <w:t>设备的安全性检查；</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9</w:t>
            </w:r>
            <w:r>
              <w:rPr>
                <w:rFonts w:ascii="仿宋_GB2312" w:hAnsi="仿宋_GB2312" w:cs="仿宋_GB2312" w:eastAsia="仿宋_GB2312"/>
                <w:sz w:val="32"/>
              </w:rPr>
              <w:t>）</w:t>
            </w:r>
            <w:r>
              <w:rPr>
                <w:rFonts w:ascii="仿宋_GB2312" w:hAnsi="仿宋_GB2312" w:cs="仿宋_GB2312" w:eastAsia="仿宋_GB2312"/>
                <w:sz w:val="32"/>
              </w:rPr>
              <w:t>影像图像质量检查；</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10</w:t>
            </w:r>
            <w:r>
              <w:rPr>
                <w:rFonts w:ascii="仿宋_GB2312" w:hAnsi="仿宋_GB2312" w:cs="仿宋_GB2312" w:eastAsia="仿宋_GB2312"/>
                <w:sz w:val="32"/>
              </w:rPr>
              <w:t>）</w:t>
            </w:r>
            <w:r>
              <w:rPr>
                <w:rFonts w:ascii="仿宋_GB2312" w:hAnsi="仿宋_GB2312" w:cs="仿宋_GB2312" w:eastAsia="仿宋_GB2312"/>
                <w:sz w:val="32"/>
              </w:rPr>
              <w:t>配电箱供给电源检查；</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11</w:t>
            </w:r>
            <w:r>
              <w:rPr>
                <w:rFonts w:ascii="仿宋_GB2312" w:hAnsi="仿宋_GB2312" w:cs="仿宋_GB2312" w:eastAsia="仿宋_GB2312"/>
                <w:sz w:val="32"/>
              </w:rPr>
              <w:t>）</w:t>
            </w:r>
            <w:r>
              <w:rPr>
                <w:rFonts w:ascii="仿宋_GB2312" w:hAnsi="仿宋_GB2312" w:cs="仿宋_GB2312" w:eastAsia="仿宋_GB2312"/>
                <w:sz w:val="32"/>
              </w:rPr>
              <w:t>根据设备运行要求，提供不限次数的现场维修服务并制定维修方案；</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12</w:t>
            </w:r>
            <w:r>
              <w:rPr>
                <w:rFonts w:ascii="仿宋_GB2312" w:hAnsi="仿宋_GB2312" w:cs="仿宋_GB2312" w:eastAsia="仿宋_GB2312"/>
                <w:sz w:val="32"/>
              </w:rPr>
              <w:t>）</w:t>
            </w:r>
            <w:r>
              <w:rPr>
                <w:rFonts w:ascii="仿宋_GB2312" w:hAnsi="仿宋_GB2312" w:cs="仿宋_GB2312" w:eastAsia="仿宋_GB2312"/>
                <w:sz w:val="32"/>
              </w:rPr>
              <w:t>提供定期预防性保养维护：每年提供</w:t>
            </w:r>
            <w:r>
              <w:rPr>
                <w:rFonts w:ascii="仿宋_GB2312" w:hAnsi="仿宋_GB2312" w:cs="仿宋_GB2312" w:eastAsia="仿宋_GB2312"/>
                <w:sz w:val="32"/>
              </w:rPr>
              <w:t>≥4次的预防性维护保养并提供详细记录报告。计划性定期的维修服务检测包括设备清洁、性能测试及校准、必要的机械或电气的检查，并定期对设备的数据进行备份，确保系统能按照生产厂家的产品规格运行的标准来维修。；</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13</w:t>
            </w:r>
            <w:r>
              <w:rPr>
                <w:rFonts w:ascii="仿宋_GB2312" w:hAnsi="仿宋_GB2312" w:cs="仿宋_GB2312" w:eastAsia="仿宋_GB2312"/>
                <w:sz w:val="32"/>
              </w:rPr>
              <w:t>）</w:t>
            </w:r>
            <w:r>
              <w:rPr>
                <w:rFonts w:ascii="仿宋_GB2312" w:hAnsi="仿宋_GB2312" w:cs="仿宋_GB2312" w:eastAsia="仿宋_GB2312"/>
                <w:sz w:val="32"/>
              </w:rPr>
              <w:t>供应商需提供报修电话并</w:t>
            </w:r>
            <w:r>
              <w:rPr>
                <w:rFonts w:ascii="仿宋_GB2312" w:hAnsi="仿宋_GB2312" w:cs="仿宋_GB2312" w:eastAsia="仿宋_GB2312"/>
                <w:sz w:val="32"/>
              </w:rPr>
              <w:t>24小时×365天热线支持，在采购方拨打报修电话后服务机构须1小时内响应(不可抗力因素除外),并给予在线技术支持、答疑和指导采购方排除简单的故障；</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14</w:t>
            </w:r>
            <w:r>
              <w:rPr>
                <w:rFonts w:ascii="仿宋_GB2312" w:hAnsi="仿宋_GB2312" w:cs="仿宋_GB2312" w:eastAsia="仿宋_GB2312"/>
                <w:sz w:val="32"/>
              </w:rPr>
              <w:t>）</w:t>
            </w:r>
            <w:r>
              <w:rPr>
                <w:rFonts w:ascii="仿宋_GB2312" w:hAnsi="仿宋_GB2312" w:cs="仿宋_GB2312" w:eastAsia="仿宋_GB2312"/>
                <w:sz w:val="32"/>
              </w:rPr>
              <w:t>在确定需要现场维修情况下，须</w:t>
            </w:r>
            <w:r>
              <w:rPr>
                <w:rFonts w:ascii="仿宋_GB2312" w:hAnsi="仿宋_GB2312" w:cs="仿宋_GB2312" w:eastAsia="仿宋_GB2312"/>
                <w:sz w:val="32"/>
              </w:rPr>
              <w:t>24小时内(含周末及法定节假日)派遣工程师到达现场进行维修，最大不超过36小时到达现场。</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15</w:t>
            </w:r>
            <w:r>
              <w:rPr>
                <w:rFonts w:ascii="仿宋_GB2312" w:hAnsi="仿宋_GB2312" w:cs="仿宋_GB2312" w:eastAsia="仿宋_GB2312"/>
                <w:sz w:val="32"/>
              </w:rPr>
              <w:t>）</w:t>
            </w:r>
            <w:r>
              <w:rPr>
                <w:rFonts w:ascii="仿宋_GB2312" w:hAnsi="仿宋_GB2312" w:cs="仿宋_GB2312" w:eastAsia="仿宋_GB2312"/>
                <w:sz w:val="32"/>
              </w:rPr>
              <w:t>提供远程技术支持解决软件故障；</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16</w:t>
            </w:r>
            <w:r>
              <w:rPr>
                <w:rFonts w:ascii="仿宋_GB2312" w:hAnsi="仿宋_GB2312" w:cs="仿宋_GB2312" w:eastAsia="仿宋_GB2312"/>
                <w:sz w:val="32"/>
              </w:rPr>
              <w:t>）</w:t>
            </w:r>
            <w:r>
              <w:rPr>
                <w:rFonts w:ascii="仿宋_GB2312" w:hAnsi="仿宋_GB2312" w:cs="仿宋_GB2312" w:eastAsia="仿宋_GB2312"/>
                <w:sz w:val="32"/>
              </w:rPr>
              <w:t>保障服务设备每年开机率不低于</w:t>
            </w:r>
            <w:r>
              <w:rPr>
                <w:rFonts w:ascii="仿宋_GB2312" w:hAnsi="仿宋_GB2312" w:cs="仿宋_GB2312" w:eastAsia="仿宋_GB2312"/>
                <w:sz w:val="32"/>
              </w:rPr>
              <w:t>95%（按365天计算，非供应商原因除外），每低于1%，维保服务顺延3天；</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17</w:t>
            </w:r>
            <w:r>
              <w:rPr>
                <w:rFonts w:ascii="仿宋_GB2312" w:hAnsi="仿宋_GB2312" w:cs="仿宋_GB2312" w:eastAsia="仿宋_GB2312"/>
                <w:sz w:val="32"/>
              </w:rPr>
              <w:t>）</w:t>
            </w:r>
            <w:r>
              <w:rPr>
                <w:rFonts w:ascii="仿宋_GB2312" w:hAnsi="仿宋_GB2312" w:cs="仿宋_GB2312" w:eastAsia="仿宋_GB2312"/>
                <w:sz w:val="32"/>
              </w:rPr>
              <w:t>供应商提供维修记录单，提供维保设备服务报告，协助医院完善医疗设备管理制度，协助医院完善医疗设备质量管理体系；</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18</w:t>
            </w:r>
            <w:r>
              <w:rPr>
                <w:rFonts w:ascii="仿宋_GB2312" w:hAnsi="仿宋_GB2312" w:cs="仿宋_GB2312" w:eastAsia="仿宋_GB2312"/>
                <w:sz w:val="32"/>
              </w:rPr>
              <w:t>）</w:t>
            </w:r>
            <w:r>
              <w:rPr>
                <w:rFonts w:ascii="仿宋_GB2312" w:hAnsi="仿宋_GB2312" w:cs="仿宋_GB2312" w:eastAsia="仿宋_GB2312"/>
                <w:sz w:val="32"/>
              </w:rPr>
              <w:t>按照医疗设备相关规定进行巡检服务，服务工程师对所服务的医疗设备资产的运行环境（防静电、防尘、防潮、防蚀、防霉等）进行巡检，对设备的运行情况、磨损程度进行检查校验，及时发现潜在问题，提出改进方案，有针对性的做好维修前的各项准备工作，以提高维护质量。</w:t>
            </w:r>
          </w:p>
          <w:p>
            <w:pPr>
              <w:pStyle w:val="null3"/>
              <w:jc w:val="left"/>
              <w:outlineLvl w:val="3"/>
            </w:pPr>
            <w:r>
              <w:rPr>
                <w:rFonts w:ascii="仿宋_GB2312" w:hAnsi="仿宋_GB2312" w:cs="仿宋_GB2312" w:eastAsia="仿宋_GB2312"/>
                <w:sz w:val="32"/>
                <w:b/>
              </w:rPr>
              <w:t>2.安全</w:t>
            </w:r>
            <w:r>
              <w:rPr>
                <w:rFonts w:ascii="仿宋_GB2312" w:hAnsi="仿宋_GB2312" w:cs="仿宋_GB2312" w:eastAsia="仿宋_GB2312"/>
                <w:sz w:val="32"/>
                <w:b/>
              </w:rPr>
              <w:t>要求</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安全检查：每年不少于2次对设备的安全性做出定期的检查，按照国家/行业标准或相关安全规范标准检查；包括机械的安全性检查、电气安全检查，记录检查结果。制定设备性能检查计划：含图象质量（效果）检查，评判参数结果，调整/校准至出厂标准，记录系统质量报告。</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2）维保人员在服务期间内违法违纪或重大过失给采购人造成严重影响或损失的，供应商应当承担相应责任。</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3）在维保期内，所发生的一切安全问题概由供应商承担，采购人不承担任何安全责任。</w:t>
            </w:r>
          </w:p>
          <w:p>
            <w:pPr>
              <w:pStyle w:val="null3"/>
              <w:jc w:val="left"/>
              <w:outlineLvl w:val="3"/>
            </w:pPr>
            <w:r>
              <w:rPr>
                <w:rFonts w:ascii="仿宋_GB2312" w:hAnsi="仿宋_GB2312" w:cs="仿宋_GB2312" w:eastAsia="仿宋_GB2312"/>
                <w:sz w:val="32"/>
                <w:b/>
              </w:rPr>
              <w:t>3.其他要求</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1）供应商在经营期间无重大设备故障事故发生。</w:t>
            </w:r>
            <w:r>
              <w:rPr>
                <w:rFonts w:ascii="仿宋_GB2312" w:hAnsi="仿宋_GB2312" w:cs="仿宋_GB2312" w:eastAsia="仿宋_GB2312"/>
                <w:sz w:val="32"/>
                <w:b/>
              </w:rPr>
              <w:t>（提供承诺函，格式自拟）</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2）培训：维保期内安排专业人员对设备的临床应用和设备维护方面进行相关培训。</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3）针对本项目的所有服务均提供服务报告，报告内容包括但不限于：服务时间、内容、科室并经设备科人员签字确认。</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4）签订合同后3日内，对维保对象进行一次全面的保养及对现有故障进行维修处理。</w:t>
            </w:r>
          </w:p>
          <w:p>
            <w:pPr>
              <w:pStyle w:val="null3"/>
              <w:ind w:firstLine="640"/>
              <w:jc w:val="left"/>
            </w:pPr>
            <w:r>
              <w:rPr>
                <w:rFonts w:ascii="仿宋_GB2312" w:hAnsi="仿宋_GB2312" w:cs="仿宋_GB2312" w:eastAsia="仿宋_GB2312"/>
                <w:sz w:val="32"/>
              </w:rPr>
              <w:t>（5）签订采购合同前，成交供应商需根据要求向采购人提供本项目团队人员名单及相关专业能力证明材料进行核实。核实无误后签订采购合同。</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）在维保期间，不得随意更换相关人员，若供应商提供的人员因个人原因不能胜任工作岗位，需要更换或补充人员的，供应商应提前</w:t>
            </w:r>
            <w:r>
              <w:rPr>
                <w:rFonts w:ascii="仿宋_GB2312" w:hAnsi="仿宋_GB2312" w:cs="仿宋_GB2312" w:eastAsia="仿宋_GB2312"/>
                <w:sz w:val="32"/>
              </w:rPr>
              <w:t>30日向采购人提出更换或补充人员申请且需保证所更换或补充人员满足采购文件对于人员的要求。在得到采购人书面同意后，供应商方可进行更换或补充。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643"/>
              <w:jc w:val="left"/>
            </w:pPr>
            <w:r>
              <w:rPr>
                <w:rFonts w:ascii="仿宋_GB2312" w:hAnsi="仿宋_GB2312" w:cs="仿宋_GB2312" w:eastAsia="仿宋_GB2312"/>
                <w:sz w:val="32"/>
                <w:b/>
              </w:rPr>
              <w:t>1、服务期限：</w:t>
            </w:r>
            <w:r>
              <w:rPr>
                <w:rFonts w:ascii="仿宋_GB2312" w:hAnsi="仿宋_GB2312" w:cs="仿宋_GB2312" w:eastAsia="仿宋_GB2312"/>
                <w:sz w:val="32"/>
              </w:rPr>
              <w:t>自合同签订之日起三年，若年度考核不合格，采购人有权终止合同。</w:t>
            </w:r>
          </w:p>
          <w:p>
            <w:pPr>
              <w:pStyle w:val="null3"/>
              <w:ind w:firstLine="643"/>
              <w:jc w:val="left"/>
            </w:pPr>
            <w:r>
              <w:rPr>
                <w:rFonts w:ascii="仿宋_GB2312" w:hAnsi="仿宋_GB2312" w:cs="仿宋_GB2312" w:eastAsia="仿宋_GB2312"/>
                <w:sz w:val="32"/>
                <w:b/>
              </w:rPr>
              <w:t>2、服务地点：</w:t>
            </w:r>
            <w:r>
              <w:rPr>
                <w:rFonts w:ascii="仿宋_GB2312" w:hAnsi="仿宋_GB2312" w:cs="仿宋_GB2312" w:eastAsia="仿宋_GB2312"/>
                <w:sz w:val="32"/>
              </w:rPr>
              <w:t>邛崃市第二人民医院。</w:t>
            </w:r>
          </w:p>
          <w:p>
            <w:pPr>
              <w:pStyle w:val="null3"/>
              <w:ind w:firstLine="643"/>
              <w:jc w:val="left"/>
            </w:pPr>
            <w:r>
              <w:rPr>
                <w:rFonts w:ascii="仿宋_GB2312" w:hAnsi="仿宋_GB2312" w:cs="仿宋_GB2312" w:eastAsia="仿宋_GB2312"/>
                <w:sz w:val="32"/>
                <w:b/>
              </w:rPr>
              <w:t>3、付款方式：</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1）合同签订生效后</w:t>
            </w:r>
            <w:r>
              <w:rPr>
                <w:rFonts w:ascii="仿宋_GB2312" w:hAnsi="仿宋_GB2312" w:cs="仿宋_GB2312" w:eastAsia="仿宋_GB2312"/>
                <w:sz w:val="32"/>
              </w:rPr>
              <w:t>，</w:t>
            </w:r>
            <w:r>
              <w:rPr>
                <w:rFonts w:ascii="仿宋_GB2312" w:hAnsi="仿宋_GB2312" w:cs="仿宋_GB2312" w:eastAsia="仿宋_GB2312"/>
                <w:sz w:val="32"/>
              </w:rPr>
              <w:t>收到有效票据起</w:t>
            </w:r>
            <w:r>
              <w:rPr>
                <w:rFonts w:ascii="仿宋_GB2312" w:hAnsi="仿宋_GB2312" w:cs="仿宋_GB2312" w:eastAsia="仿宋_GB2312"/>
                <w:sz w:val="32"/>
              </w:rPr>
              <w:t>30</w:t>
            </w:r>
            <w:r>
              <w:rPr>
                <w:rFonts w:ascii="仿宋_GB2312" w:hAnsi="仿宋_GB2312" w:cs="仿宋_GB2312" w:eastAsia="仿宋_GB2312"/>
                <w:sz w:val="32"/>
              </w:rPr>
              <w:t>个工作日内</w:t>
            </w:r>
            <w:r>
              <w:rPr>
                <w:rFonts w:ascii="仿宋_GB2312" w:hAnsi="仿宋_GB2312" w:cs="仿宋_GB2312" w:eastAsia="仿宋_GB2312"/>
                <w:sz w:val="32"/>
              </w:rPr>
              <w:t>预付</w:t>
            </w:r>
            <w:r>
              <w:rPr>
                <w:rFonts w:ascii="仿宋_GB2312" w:hAnsi="仿宋_GB2312" w:cs="仿宋_GB2312" w:eastAsia="仿宋_GB2312"/>
                <w:sz w:val="32"/>
              </w:rPr>
              <w:t>第一年全部费用的</w:t>
            </w:r>
            <w:r>
              <w:rPr>
                <w:rFonts w:ascii="仿宋_GB2312" w:hAnsi="仿宋_GB2312" w:cs="仿宋_GB2312" w:eastAsia="仿宋_GB2312"/>
                <w:sz w:val="32"/>
              </w:rPr>
              <w:t>50</w:t>
            </w:r>
            <w:r>
              <w:rPr>
                <w:rFonts w:ascii="仿宋_GB2312" w:hAnsi="仿宋_GB2312" w:cs="仿宋_GB2312" w:eastAsia="仿宋_GB2312"/>
                <w:sz w:val="32"/>
              </w:rPr>
              <w:t>%，</w:t>
            </w:r>
            <w:r>
              <w:rPr>
                <w:rFonts w:ascii="仿宋_GB2312" w:hAnsi="仿宋_GB2312" w:cs="仿宋_GB2312" w:eastAsia="仿宋_GB2312"/>
                <w:sz w:val="32"/>
              </w:rPr>
              <w:t>第一年维保服务完成</w:t>
            </w:r>
            <w:r>
              <w:rPr>
                <w:rFonts w:ascii="仿宋_GB2312" w:hAnsi="仿宋_GB2312" w:cs="仿宋_GB2312" w:eastAsia="仿宋_GB2312"/>
                <w:sz w:val="32"/>
              </w:rPr>
              <w:t>经考核合格</w:t>
            </w:r>
            <w:r>
              <w:rPr>
                <w:rFonts w:ascii="仿宋_GB2312" w:hAnsi="仿宋_GB2312" w:cs="仿宋_GB2312" w:eastAsia="仿宋_GB2312"/>
                <w:sz w:val="32"/>
              </w:rPr>
              <w:t>后且收到有效票据起</w:t>
            </w:r>
            <w:r>
              <w:rPr>
                <w:rFonts w:ascii="仿宋_GB2312" w:hAnsi="仿宋_GB2312" w:cs="仿宋_GB2312" w:eastAsia="仿宋_GB2312"/>
                <w:sz w:val="32"/>
              </w:rPr>
              <w:t>30</w:t>
            </w:r>
            <w:r>
              <w:rPr>
                <w:rFonts w:ascii="仿宋_GB2312" w:hAnsi="仿宋_GB2312" w:cs="仿宋_GB2312" w:eastAsia="仿宋_GB2312"/>
                <w:sz w:val="32"/>
              </w:rPr>
              <w:t>个工作日内支付第一年全部费用</w:t>
            </w:r>
            <w:r>
              <w:rPr>
                <w:rFonts w:ascii="仿宋_GB2312" w:hAnsi="仿宋_GB2312" w:cs="仿宋_GB2312" w:eastAsia="仿宋_GB2312"/>
                <w:sz w:val="32"/>
              </w:rPr>
              <w:t>剩余的</w:t>
            </w:r>
            <w:r>
              <w:rPr>
                <w:rFonts w:ascii="仿宋_GB2312" w:hAnsi="仿宋_GB2312" w:cs="仿宋_GB2312" w:eastAsia="仿宋_GB2312"/>
                <w:sz w:val="32"/>
              </w:rPr>
              <w:t>50</w:t>
            </w:r>
            <w:r>
              <w:rPr>
                <w:rFonts w:ascii="仿宋_GB2312" w:hAnsi="仿宋_GB2312" w:cs="仿宋_GB2312" w:eastAsia="仿宋_GB2312"/>
                <w:sz w:val="32"/>
              </w:rPr>
              <w:t>%，第二年服务期满，经考核合格后</w:t>
            </w:r>
            <w:r>
              <w:rPr>
                <w:rFonts w:ascii="仿宋_GB2312" w:hAnsi="仿宋_GB2312" w:cs="仿宋_GB2312" w:eastAsia="仿宋_GB2312"/>
                <w:sz w:val="32"/>
              </w:rPr>
              <w:t>且收到有效票据起</w:t>
            </w:r>
            <w:r>
              <w:rPr>
                <w:rFonts w:ascii="仿宋_GB2312" w:hAnsi="仿宋_GB2312" w:cs="仿宋_GB2312" w:eastAsia="仿宋_GB2312"/>
                <w:sz w:val="32"/>
              </w:rPr>
              <w:t>30</w:t>
            </w:r>
            <w:r>
              <w:rPr>
                <w:rFonts w:ascii="仿宋_GB2312" w:hAnsi="仿宋_GB2312" w:cs="仿宋_GB2312" w:eastAsia="仿宋_GB2312"/>
                <w:sz w:val="32"/>
              </w:rPr>
              <w:t>个工作日内支付第</w:t>
            </w:r>
            <w:r>
              <w:rPr>
                <w:rFonts w:ascii="仿宋_GB2312" w:hAnsi="仿宋_GB2312" w:cs="仿宋_GB2312" w:eastAsia="仿宋_GB2312"/>
                <w:sz w:val="32"/>
              </w:rPr>
              <w:t>二</w:t>
            </w:r>
            <w:r>
              <w:rPr>
                <w:rFonts w:ascii="仿宋_GB2312" w:hAnsi="仿宋_GB2312" w:cs="仿宋_GB2312" w:eastAsia="仿宋_GB2312"/>
                <w:sz w:val="32"/>
              </w:rPr>
              <w:t>年全部费用</w:t>
            </w:r>
            <w:r>
              <w:rPr>
                <w:rFonts w:ascii="仿宋_GB2312" w:hAnsi="仿宋_GB2312" w:cs="仿宋_GB2312" w:eastAsia="仿宋_GB2312"/>
                <w:sz w:val="32"/>
              </w:rPr>
              <w:t>的</w:t>
            </w:r>
            <w:r>
              <w:rPr>
                <w:rFonts w:ascii="仿宋_GB2312" w:hAnsi="仿宋_GB2312" w:cs="仿宋_GB2312" w:eastAsia="仿宋_GB2312"/>
                <w:sz w:val="32"/>
              </w:rPr>
              <w:t>100</w:t>
            </w:r>
            <w:r>
              <w:rPr>
                <w:rFonts w:ascii="仿宋_GB2312" w:hAnsi="仿宋_GB2312" w:cs="仿宋_GB2312" w:eastAsia="仿宋_GB2312"/>
                <w:sz w:val="32"/>
              </w:rPr>
              <w:t>%，第</w:t>
            </w:r>
            <w:r>
              <w:rPr>
                <w:rFonts w:ascii="仿宋_GB2312" w:hAnsi="仿宋_GB2312" w:cs="仿宋_GB2312" w:eastAsia="仿宋_GB2312"/>
                <w:sz w:val="32"/>
              </w:rPr>
              <w:t>三</w:t>
            </w:r>
            <w:r>
              <w:rPr>
                <w:rFonts w:ascii="仿宋_GB2312" w:hAnsi="仿宋_GB2312" w:cs="仿宋_GB2312" w:eastAsia="仿宋_GB2312"/>
                <w:sz w:val="32"/>
              </w:rPr>
              <w:t>年服务期满，经考核合格后</w:t>
            </w:r>
            <w:r>
              <w:rPr>
                <w:rFonts w:ascii="仿宋_GB2312" w:hAnsi="仿宋_GB2312" w:cs="仿宋_GB2312" w:eastAsia="仿宋_GB2312"/>
                <w:sz w:val="32"/>
              </w:rPr>
              <w:t>且收到有效票据起</w:t>
            </w:r>
            <w:r>
              <w:rPr>
                <w:rFonts w:ascii="仿宋_GB2312" w:hAnsi="仿宋_GB2312" w:cs="仿宋_GB2312" w:eastAsia="仿宋_GB2312"/>
                <w:sz w:val="32"/>
              </w:rPr>
              <w:t>30</w:t>
            </w:r>
            <w:r>
              <w:rPr>
                <w:rFonts w:ascii="仿宋_GB2312" w:hAnsi="仿宋_GB2312" w:cs="仿宋_GB2312" w:eastAsia="仿宋_GB2312"/>
                <w:sz w:val="32"/>
              </w:rPr>
              <w:t>个工作日内支付第</w:t>
            </w:r>
            <w:r>
              <w:rPr>
                <w:rFonts w:ascii="仿宋_GB2312" w:hAnsi="仿宋_GB2312" w:cs="仿宋_GB2312" w:eastAsia="仿宋_GB2312"/>
                <w:sz w:val="32"/>
              </w:rPr>
              <w:t>三</w:t>
            </w:r>
            <w:r>
              <w:rPr>
                <w:rFonts w:ascii="仿宋_GB2312" w:hAnsi="仿宋_GB2312" w:cs="仿宋_GB2312" w:eastAsia="仿宋_GB2312"/>
                <w:sz w:val="32"/>
              </w:rPr>
              <w:t>年全部费用</w:t>
            </w:r>
            <w:r>
              <w:rPr>
                <w:rFonts w:ascii="仿宋_GB2312" w:hAnsi="仿宋_GB2312" w:cs="仿宋_GB2312" w:eastAsia="仿宋_GB2312"/>
                <w:sz w:val="32"/>
              </w:rPr>
              <w:t>的</w:t>
            </w:r>
            <w:r>
              <w:rPr>
                <w:rFonts w:ascii="仿宋_GB2312" w:hAnsi="仿宋_GB2312" w:cs="仿宋_GB2312" w:eastAsia="仿宋_GB2312"/>
                <w:sz w:val="32"/>
              </w:rPr>
              <w:t>100</w:t>
            </w:r>
            <w:r>
              <w:rPr>
                <w:rFonts w:ascii="仿宋_GB2312" w:hAnsi="仿宋_GB2312" w:cs="仿宋_GB2312" w:eastAsia="仿宋_GB2312"/>
                <w:sz w:val="32"/>
              </w:rPr>
              <w:t>%</w:t>
            </w:r>
            <w:r>
              <w:rPr>
                <w:rFonts w:ascii="仿宋_GB2312" w:hAnsi="仿宋_GB2312" w:cs="仿宋_GB2312" w:eastAsia="仿宋_GB2312"/>
                <w:sz w:val="32"/>
              </w:rPr>
              <w:t>。</w:t>
            </w:r>
          </w:p>
          <w:p>
            <w:pPr>
              <w:pStyle w:val="null3"/>
              <w:ind w:firstLine="480"/>
              <w:jc w:val="left"/>
            </w:pPr>
            <w:r>
              <w:rPr>
                <w:rFonts w:ascii="仿宋_GB2312" w:hAnsi="仿宋_GB2312" w:cs="仿宋_GB2312" w:eastAsia="仿宋_GB2312"/>
                <w:sz w:val="32"/>
              </w:rPr>
              <w:t>（</w:t>
            </w:r>
            <w:r>
              <w:rPr>
                <w:rFonts w:ascii="仿宋_GB2312" w:hAnsi="仿宋_GB2312" w:cs="仿宋_GB2312" w:eastAsia="仿宋_GB2312"/>
                <w:sz w:val="32"/>
              </w:rPr>
              <w:t>2）成交供应商须在采购人每次付款前，向采购人出具等于当次付款金额的合法有效完整的增值税发票及凭证资料进行支付结算，否则采购人有权迟延支付，且不承担由此所产生的任何违约责任。</w:t>
            </w:r>
          </w:p>
          <w:p>
            <w:pPr>
              <w:pStyle w:val="null3"/>
              <w:ind w:firstLine="643"/>
              <w:jc w:val="left"/>
            </w:pPr>
            <w:r>
              <w:rPr>
                <w:rFonts w:ascii="仿宋_GB2312" w:hAnsi="仿宋_GB2312" w:cs="仿宋_GB2312" w:eastAsia="仿宋_GB2312"/>
                <w:sz w:val="32"/>
                <w:b/>
              </w:rPr>
              <w:t>4、报价要求：</w:t>
            </w:r>
          </w:p>
          <w:p>
            <w:pPr>
              <w:pStyle w:val="null3"/>
              <w:ind w:firstLine="640"/>
              <w:jc w:val="left"/>
            </w:pPr>
            <w:r>
              <w:rPr>
                <w:rFonts w:ascii="仿宋_GB2312" w:hAnsi="仿宋_GB2312" w:cs="仿宋_GB2312" w:eastAsia="仿宋_GB2312"/>
                <w:sz w:val="32"/>
              </w:rPr>
              <w:t>报价应为人民币含税全包价，包括服务内容中所有的费用：人工费、</w:t>
            </w:r>
            <w:r>
              <w:rPr>
                <w:rFonts w:ascii="仿宋_GB2312" w:hAnsi="仿宋_GB2312" w:cs="仿宋_GB2312" w:eastAsia="仿宋_GB2312"/>
                <w:sz w:val="32"/>
              </w:rPr>
              <w:t>球管</w:t>
            </w:r>
            <w:r>
              <w:rPr>
                <w:rFonts w:ascii="仿宋_GB2312" w:hAnsi="仿宋_GB2312" w:cs="仿宋_GB2312" w:eastAsia="仿宋_GB2312"/>
                <w:sz w:val="32"/>
              </w:rPr>
              <w:t>费、交通费、食宿费、税费等一切费用，采购合同由中标人与采购人双方签订。</w:t>
            </w:r>
          </w:p>
          <w:p>
            <w:pPr>
              <w:pStyle w:val="null3"/>
              <w:jc w:val="left"/>
              <w:outlineLvl w:val="1"/>
            </w:pPr>
            <w:r>
              <w:rPr>
                <w:rFonts w:ascii="仿宋_GB2312" w:hAnsi="仿宋_GB2312" w:cs="仿宋_GB2312" w:eastAsia="仿宋_GB2312"/>
                <w:sz w:val="32"/>
                <w:b/>
              </w:rPr>
              <w:t>5、</w:t>
            </w:r>
            <w:r>
              <w:rPr>
                <w:rFonts w:ascii="仿宋_GB2312" w:hAnsi="仿宋_GB2312" w:cs="仿宋_GB2312" w:eastAsia="仿宋_GB2312"/>
                <w:sz w:val="32"/>
                <w:b/>
              </w:rPr>
              <w:t>履约验收标准</w:t>
            </w:r>
          </w:p>
          <w:p>
            <w:pPr>
              <w:pStyle w:val="null3"/>
              <w:jc w:val="left"/>
              <w:outlineLvl w:val="3"/>
            </w:pPr>
            <w:r>
              <w:rPr>
                <w:rFonts w:ascii="仿宋_GB2312" w:hAnsi="仿宋_GB2312" w:cs="仿宋_GB2312" w:eastAsia="仿宋_GB2312"/>
                <w:sz w:val="32"/>
                <w:b/>
              </w:rPr>
              <w:t>5.1、验收交付标准和方法</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按国家有关规定以及招标文件的服务要求、供应商的投标文件及承诺与本合同约定标准进行验收；采购人与供应商双方如对服务要求的约定标准有相互抵触或异议的事项，由采购人在招标文件及投标文件中按服务要求比较优胜的原则确定该项的约定标准进行验收；</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其他未尽事宜应严格按照《财政部关于进一步加强政府采购需求和履约验收管理的指导意见》(财库〔2016〕205号)的要求进行验收。符合国家有关规定、招标文件的服务要求、供应商的投标文件及承诺以及合同条款。</w:t>
            </w:r>
          </w:p>
          <w:p>
            <w:pPr>
              <w:pStyle w:val="null3"/>
              <w:jc w:val="left"/>
              <w:outlineLvl w:val="3"/>
            </w:pPr>
            <w:r>
              <w:rPr>
                <w:rFonts w:ascii="仿宋_GB2312" w:hAnsi="仿宋_GB2312" w:cs="仿宋_GB2312" w:eastAsia="仿宋_GB2312"/>
                <w:sz w:val="32"/>
                <w:b/>
              </w:rPr>
              <w:t>5.2、验收方案</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1）验收组织方式：自行验收。</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2）是否邀请本项目的其他供应商：否。</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3）是否邀请专家：否。</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4）是否邀请第三方检测机构：否。</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5）履约验收程序：一次性验收。</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6）履约验收时间：供应商提出验收申请之日起10日内组织验收。</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7）技术履约验收内容：按招标文件要求及供应商应答服务内容验收。</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8）商务履约验收内容：按招标文件要求及供应商应答商务内容验收。</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9）履约验收标准：严格按照《财政部关于进一步加强政府采购需求和履约验收管理的指导意见》(财库〔2016〕205号)的要求进行验收。符合国家有关规定、招标文件的服务要求、供应商的投标文件及承诺以及合同条款。</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10）具体验收安装如下标准进行。</w:t>
            </w:r>
          </w:p>
          <w:p>
            <w:pPr>
              <w:pStyle w:val="null3"/>
              <w:ind w:firstLine="643"/>
              <w:jc w:val="left"/>
            </w:pPr>
            <w:r>
              <w:rPr>
                <w:rFonts w:ascii="仿宋_GB2312" w:hAnsi="仿宋_GB2312" w:cs="仿宋_GB2312" w:eastAsia="仿宋_GB2312"/>
                <w:sz w:val="32"/>
                <w:b/>
              </w:rPr>
              <w:t>5.3、考核方案</w:t>
            </w:r>
          </w:p>
          <w:p>
            <w:pPr>
              <w:pStyle w:val="null3"/>
              <w:numPr>
                <w:ilvl w:val="0"/>
                <w:numId w:val="1"/>
              </w:numPr>
              <w:jc w:val="left"/>
            </w:pPr>
            <w:r>
              <w:rPr>
                <w:rFonts w:ascii="仿宋_GB2312" w:hAnsi="仿宋_GB2312" w:cs="仿宋_GB2312" w:eastAsia="仿宋_GB2312"/>
                <w:sz w:val="32"/>
              </w:rPr>
              <w:t>采购人每半年对成交供应商的服务范围、响应时间、维保质量、服务态度等按照考核方案进行综合评议，对不符合标准和要求的提出警告、限期整改、处罚、取消维保资格等措施。</w:t>
            </w:r>
          </w:p>
          <w:p>
            <w:pPr>
              <w:pStyle w:val="null3"/>
              <w:numPr>
                <w:ilvl w:val="0"/>
                <w:numId w:val="1"/>
              </w:numPr>
              <w:jc w:val="left"/>
            </w:pPr>
            <w:r>
              <w:rPr>
                <w:rFonts w:ascii="仿宋_GB2312" w:hAnsi="仿宋_GB2312" w:cs="仿宋_GB2312" w:eastAsia="仿宋_GB2312"/>
                <w:sz w:val="32"/>
              </w:rPr>
              <w:t>量化标准：</w:t>
            </w:r>
            <w:r>
              <w:rPr>
                <w:rFonts w:ascii="仿宋_GB2312" w:hAnsi="仿宋_GB2312" w:cs="仿宋_GB2312" w:eastAsia="仿宋_GB2312"/>
                <w:sz w:val="32"/>
              </w:rPr>
              <w:t>①考核周期每半年一次，考核实行100分制，综合得分80分及以上为合格，综合得分低于80分为不合格，若成交供应商的服务经考核认定不合格且拒不整改的，采购人有权解除合同。两次半年考核的平均分为年度考核得分，年度考核合格后续签次年合同。</w:t>
            </w:r>
          </w:p>
          <w:p>
            <w:pPr>
              <w:pStyle w:val="null3"/>
              <w:ind w:firstLine="320"/>
              <w:jc w:val="left"/>
            </w:pPr>
            <w:r>
              <w:rPr>
                <w:rFonts w:ascii="仿宋_GB2312" w:hAnsi="仿宋_GB2312" w:cs="仿宋_GB2312" w:eastAsia="仿宋_GB2312"/>
                <w:sz w:val="32"/>
              </w:rPr>
              <w:t>②具体内容：</w:t>
            </w:r>
          </w:p>
          <w:tbl>
            <w:tblPr>
              <w:tblBorders>
                <w:top w:val="none" w:color="000000" w:sz="4"/>
                <w:left w:val="none" w:color="000000" w:sz="4"/>
                <w:bottom w:val="none" w:color="000000" w:sz="4"/>
                <w:right w:val="none" w:color="000000" w:sz="4"/>
                <w:insideH w:val="none"/>
                <w:insideV w:val="none"/>
              </w:tblBorders>
            </w:tblPr>
            <w:tblGrid>
              <w:gridCol w:w="576"/>
              <w:gridCol w:w="1283"/>
              <w:gridCol w:w="2613"/>
              <w:gridCol w:w="539"/>
              <w:gridCol w:w="567"/>
            </w:tblGrid>
            <w:tr>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序号</w:t>
                  </w:r>
                </w:p>
              </w:tc>
              <w:tc>
                <w:tcPr>
                  <w:tcW w:type="dxa" w:w="1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考核名称</w:t>
                  </w:r>
                </w:p>
              </w:tc>
              <w:tc>
                <w:tcPr>
                  <w:tcW w:type="dxa" w:w="2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考核内容及标准</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分值</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得分</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服务范围及具体内容</w:t>
                  </w:r>
                </w:p>
              </w:tc>
              <w:tc>
                <w:tcPr>
                  <w:tcW w:type="dxa" w:w="2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每次维修完毕，公司维修部门有专职电话回访；每次保养完成后有提出专业的保养总结和改进方案；每三个月一次的客户维护专员现场拜访，总结服务情况，依据医院需求改进服务；具有</w:t>
                  </w:r>
                  <w:r>
                    <w:rPr>
                      <w:rFonts w:ascii="仿宋_GB2312" w:hAnsi="仿宋_GB2312" w:cs="仿宋_GB2312" w:eastAsia="仿宋_GB2312"/>
                      <w:sz w:val="32"/>
                    </w:rPr>
                    <w:t>24小时到现场维修的能力；每一项出现有一次不满足扣5分。</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25分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是否为固定维修工程师服务</w:t>
                  </w:r>
                </w:p>
              </w:tc>
              <w:tc>
                <w:tcPr>
                  <w:tcW w:type="dxa" w:w="2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每次服务是否为提供的名单内维修工程师。出现有一次不满足扣</w:t>
                  </w:r>
                  <w:r>
                    <w:rPr>
                      <w:rFonts w:ascii="仿宋_GB2312" w:hAnsi="仿宋_GB2312" w:cs="仿宋_GB2312" w:eastAsia="仿宋_GB2312"/>
                      <w:sz w:val="32"/>
                    </w:rPr>
                    <w:t>5分。</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5分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3</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响应时间</w:t>
                  </w:r>
                </w:p>
              </w:tc>
              <w:tc>
                <w:tcPr>
                  <w:tcW w:type="dxa" w:w="2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接到报修</w:t>
                  </w:r>
                  <w:r>
                    <w:rPr>
                      <w:rFonts w:ascii="仿宋_GB2312" w:hAnsi="仿宋_GB2312" w:cs="仿宋_GB2312" w:eastAsia="仿宋_GB2312"/>
                      <w:sz w:val="32"/>
                    </w:rPr>
                    <w:t>15分钟内响应，当远程无法解决时，于24小时内到达现场予以解决相应故障，全天24小时开机。一项不满足扣5分。</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15分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4</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维保质量</w:t>
                  </w:r>
                </w:p>
              </w:tc>
              <w:tc>
                <w:tcPr>
                  <w:tcW w:type="dxa" w:w="2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每台设备全年停机不超过</w:t>
                  </w:r>
                  <w:r>
                    <w:rPr>
                      <w:rFonts w:ascii="仿宋_GB2312" w:hAnsi="仿宋_GB2312" w:cs="仿宋_GB2312" w:eastAsia="仿宋_GB2312"/>
                      <w:sz w:val="32"/>
                    </w:rPr>
                    <w:t>15日，超过一天扣2分。</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30分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5</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备件服务能力</w:t>
                  </w:r>
                </w:p>
              </w:tc>
              <w:tc>
                <w:tcPr>
                  <w:tcW w:type="dxa" w:w="2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保证球管</w:t>
                  </w:r>
                  <w:r>
                    <w:rPr>
                      <w:rFonts w:ascii="仿宋_GB2312" w:hAnsi="仿宋_GB2312" w:cs="仿宋_GB2312" w:eastAsia="仿宋_GB2312"/>
                      <w:sz w:val="32"/>
                    </w:rPr>
                    <w:t>48小时内送达医院现场。一次不具备扣5分</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25分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outlineLvl w:val="1"/>
            </w:pPr>
            <w:r>
              <w:rPr>
                <w:rFonts w:ascii="仿宋_GB2312" w:hAnsi="仿宋_GB2312" w:cs="仿宋_GB2312" w:eastAsia="仿宋_GB2312"/>
                <w:sz w:val="32"/>
                <w:b/>
              </w:rPr>
              <w:t>6、</w:t>
            </w:r>
            <w:r>
              <w:rPr>
                <w:rFonts w:ascii="仿宋_GB2312" w:hAnsi="仿宋_GB2312" w:cs="仿宋_GB2312" w:eastAsia="仿宋_GB2312"/>
                <w:sz w:val="32"/>
                <w:b/>
              </w:rPr>
              <w:t>违约责任</w:t>
            </w:r>
          </w:p>
          <w:p>
            <w:pPr>
              <w:pStyle w:val="null3"/>
              <w:ind w:firstLine="640"/>
              <w:jc w:val="both"/>
            </w:pPr>
            <w:r>
              <w:rPr>
                <w:rFonts w:ascii="仿宋_GB2312" w:hAnsi="仿宋_GB2312" w:cs="仿宋_GB2312" w:eastAsia="仿宋_GB2312"/>
                <w:sz w:val="32"/>
              </w:rPr>
              <w:t>违约责任合同按《中华人民共和国民法典》执行，双方按文件的要求及投标文件的承诺执行，否则视为违约。违约方应按维保合同总金额的</w:t>
            </w:r>
            <w:r>
              <w:rPr>
                <w:rFonts w:ascii="仿宋_GB2312" w:hAnsi="仿宋_GB2312" w:cs="仿宋_GB2312" w:eastAsia="仿宋_GB2312"/>
                <w:sz w:val="32"/>
              </w:rPr>
              <w:t>1%，向履约方支付违约金。</w:t>
            </w:r>
          </w:p>
          <w:p>
            <w:pPr>
              <w:pStyle w:val="null3"/>
              <w:jc w:val="both"/>
              <w:outlineLvl w:val="1"/>
            </w:pPr>
            <w:r>
              <w:rPr>
                <w:rFonts w:ascii="仿宋_GB2312" w:hAnsi="仿宋_GB2312" w:cs="仿宋_GB2312" w:eastAsia="仿宋_GB2312"/>
                <w:sz w:val="32"/>
                <w:b/>
              </w:rPr>
              <w:t>7、解决合同纠纷的方式</w:t>
            </w:r>
          </w:p>
          <w:p>
            <w:pPr>
              <w:pStyle w:val="null3"/>
              <w:ind w:firstLine="640"/>
              <w:jc w:val="both"/>
            </w:pPr>
            <w:r>
              <w:rPr>
                <w:rFonts w:ascii="仿宋_GB2312" w:hAnsi="仿宋_GB2312" w:cs="仿宋_GB2312" w:eastAsia="仿宋_GB2312"/>
                <w:sz w:val="32"/>
              </w:rPr>
              <w:t>1.违约责任</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1）双方必须遵守本合同并执行合同中的各项规定，保证本合同的正常履行。</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如因供应商工作人员在履行职务过程中的的疏忽、失职、过错等故意或者过失原因给甲方造成损失或侵害，包括但不限于采购人本身的财产损失、由此而导致的采购人对任何第三方的法律责任等，供应商对此均应承担全部的赔偿责任。</w:t>
            </w:r>
          </w:p>
          <w:p>
            <w:pPr>
              <w:pStyle w:val="null3"/>
              <w:ind w:firstLine="640"/>
              <w:jc w:val="both"/>
            </w:pPr>
            <w:r>
              <w:rPr>
                <w:rFonts w:ascii="仿宋_GB2312" w:hAnsi="仿宋_GB2312" w:cs="仿宋_GB2312" w:eastAsia="仿宋_GB2312"/>
                <w:sz w:val="32"/>
              </w:rPr>
              <w:t>2.解决争议的方法</w:t>
            </w:r>
          </w:p>
          <w:p>
            <w:pPr>
              <w:pStyle w:val="null3"/>
              <w:ind w:firstLine="640"/>
              <w:jc w:val="both"/>
            </w:pPr>
            <w:r>
              <w:rPr>
                <w:rFonts w:ascii="仿宋_GB2312" w:hAnsi="仿宋_GB2312" w:cs="仿宋_GB2312" w:eastAsia="仿宋_GB2312"/>
                <w:sz w:val="32"/>
              </w:rPr>
              <w:t>在执行本合同中发生的或与本合同有关的争端，双方应通过友好协商解决，经协商在</w:t>
            </w:r>
            <w:r>
              <w:rPr>
                <w:rFonts w:ascii="仿宋_GB2312" w:hAnsi="仿宋_GB2312" w:cs="仿宋_GB2312" w:eastAsia="仿宋_GB2312"/>
                <w:sz w:val="32"/>
              </w:rPr>
              <w:t>60天内不能达成协议时，由当事人依法向甲方所在地人民法院诉讼解决，败诉方还应当承担胜诉方因此支付的诉讼费、保全费、律师费、差旅费等实际费用。</w:t>
            </w:r>
          </w:p>
          <w:p>
            <w:pPr>
              <w:pStyle w:val="null3"/>
              <w:jc w:val="both"/>
              <w:outlineLvl w:val="1"/>
            </w:pPr>
            <w:r>
              <w:rPr>
                <w:rFonts w:ascii="仿宋_GB2312" w:hAnsi="仿宋_GB2312" w:cs="仿宋_GB2312" w:eastAsia="仿宋_GB2312"/>
                <w:sz w:val="32"/>
                <w:b/>
              </w:rPr>
              <w:t>8、项目服务方案</w:t>
            </w:r>
          </w:p>
          <w:p>
            <w:pPr>
              <w:pStyle w:val="null3"/>
              <w:jc w:val="both"/>
              <w:outlineLvl w:val="1"/>
            </w:pPr>
            <w:r>
              <w:rPr>
                <w:rFonts w:ascii="仿宋_GB2312" w:hAnsi="仿宋_GB2312" w:cs="仿宋_GB2312" w:eastAsia="仿宋_GB2312"/>
                <w:sz w:val="32"/>
                <w:b/>
              </w:rPr>
              <w:t>供应商应对本项目提供项目服务方案</w:t>
            </w:r>
          </w:p>
          <w:p>
            <w:pPr>
              <w:pStyle w:val="null3"/>
              <w:ind w:firstLine="640"/>
              <w:jc w:val="both"/>
            </w:pPr>
            <w:r>
              <w:rPr>
                <w:rFonts w:ascii="仿宋_GB2312" w:hAnsi="仿宋_GB2312" w:cs="仿宋_GB2312" w:eastAsia="仿宋_GB2312"/>
                <w:sz w:val="32"/>
              </w:rPr>
              <w:t>包括：</w:t>
            </w:r>
            <w:r>
              <w:rPr>
                <w:rFonts w:ascii="仿宋_GB2312" w:hAnsi="仿宋_GB2312" w:cs="仿宋_GB2312" w:eastAsia="仿宋_GB2312"/>
                <w:sz w:val="32"/>
              </w:rPr>
              <w:t>①项目的整体设想，②项目规划，③设备保养方案，④设备维修方案，⑤维保技术实力展示，⑥设备质控方案，⑦维修工程师个人能力展示，⑧应急保障措施，⑨维保档案管理，⑩设备定期巡检方案</w:t>
            </w:r>
            <w:r>
              <w:rPr>
                <w:rFonts w:ascii="仿宋_GB2312" w:hAnsi="仿宋_GB2312" w:cs="仿宋_GB2312" w:eastAsia="仿宋_GB2312"/>
                <w:sz w:val="32"/>
              </w:rPr>
              <w:t>。</w:t>
            </w:r>
          </w:p>
          <w:p>
            <w:pPr>
              <w:pStyle w:val="null3"/>
              <w:ind w:firstLine="640"/>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自合同签订之日起三年，若年度考核不合格，采购人有权终止合同。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邛崃市第二人民医院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国家有关规定以及招标文件的服务要求、供应商的投标文件及承诺与本合同约定标准进行验收；采购人与供应商双方如对服务要求的约定标准有相互抵触或异议的事项，由采购人在招标文件及投标文件中按服务要求比较优胜的原则确定该项的约定标准进行验收； （2）其他未尽事宜应严格按照《财政部关于进一步加强政府采购需求和履约验收管理的指导意见》(财库〔2016〕205号)的要求进行验收。符合国家有关规定、招标文件的服务要求、供应商的投标文件及承诺以及合同条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收到有效票据起，达到付款条件起30日内，据实结算说明为合同签订生效后，收到有效票据起30个工作日内预付第一年全部费用的50%，第一年维保服务完成经考核合格后且收到有效票据起30个工作日内支付第一年全部费用剩余的50%，第二年服务期满，经考核合格后且收到有效票据起30个工作日内支付第二年全部费用的100%，第三年服务期满，经考核合格后且收到有效票据起30个工作日内支付第三年全部费用的100%。</w:t>
            </w:r>
          </w:p>
          <w:p>
            <w:pPr>
              <w:pStyle w:val="null3"/>
              <w:jc w:val="left"/>
            </w:pPr>
            <w:r>
              <w:rPr>
                <w:rFonts w:ascii="仿宋_GB2312" w:hAnsi="仿宋_GB2312" w:cs="仿宋_GB2312" w:eastAsia="仿宋_GB2312"/>
              </w:rPr>
              <w:t>2、尾款，第一年维保服务完成经考核合格后且收到有效票据起，达到付款条件起30日内，据实结算说明为合同签订生效后，收到有效票据起30个工作日内预付第一年全部费用的50%，第一年维保服务完成经考核合格后且收到有效票据起30个工作日内支付第一年全部费用剩余的50%，第二年服务期满，经考核合格后且收到有效票据起30个工作日内支付第二年全部费用的100%，第三年服务期满，经考核合格后且收到有效票据起30个工作日内支付第三年全部费用的100%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违约责任合同按《中华人民共和国民法典》执行，双方按文件的要求及投标文件的承诺执行，否则视为违约。违约方应按维保合同总金额的1%，向履约方支付违约金。 二、解决合同纠纷的方式 1.违约责任 （1）双方必须遵守本合同并执行合同中的各项规定，保证本合同的正常履行。 （2）如因供应商工作人员在履行职务过程中的的疏忽、失职、过错等故意或者过失原因给甲方造成损失或侵害，包括但不限于采购人本身的财产损失、由此而导致的采购人对任何第三方的法律责任等，供应商对此均应承担全部的赔偿责任。 2.解决争议的方法 在执行本合同中发生的或与本合同有关的争端，双方应通过友好协商解决，经协商在60天内不能达成协议时，由当事人依法向甲方所在地人民法院诉讼解决，败诉方还应当承担胜诉方因此支付的诉讼费、保全费、律师费、差旅费等实际费用。</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1、由于系统模板字数限制，本项目商务要求以“3.2.技术要求 ”中“3 ★ 商务要求”为准。2、除采购文件中的明确要求进行单独响应或承诺的实质性要求外，对于其他实质性要求，投标在《投标（响应）函》中以“我单位完全接受和理解本项目采购文件规定的实质性要求”进行承诺即视为响应。3、因系统固化原因，本项目的预算金额为1年的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采购产品为医疗器械，供应商须符合《医疗器械监督管理条例》要求并提供供应商经营该产品的经营许可/经营备案证明材料；投标产品须符合《医疗器械注册与备案管理办法》要求并提供产品的注册/备案证明材料。</w:t>
            </w:r>
          </w:p>
        </w:tc>
        <w:tc>
          <w:tcPr>
            <w:tcW w:type="dxa" w:w="3322"/>
          </w:tcPr>
          <w:p>
            <w:pPr>
              <w:pStyle w:val="null3"/>
              <w:jc w:val="left"/>
            </w:pPr>
            <w:r>
              <w:rPr>
                <w:rFonts w:ascii="仿宋_GB2312" w:hAnsi="仿宋_GB2312" w:cs="仿宋_GB2312" w:eastAsia="仿宋_GB2312"/>
              </w:rPr>
              <w:t>采购产品为医疗器械，供应商须符合《医疗器械监督管理条例》要求并提供供应商经营该产品的经营许可/经营备案证明材料；投标产品须符合《医疗器械注册与备案管理办法》要求并提供产品的注册/备案证明材料。</w:t>
            </w:r>
          </w:p>
        </w:tc>
        <w:tc>
          <w:tcPr>
            <w:tcW w:type="dxa" w:w="1661"/>
          </w:tcPr>
          <w:p>
            <w:pPr>
              <w:pStyle w:val="null3"/>
              <w:jc w:val="left"/>
            </w:pPr>
            <w:r>
              <w:rPr>
                <w:rFonts w:ascii="仿宋_GB2312" w:hAnsi="仿宋_GB2312" w:cs="仿宋_GB2312" w:eastAsia="仿宋_GB2312"/>
              </w:rPr>
              <w:t>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供应商须具备有效的《辐射安全许可证》（种类和范围需包含使用Ⅲ类射线装置）</w:t>
            </w:r>
          </w:p>
        </w:tc>
        <w:tc>
          <w:tcPr>
            <w:tcW w:type="dxa" w:w="3322"/>
          </w:tcPr>
          <w:p>
            <w:pPr>
              <w:pStyle w:val="null3"/>
              <w:jc w:val="left"/>
            </w:pPr>
            <w:r>
              <w:rPr>
                <w:rFonts w:ascii="仿宋_GB2312" w:hAnsi="仿宋_GB2312" w:cs="仿宋_GB2312" w:eastAsia="仿宋_GB2312"/>
              </w:rPr>
              <w:t>供应商须具备有效的《辐射安全许可证》（种类和范围需包含使用Ⅲ类射线装置）</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供应商按照采购文件要求上传相应证明材料</w:t>
            </w:r>
          </w:p>
        </w:tc>
        <w:tc>
          <w:tcPr>
            <w:tcW w:type="dxa" w:w="1661"/>
          </w:tcPr>
          <w:p>
            <w:pPr>
              <w:pStyle w:val="null3"/>
              <w:jc w:val="left"/>
            </w:pPr>
            <w:r>
              <w:rPr>
                <w:rFonts w:ascii="仿宋_GB2312" w:hAnsi="仿宋_GB2312" w:cs="仿宋_GB2312" w:eastAsia="仿宋_GB2312"/>
              </w:rPr>
              <w:t>响应文件封面,供应商应提交的相关证明材料,服务应答表,报价表,投标（响应）函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