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版本号：N510786202600000820260324001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石桥铺、古泉、菩提寺社区村庄规划编制服务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N5107862026000008</w:t>
      </w:r>
    </w:p>
    <w:p>
      <w:pPr>
        <w:pStyle w:val="null3"/>
        <w:jc w:val="center"/>
        <w:outlineLvl w:val="2"/>
      </w:pPr>
      <w:r>
        <w:rPr>
          <w:rFonts w:ascii="仿宋_GB2312" w:hAnsi="仿宋_GB2312" w:cs="仿宋_GB2312" w:eastAsia="仿宋_GB2312"/>
          <w:sz w:val="28"/>
          <w:b/>
        </w:rPr>
        <w:t>绵阳高新区普明街道办事处</w:t>
      </w:r>
    </w:p>
    <w:p>
      <w:pPr>
        <w:pStyle w:val="null3"/>
        <w:jc w:val="center"/>
        <w:outlineLvl w:val="2"/>
      </w:pPr>
      <w:r>
        <w:rPr>
          <w:rFonts w:ascii="仿宋_GB2312" w:hAnsi="仿宋_GB2312" w:cs="仿宋_GB2312" w:eastAsia="仿宋_GB2312"/>
          <w:sz w:val="28"/>
          <w:b/>
        </w:rPr>
        <w:t>四川川鼎盛招标代理有限责任公司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四川川鼎盛招标代理有限责任公司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绵阳高新区普明街道办事处</w:t>
      </w:r>
      <w:r>
        <w:rPr>
          <w:rFonts w:ascii="仿宋_GB2312" w:hAnsi="仿宋_GB2312" w:cs="仿宋_GB2312" w:eastAsia="仿宋_GB2312"/>
        </w:rPr>
        <w:t xml:space="preserve"> 委托，拟对 </w:t>
      </w:r>
      <w:r>
        <w:rPr>
          <w:rFonts w:ascii="仿宋_GB2312" w:hAnsi="仿宋_GB2312" w:cs="仿宋_GB2312" w:eastAsia="仿宋_GB2312"/>
        </w:rPr>
        <w:t>石桥铺、古泉、菩提寺社区村庄规划编制服务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绵阳市高新区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N5107862026000008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石桥铺、古泉、菩提寺社区村庄规划编制服务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石桥铺、古泉、菩提寺社区村庄规划编制服务，明确村庄布局，合理划定各类空间管控边界，优化布局乡村生活空间，因地制宜界定乡村建设规划范围，严格保护农业生产空间和乡村生态空间。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有效期内的城乡规划编制乙级及以上资质或城乡规划（国土空间规划）乙级及以上资质。因国家规划资质管理制度改革，凡原城乡规划编制资质在有效期内的均予以认可；已换发国土空间规划资质的同等认可；若资质过期但能提供主管部门正在延续受理证明的，也予认可。（描述：具有有效期内的城乡规划编制乙级及以上资质或城乡规划（国土空间规划）乙级及以上资质。因国家规划资质管理制度改革，凡原城乡规划编制资质在有效期内的均予以认可；已换发国土空间规划资质的同等认可；若资质过期但能提供主管部门正在延续受理证明的，也予认可。）</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绵阳高新区普明街道办事处</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绵阳市高新区普明北路东段566号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杨东平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19181130192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四川川鼎盛招标代理有限责任公司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绵阳市高新区虹阳街9号护航者孵化产业园B区404</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杨佳宇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0816-2126162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代理服务费收费标准：按《招标代理服务收费管理暂行办法》计价格[2002]1980号文标准收取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绵阳高新区普明街道办事处</w:t>
      </w:r>
      <w:r>
        <w:rPr>
          <w:rFonts w:ascii="仿宋_GB2312" w:hAnsi="仿宋_GB2312" w:cs="仿宋_GB2312" w:eastAsia="仿宋_GB2312"/>
        </w:rPr>
        <w:t xml:space="preserve"> 和 </w:t>
      </w:r>
      <w:r>
        <w:rPr>
          <w:rFonts w:ascii="仿宋_GB2312" w:hAnsi="仿宋_GB2312" w:cs="仿宋_GB2312" w:eastAsia="仿宋_GB2312"/>
        </w:rPr>
        <w:t>四川川鼎盛招标代理有限责任公司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绵阳高新区普明街道办事处</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四川川鼎盛招标代理有限责任公司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按照采购文件要求、供应商的响应文件及承诺、签订的合同、国家及行业相关规范标准进行。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按照采购文件要求、供应商的响应文件及承诺、签订的合同、国家及行业相关规范标准进行。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按照本项目采购文件、响应文件、国家行业主管部门规定的标准、方法、《财政部关于进一步加强政府采购需求和履约验收管理的指导意见》财库（2016）205号和签订的政府采购合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绵阳高新区普明街道办事处</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四川川鼎盛招标代理有限责任公司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四川川鼎盛招标代理有限责任公司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联系人：杨东平</w:t>
      </w:r>
    </w:p>
    <w:p>
      <w:pPr>
        <w:pStyle w:val="null3"/>
        <w:jc w:val="left"/>
      </w:pPr>
      <w:r>
        <w:rPr>
          <w:rFonts w:ascii="仿宋_GB2312" w:hAnsi="仿宋_GB2312" w:cs="仿宋_GB2312" w:eastAsia="仿宋_GB2312"/>
        </w:rPr>
        <w:t>联系电话：19181130192</w:t>
      </w:r>
    </w:p>
    <w:p>
      <w:pPr>
        <w:pStyle w:val="null3"/>
        <w:jc w:val="left"/>
      </w:pPr>
      <w:r>
        <w:rPr>
          <w:rFonts w:ascii="仿宋_GB2312" w:hAnsi="仿宋_GB2312" w:cs="仿宋_GB2312" w:eastAsia="仿宋_GB2312"/>
        </w:rPr>
        <w:t>地址：绵阳市高新区普明北路东段附566号</w:t>
      </w:r>
    </w:p>
    <w:p>
      <w:pPr>
        <w:pStyle w:val="null3"/>
        <w:jc w:val="left"/>
      </w:pPr>
      <w:r>
        <w:rPr>
          <w:rFonts w:ascii="仿宋_GB2312" w:hAnsi="仿宋_GB2312" w:cs="仿宋_GB2312" w:eastAsia="仿宋_GB2312"/>
        </w:rPr>
        <w:t>邮编：621000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联系人：杨佳宇</w:t>
      </w:r>
    </w:p>
    <w:p>
      <w:pPr>
        <w:pStyle w:val="null3"/>
        <w:jc w:val="left"/>
      </w:pPr>
      <w:r>
        <w:rPr>
          <w:rFonts w:ascii="仿宋_GB2312" w:hAnsi="仿宋_GB2312" w:cs="仿宋_GB2312" w:eastAsia="仿宋_GB2312"/>
        </w:rPr>
        <w:t>联系电话：0816-2126162</w:t>
      </w:r>
    </w:p>
    <w:p>
      <w:pPr>
        <w:pStyle w:val="null3"/>
        <w:jc w:val="left"/>
      </w:pPr>
      <w:r>
        <w:rPr>
          <w:rFonts w:ascii="仿宋_GB2312" w:hAnsi="仿宋_GB2312" w:cs="仿宋_GB2312" w:eastAsia="仿宋_GB2312"/>
        </w:rPr>
        <w:t>地址：绵阳市高新区虹阳街9号护航者孵化产业园B区404</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450,000.00</w:t>
      </w:r>
    </w:p>
    <w:p>
      <w:pPr>
        <w:pStyle w:val="null3"/>
        <w:jc w:val="left"/>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石桥铺、古泉、菩提寺社区村庄规划编制服务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石桥铺、古泉、菩提寺社区村庄规划编制服务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标的名称：石桥铺、古泉、菩提寺社区村庄规划编制服务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概况</w:t>
            </w:r>
          </w:p>
        </w:tc>
        <w:tc>
          <w:tcPr>
            <w:tcW w:type="dxa" w:w="5814"/>
          </w:tcPr>
          <w:p>
            <w:pPr>
              <w:pStyle w:val="null3"/>
              <w:ind w:firstLine="560"/>
              <w:jc w:val="left"/>
            </w:pPr>
            <w:r>
              <w:rPr>
                <w:rFonts w:ascii="仿宋_GB2312" w:hAnsi="仿宋_GB2312" w:cs="仿宋_GB2312" w:eastAsia="仿宋_GB2312"/>
                <w:sz w:val="28"/>
                <w:color w:val="000000"/>
              </w:rPr>
              <w:t>随着城镇化进程的不断推进，农村人口向城镇集中已成为总体发展趋势，许多村庄因此面临资源闲置、</w:t>
            </w:r>
            <w:r>
              <w:rPr>
                <w:rFonts w:ascii="仿宋_GB2312" w:hAnsi="仿宋_GB2312" w:cs="仿宋_GB2312" w:eastAsia="仿宋_GB2312"/>
                <w:sz w:val="28"/>
                <w:color w:val="000000"/>
              </w:rPr>
              <w:t>“空心化”等问题，需科学引导空间资源配置，为乡村可持续发展绘制清晰的行动蓝图。通过合理布局生产、生活、生态空间，可以有效解决土地资源高效利用等问题；同时，统筹基础设施与公共服务设施配置，有助于提升乡村综合承载力和宜居水平，进一步优化投资环境。为此，高新区普明街道办事处决定开展石桥铺、古泉、菩提寺社区的村庄规划编制工作。</w:t>
            </w:r>
          </w:p>
          <w:p>
            <w:pPr>
              <w:pStyle w:val="null3"/>
              <w:ind w:firstLine="560"/>
              <w:jc w:val="left"/>
            </w:pPr>
            <w:r>
              <w:rPr>
                <w:rFonts w:ascii="仿宋_GB2312" w:hAnsi="仿宋_GB2312" w:cs="仿宋_GB2312" w:eastAsia="仿宋_GB2312"/>
                <w:sz w:val="28"/>
                <w:color w:val="000000"/>
              </w:rPr>
              <w:t>石桥铺社区东临涪城区石塘镇瓦店村、南临涪城区石塘镇蟠龙村、西至古泉社区，北至安昌河滨河路，所辖面积约</w:t>
            </w:r>
            <w:r>
              <w:rPr>
                <w:rFonts w:ascii="仿宋_GB2312" w:hAnsi="仿宋_GB2312" w:cs="仿宋_GB2312" w:eastAsia="仿宋_GB2312"/>
                <w:sz w:val="28"/>
                <w:color w:val="000000"/>
              </w:rPr>
              <w:t>102.04公顷，城镇开发边界外面积为66.11公顷。古泉社区地处高新区出口加工区西侧，北至安昌河，西与新皂镇接壤，东至石桥铺社区，南与潘龙和古井社区接壤，所辖面积168.73公顷，城镇开发边界外面积约129.37公顷；菩提寺社区面积约168.4公顷，城镇开发边界外面积约57.94公顷。本次对辖区范围内，城镇开发边界外的用地进行规划编制。规划编制总面积约253.42公顷。</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规划编制内容</w:t>
            </w:r>
          </w:p>
        </w:tc>
        <w:tc>
          <w:tcPr>
            <w:tcW w:type="dxa" w:w="5814"/>
          </w:tcPr>
          <w:p>
            <w:pPr>
              <w:pStyle w:val="null3"/>
              <w:ind w:firstLine="42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1）服务内容</w:t>
            </w:r>
          </w:p>
          <w:p>
            <w:pPr>
              <w:pStyle w:val="null3"/>
              <w:ind w:firstLine="560"/>
              <w:jc w:val="left"/>
            </w:pPr>
            <w:r>
              <w:rPr>
                <w:rFonts w:ascii="仿宋_GB2312" w:hAnsi="仿宋_GB2312" w:cs="仿宋_GB2312" w:eastAsia="仿宋_GB2312"/>
                <w:sz w:val="28"/>
                <w:color w:val="000000"/>
              </w:rPr>
              <w:t>包含但不限于资料收集、现场踏勘、规划编制、筛选分析、意见征集、成果编制、专家评审、公示公告及提交审查。</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2）编制原则</w:t>
            </w:r>
          </w:p>
          <w:p>
            <w:pPr>
              <w:pStyle w:val="null3"/>
              <w:ind w:firstLine="560"/>
              <w:jc w:val="left"/>
            </w:pPr>
            <w:r>
              <w:rPr>
                <w:rFonts w:ascii="仿宋_GB2312" w:hAnsi="仿宋_GB2312" w:cs="仿宋_GB2312" w:eastAsia="仿宋_GB2312"/>
                <w:sz w:val="28"/>
                <w:color w:val="000000"/>
              </w:rPr>
              <w:t>根据乡镇级国土空间总体规划和相关上位规划确定的范围边界、功能定位、约束性指标、设施配建标准和其他空间布局要求，结合基础调研结论，统筹底线约束、功能定位、用地布局、居民点建设、产业发展、设施建设、整治修复、乡村空间设计等规划内容，形成规划方案。通过组织专家审查等方法，广泛征求村民、专家、相关部门和其他利益相关人意见，对规划方案进行充分论证，经修改完善后形成规划成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规划成果内容</w:t>
            </w:r>
          </w:p>
        </w:tc>
        <w:tc>
          <w:tcPr>
            <w:tcW w:type="dxa" w:w="5814"/>
          </w:tcPr>
          <w:p>
            <w:pPr>
              <w:pStyle w:val="null3"/>
              <w:ind w:firstLine="482"/>
              <w:jc w:val="left"/>
            </w:pPr>
            <w:r>
              <w:rPr>
                <w:rFonts w:ascii="仿宋_GB2312" w:hAnsi="仿宋_GB2312" w:cs="仿宋_GB2312" w:eastAsia="仿宋_GB2312"/>
                <w:sz w:val="28"/>
                <w:color w:val="000000"/>
              </w:rPr>
              <w:t>规划成果的内容深度应遵守《中华人民共和国城乡规划法》《四川省城乡规划条例》《中华人民共和国土地管理法》《绵阳市详细规划优化和勘误实施细则</w:t>
            </w:r>
            <w:r>
              <w:rPr>
                <w:rFonts w:ascii="仿宋_GB2312" w:hAnsi="仿宋_GB2312" w:cs="仿宋_GB2312" w:eastAsia="仿宋_GB2312"/>
                <w:sz w:val="28"/>
                <w:color w:val="000000"/>
              </w:rPr>
              <w:t>(试行)》《绵阳市国土空间总体规划（2021-2035年）》《四川省村规划编制指南(2024年修订版)》等相关法律法规及技术规范要求。规划成果包括文本、图件和规划附件。</w:t>
            </w:r>
          </w:p>
          <w:p>
            <w:pPr>
              <w:pStyle w:val="null3"/>
              <w:ind w:firstLine="482"/>
              <w:jc w:val="left"/>
            </w:pPr>
            <w:r>
              <w:rPr>
                <w:rFonts w:ascii="仿宋_GB2312" w:hAnsi="仿宋_GB2312" w:cs="仿宋_GB2312" w:eastAsia="仿宋_GB2312"/>
                <w:sz w:val="28"/>
                <w:color w:val="000000"/>
              </w:rPr>
              <w:t>规划附件：规划附件包括材料汇编（专家意见、地方意见、部门意见及采纳修改情况、公示情况）等。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组织按照本项目采购文件、响应文件、国家行业主管部门规定的标准、方法、《财政部关于进一步加强政府采购需求和履约验收管理的指导意见》财库（2016）205号和签订的政府采购合同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1、合同签订生效后，达到付款条件起15日内，支付合同总金额的30.00%</w:t>
            </w:r>
          </w:p>
          <w:p>
            <w:pPr>
              <w:pStyle w:val="null3"/>
              <w:jc w:val="left"/>
            </w:pPr>
            <w:r>
              <w:rPr>
                <w:rFonts w:ascii="仿宋_GB2312" w:hAnsi="仿宋_GB2312" w:cs="仿宋_GB2312" w:eastAsia="仿宋_GB2312"/>
              </w:rPr>
              <w:t>2、采购人规划方案经过专家审查后，达到付款条件起15日内，支付合同总金额的40.00%</w:t>
            </w:r>
          </w:p>
          <w:p>
            <w:pPr>
              <w:pStyle w:val="null3"/>
              <w:jc w:val="left"/>
            </w:pPr>
            <w:r>
              <w:rPr>
                <w:rFonts w:ascii="仿宋_GB2312" w:hAnsi="仿宋_GB2312" w:cs="仿宋_GB2312" w:eastAsia="仿宋_GB2312"/>
              </w:rPr>
              <w:t>3、提交最终全部规划成果后，达到付款条件起15日内，支付合同总金额的30.00%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（2）在执行本合同中发生的或与本合同有关的争端，双方应通过友好协商解决，经协商不能达成协议时，应提交合同履行地人民法院诉讼解决。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采购需求是采购人期望获得供应商在满足基本采购需求基础之上的更优化的需求，希望供应商为采购人提供更加优质的合同履约质量，这样更能充分保证质量。供应商可以根据自身情况据实提供，未提供不会导致其响应无效，但会影响其综合评价情况。有关情况，详见评分标准。1、供应商需针对本项目编制服务方案：①现状分析②底线约束③功能定位④用地布局与管控。2、供应商需针对本项目编制以下内容：①乡村居住用地布局②产业发展用地③设施用地布局④整治修复⑤乡村空间设计⑥历史文化保护。3、供应商需针对本项目编制后续服务方案：①质量及进度保障措施②后续服务方案。4、提供人员配置，人员包括项目负责人、项目技术负责人、项目组其他成员。5、供应商具备完成本项目履约能力，提供类似业绩。6、其他未尽事宜，由采购人与成交供应商另行协商解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①供应商若为企业法人：提供“统一社会信用代码营业执照”；② 若为事业法人：提供“统一社会信用代码法人登记证书”；③若为其他组织：提供“对应主管部门颁发的准许执业证明文件或营业执照”；④若为自然人：提供“身份证明材料”。（供应商需在项目电子化交易系统中按要求上传相应证明文件并进行电子签章。）⑤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有效期内的城乡规划编制乙级及以上资质或城乡规划（国土空间规划）乙级及以上资质。因国家规划资质管理制度改革，凡原城乡规划编制资质在有效期内的均予以认可；已换发国土空间规划资质的同等认可；若资质过期但能提供主管部门正在延续受理证明的，也予认可。</w:t>
            </w:r>
          </w:p>
        </w:tc>
        <w:tc>
          <w:tcPr>
            <w:tcW w:type="dxa" w:w="3322"/>
          </w:tcPr>
          <w:p>
            <w:pPr>
              <w:pStyle w:val="null3"/>
              <w:jc w:val="left"/>
            </w:pPr>
            <w:r>
              <w:rPr>
                <w:rFonts w:ascii="仿宋_GB2312" w:hAnsi="仿宋_GB2312" w:cs="仿宋_GB2312" w:eastAsia="仿宋_GB2312"/>
              </w:rPr>
              <w:t>具有有效期内的城乡规划编制乙级及以上资质或城乡规划（国土空间规划）乙级及以上资质。因国家规划资质管理制度改革，凡原城乡规划编制资质在有效期内的均予以认可；已换发国土空间规划资质的同等认可；若资质过期但能提供主管部门正在延续受理证明的，也予认可。</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第三章技术、服务及其他要求中3.2.技术要求、3.3.服务要求</w:t>
            </w:r>
          </w:p>
        </w:tc>
        <w:tc>
          <w:tcPr>
            <w:tcW w:type="dxa" w:w="3322"/>
          </w:tcPr>
          <w:p>
            <w:pPr>
              <w:pStyle w:val="null3"/>
              <w:jc w:val="left"/>
            </w:pPr>
            <w:r>
              <w:rPr>
                <w:rFonts w:ascii="仿宋_GB2312" w:hAnsi="仿宋_GB2312" w:cs="仿宋_GB2312" w:eastAsia="仿宋_GB2312"/>
              </w:rPr>
              <w:t>供应商须针对磋商文件的要求进行响应</w:t>
            </w:r>
          </w:p>
        </w:tc>
        <w:tc>
          <w:tcPr>
            <w:tcW w:type="dxa" w:w="1661"/>
          </w:tcPr>
          <w:p>
            <w:pPr>
              <w:pStyle w:val="null3"/>
              <w:jc w:val="left"/>
            </w:pPr>
            <w:r>
              <w:rPr>
                <w:rFonts w:ascii="仿宋_GB2312" w:hAnsi="仿宋_GB2312" w:cs="仿宋_GB2312" w:eastAsia="仿宋_GB2312"/>
              </w:rPr>
              <w:t>技术服务要求应答表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供应商需针对本项目编制服务方案:①现状分析②底线约束③功能定位④用地布局与管控。以上内容完全符合项目要求得20分;每缺一项内容扣5分，每有一项内容与本项目无关或涉及的规范标准不符合要求或方案内容与项目不匹配或内容不详实完整等扣2.5分，扣完为止。 2、供应商需针对本项目编制以下内容:①乡村居住用地布局②产业发展用地③设施用地布局④整治修复⑤乡村空间设计⑥历史文化保护。以上内容完全符合项目要求得24分;每缺一项内容扣4分，每有一项内容与本项目无关或涉及的规范标准不符合要求或方案内容与项目不匹配或内容不详实完整等扣2分，扣完为止。 3、 供应商需针对本项目编制后续服务方案：①质量及进度保障措施②后续服务方案。以上内容完全符合项目要求得6分；每缺一项内容扣3分，每有一项内容与本项目无关或涉及的规范标准不符合要求或方案内容与项目不匹配或内容不详实完整等扣1.5分，扣完为止。</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供应商根据评分标准要求进行响应</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根据供应商拟任本项目的项目人员配置情况进行评审： 1、项目负责人：具有城市（城乡）规划专业高级及以上职称且同时具有注册城市(城乡)规划师资格的得5分，本项最多得5分。 2、项目技术负责人：具有城市（城乡）规划专业高级及以上职称且同时具有注册城市(城乡)规划师资格的得3分，本项最多得3分。 3、项目组其他成员（项目负责人、项目技术负责人除外）： ①规划组成员： 每有一名具有城市（城乡）规划专业高级及以上职称且同时具有注册城市(城乡)规划师资格的得3分，每有一名具有城市（城乡）规划专业中级职称且同时具有注册城市(城乡)规划师资格的得1分，本项最多8分。 ②其他专业组成员：（1）建筑专业：每有一名建筑设计相关专业高级及以上职称且具有一级注册建筑师资格的得2分，本项最多得4分。（2）给排水专业：每有一名给排水相关专业高级及以上职称且具有国家注册公用设备工程师（给水排水）资格的得2分，本项最多得4分。（3）景观专业：每有一名风景园林相关专业高级及以上职称资格的得2分，本项最多得2分。（4）市政道路专业：每有一名道路交通相关专业高级及以上职称且同时具有注册土木工程师（道路工程）资格的得2分，本项最多得2分。（5）电气专业：每有一名电气相关专业高级及以上职称且同时具有注册电气工程师（供配电）资格的得2分，本项最多得2分。 注：项目配备的人员不得重复得分，重复的人员按照分值高的得分。以上人员需提供人员身份证复印件、在职证明、相应证书复印件或国家官方网站相应证书网页截图加盖供应商公章，不提供或未按要求提供或提供的证明材料不满足要求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供应商提供2023年1月1日至今相关类似项目业绩，每有一个得2.5分，最多得10分。 注：1、提供合同复印件并加盖供应商单位公章。2、类似业绩是指规划相关项目。</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审小组评审，通过资格和符合性审查，且投标报价最低的供应商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详见附件：供应商根据评分标准要求进行响应</w:t>
      </w:r>
    </w:p>
    <w:p>
      <w:pPr>
        <w:pStyle w:val="null3"/>
        <w:ind w:firstLine="960"/>
        <w:jc w:val="left"/>
      </w:pPr>
      <w:r>
        <w:rPr>
          <w:rFonts w:ascii="仿宋_GB2312" w:hAnsi="仿宋_GB2312" w:cs="仿宋_GB2312" w:eastAsia="仿宋_GB2312"/>
        </w:rPr>
        <w:t>详见附件：技术服务要求应答表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