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版本号：N511421202600003520260410002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养老机构责任险项目(三次)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N5114212026000035</w:t>
      </w:r>
    </w:p>
    <w:p>
      <w:pPr>
        <w:pStyle w:val="null3"/>
        <w:jc w:val="center"/>
        <w:outlineLvl w:val="2"/>
      </w:pPr>
      <w:r>
        <w:rPr>
          <w:rFonts w:ascii="仿宋_GB2312" w:hAnsi="仿宋_GB2312" w:cs="仿宋_GB2312" w:eastAsia="仿宋_GB2312"/>
          <w:sz w:val="28"/>
          <w:b/>
        </w:rPr>
        <w:t>仁寿县民政局</w:t>
      </w:r>
    </w:p>
    <w:p>
      <w:pPr>
        <w:pStyle w:val="null3"/>
        <w:jc w:val="center"/>
        <w:outlineLvl w:val="2"/>
      </w:pPr>
      <w:r>
        <w:rPr>
          <w:rFonts w:ascii="仿宋_GB2312" w:hAnsi="仿宋_GB2312" w:cs="仿宋_GB2312" w:eastAsia="仿宋_GB2312"/>
          <w:sz w:val="28"/>
          <w:b/>
        </w:rPr>
        <w:t>四川省君唯源工程项目管理有限责任公司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仁寿县民政局</w:t>
      </w:r>
      <w:r>
        <w:rPr>
          <w:rFonts w:ascii="仿宋_GB2312" w:hAnsi="仿宋_GB2312" w:cs="仿宋_GB2312" w:eastAsia="仿宋_GB2312"/>
        </w:rPr>
        <w:t xml:space="preserve"> 委托，拟对 </w:t>
      </w:r>
      <w:r>
        <w:rPr>
          <w:rFonts w:ascii="仿宋_GB2312" w:hAnsi="仿宋_GB2312" w:cs="仿宋_GB2312" w:eastAsia="仿宋_GB2312"/>
        </w:rPr>
        <w:t>养老机构责任险项目(三次)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眉山市仁寿县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N5114212026000035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养老机构责任险项目(三次)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仁寿县民政局养老机构责任险项目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或其总公司具有中国银行保险监督管理委员会颁发的有效期内《保险许可证》或《经营保险业务许可证》。本项目接受石油、石化、电力、电信、保险、银行等行业有特殊情况的分公司或分支机构参加，但只能以一个投标人身份参加且提供总公司的授权文件。【提供《保险许可证》或《经营保险业务许可证》复印件并加盖公章】。（描述：供应商或其总公司具有中国银行保险监督管理委员会颁发的有效期内《保险许可证》或《经营保险业务许可证》。本项目接受石油、石化、电力、电信、保险、银行等行业有特殊情况的分公司或分支机构参加，但只能以一个投标人身份参加且提供总公司的授权文件。【提供《保险许可证》或《经营保险业务许可证》复印件并加盖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仁寿县民政局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眉山市仁寿县普宁街道办群英街82号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028-35038741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四川省君唯源工程项目管理有限责任公司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四川省眉山市仁寿县普宁街道嘉南路三段124号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028-38176616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采购包1：420,000.00元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代理服务费收费标准：本项目按照成本支出加合理利润的原则确定代理费服务费收费标准，招标代理费服务费为8000.00元，由中标（成交）供应商支付。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仁寿县民政局</w:t>
      </w:r>
      <w:r>
        <w:rPr>
          <w:rFonts w:ascii="仿宋_GB2312" w:hAnsi="仿宋_GB2312" w:cs="仿宋_GB2312" w:eastAsia="仿宋_GB2312"/>
        </w:rPr>
        <w:t xml:space="preserve"> 和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仁寿县民政局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满足国家、地方相关规范、行业标准及采购文件要求。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满足国家、地方相关规范、行业标准及采购文件要求。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严格按照《财政部关于进一步加强政府采购需求和履约验收管理的指导意见》的通知（财库〔2016〕205号）文件的要求执行验收。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仁寿县民政局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联系人：徐女士</w:t>
      </w:r>
    </w:p>
    <w:p>
      <w:pPr>
        <w:pStyle w:val="null3"/>
        <w:jc w:val="left"/>
      </w:pPr>
      <w:r>
        <w:rPr>
          <w:rFonts w:ascii="仿宋_GB2312" w:hAnsi="仿宋_GB2312" w:cs="仿宋_GB2312" w:eastAsia="仿宋_GB2312"/>
        </w:rPr>
        <w:t>联系电话：028-38176616</w:t>
      </w:r>
    </w:p>
    <w:p>
      <w:pPr>
        <w:pStyle w:val="null3"/>
        <w:jc w:val="left"/>
      </w:pPr>
      <w:r>
        <w:rPr>
          <w:rFonts w:ascii="仿宋_GB2312" w:hAnsi="仿宋_GB2312" w:cs="仿宋_GB2312" w:eastAsia="仿宋_GB2312"/>
        </w:rPr>
        <w:t>地址：四川省眉山市仁寿县普宁街道嘉南路三段124号</w:t>
      </w:r>
    </w:p>
    <w:p>
      <w:pPr>
        <w:pStyle w:val="null3"/>
        <w:jc w:val="left"/>
      </w:pPr>
      <w:r>
        <w:rPr>
          <w:rFonts w:ascii="仿宋_GB2312" w:hAnsi="仿宋_GB2312" w:cs="仿宋_GB2312" w:eastAsia="仿宋_GB2312"/>
        </w:rPr>
        <w:t>邮编：620500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420,000.00</w:t>
      </w:r>
    </w:p>
    <w:p>
      <w:pPr>
        <w:pStyle w:val="null3"/>
        <w:jc w:val="left"/>
      </w:pPr>
      <w:r>
        <w:rPr>
          <w:rFonts w:ascii="仿宋_GB2312" w:hAnsi="仿宋_GB2312" w:cs="仿宋_GB2312" w:eastAsia="仿宋_GB2312"/>
        </w:rPr>
        <w:t>采购包最高限价（元）: 420,000.00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C05010400 养老服务</w:t>
            </w:r>
          </w:p>
        </w:tc>
        <w:tc>
          <w:tcPr>
            <w:tcW w:type="dxa" w:w="821"/>
          </w:tcPr>
          <w:p>
            <w:pPr>
              <w:pStyle w:val="null3"/>
              <w:jc w:val="left"/>
            </w:pPr>
            <w:r>
              <w:rPr>
                <w:rFonts w:ascii="仿宋_GB2312" w:hAnsi="仿宋_GB2312" w:cs="仿宋_GB2312" w:eastAsia="仿宋_GB2312"/>
              </w:rPr>
              <w:t>仁寿县民政局养老机构责任险</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420,000.00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仁寿县民政局养老机构责任险</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本项目按照统一的结算百分比报价，实际结算金额=单价限价*统一结算百分比*投保床位(如：供应商填报的百分比为90%，则保费标准为152 *90%=136.8元/床位/年)，供应商的报价百分比存在负数、超过百分之百或有多个报价(百分比)的情形，响应文件按无效响应处理。</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标的名称：仁寿县民政局养老机构责任险</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项目技术、商务及其他要求</w:t>
            </w:r>
          </w:p>
        </w:tc>
        <w:tc>
          <w:tcPr>
            <w:tcW w:type="dxa" w:w="5814"/>
          </w:tcPr>
          <w:p>
            <w:pPr>
              <w:pStyle w:val="null3"/>
              <w:ind w:firstLine="482"/>
              <w:jc w:val="both"/>
            </w:pPr>
            <w:r>
              <w:rPr>
                <w:rFonts w:ascii="仿宋_GB2312" w:hAnsi="仿宋_GB2312" w:cs="仿宋_GB2312" w:eastAsia="仿宋_GB2312"/>
                <w:sz w:val="24"/>
                <w:b/>
              </w:rPr>
              <w:t>★一、服务内容：</w:t>
            </w:r>
          </w:p>
          <w:p>
            <w:pPr>
              <w:pStyle w:val="null3"/>
              <w:ind w:firstLine="480"/>
              <w:jc w:val="both"/>
            </w:pPr>
            <w:r>
              <w:rPr>
                <w:rFonts w:ascii="仿宋_GB2312" w:hAnsi="仿宋_GB2312" w:cs="仿宋_GB2312" w:eastAsia="仿宋_GB2312"/>
                <w:sz w:val="24"/>
              </w:rPr>
              <w:t>（1）投保人：仁寿县辖区内养老机构；</w:t>
            </w:r>
          </w:p>
          <w:p>
            <w:pPr>
              <w:pStyle w:val="null3"/>
              <w:ind w:firstLine="480"/>
              <w:jc w:val="both"/>
            </w:pPr>
            <w:r>
              <w:rPr>
                <w:rFonts w:ascii="仿宋_GB2312" w:hAnsi="仿宋_GB2312" w:cs="仿宋_GB2312" w:eastAsia="仿宋_GB2312"/>
                <w:sz w:val="24"/>
              </w:rPr>
              <w:t>（2）被保险人：养老机构；</w:t>
            </w:r>
          </w:p>
          <w:p>
            <w:pPr>
              <w:pStyle w:val="null3"/>
              <w:ind w:firstLine="480"/>
              <w:jc w:val="both"/>
            </w:pPr>
            <w:r>
              <w:rPr>
                <w:rFonts w:ascii="仿宋_GB2312" w:hAnsi="仿宋_GB2312" w:cs="仿宋_GB2312" w:eastAsia="仿宋_GB2312"/>
                <w:sz w:val="24"/>
              </w:rPr>
              <w:t>（3）保险金额/赔偿限额/保费：</w:t>
            </w:r>
          </w:p>
          <w:tbl>
            <w:tblPr>
              <w:tblBorders>
                <w:top w:val="single"/>
                <w:left w:val="single"/>
                <w:bottom w:val="single"/>
                <w:right w:val="single"/>
                <w:insideH w:val="single"/>
                <w:insideV w:val="single"/>
              </w:tblBorders>
            </w:tblPr>
            <w:tblGrid>
              <w:gridCol w:w="1836"/>
              <w:gridCol w:w="3762"/>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保险项目</w:t>
                  </w:r>
                </w:p>
              </w:tc>
              <w:tc>
                <w:tcPr>
                  <w:tcW w:type="dxa" w:w="37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保额</w:t>
                  </w:r>
                </w:p>
              </w:tc>
            </w:tr>
            <w:tr>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累计赔偿限额</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1200</w:t>
                  </w:r>
                  <w:r>
                    <w:rPr>
                      <w:rFonts w:ascii="仿宋_GB2312" w:hAnsi="仿宋_GB2312" w:cs="仿宋_GB2312" w:eastAsia="仿宋_GB2312"/>
                      <w:sz w:val="24"/>
                    </w:rPr>
                    <w:t>万元</w:t>
                  </w:r>
                </w:p>
              </w:tc>
            </w:tr>
            <w:tr>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每次事故赔偿限额</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400</w:t>
                  </w:r>
                  <w:r>
                    <w:rPr>
                      <w:rFonts w:ascii="仿宋_GB2312" w:hAnsi="仿宋_GB2312" w:cs="仿宋_GB2312" w:eastAsia="仿宋_GB2312"/>
                      <w:sz w:val="24"/>
                    </w:rPr>
                    <w:t>万元</w:t>
                  </w:r>
                </w:p>
              </w:tc>
            </w:tr>
            <w:tr>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每次事故每人人身伤亡赔偿限额</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万元</w:t>
                  </w:r>
                </w:p>
              </w:tc>
            </w:tr>
            <w:tr>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医疗费用责任限额（每人）</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万元</w:t>
                  </w:r>
                </w:p>
              </w:tc>
            </w:tr>
            <w:tr>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紧急救援费用</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累计赔偿限额</w:t>
                  </w:r>
                  <w:r>
                    <w:rPr>
                      <w:rFonts w:ascii="仿宋_GB2312" w:hAnsi="仿宋_GB2312" w:cs="仿宋_GB2312" w:eastAsia="仿宋_GB2312"/>
                      <w:sz w:val="24"/>
                    </w:rPr>
                    <w:t>10</w:t>
                  </w:r>
                  <w:r>
                    <w:rPr>
                      <w:rFonts w:ascii="仿宋_GB2312" w:hAnsi="仿宋_GB2312" w:cs="仿宋_GB2312" w:eastAsia="仿宋_GB2312"/>
                      <w:sz w:val="24"/>
                    </w:rPr>
                    <w:t>万</w:t>
                  </w:r>
                </w:p>
                <w:p>
                  <w:pPr>
                    <w:pStyle w:val="null3"/>
                    <w:jc w:val="both"/>
                  </w:pPr>
                  <w:r>
                    <w:rPr>
                      <w:rFonts w:ascii="仿宋_GB2312" w:hAnsi="仿宋_GB2312" w:cs="仿宋_GB2312" w:eastAsia="仿宋_GB2312"/>
                      <w:sz w:val="24"/>
                    </w:rPr>
                    <w:t>每次事故赔偿限额</w:t>
                  </w:r>
                  <w:r>
                    <w:rPr>
                      <w:rFonts w:ascii="仿宋_GB2312" w:hAnsi="仿宋_GB2312" w:cs="仿宋_GB2312" w:eastAsia="仿宋_GB2312"/>
                      <w:sz w:val="24"/>
                    </w:rPr>
                    <w:t>5000</w:t>
                  </w:r>
                  <w:r>
                    <w:rPr>
                      <w:rFonts w:ascii="仿宋_GB2312" w:hAnsi="仿宋_GB2312" w:cs="仿宋_GB2312" w:eastAsia="仿宋_GB2312"/>
                      <w:sz w:val="24"/>
                    </w:rPr>
                    <w:t>元</w:t>
                  </w:r>
                </w:p>
              </w:tc>
            </w:tr>
            <w:tr>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法律费用</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累计赔偿限额</w:t>
                  </w:r>
                  <w:r>
                    <w:rPr>
                      <w:rFonts w:ascii="仿宋_GB2312" w:hAnsi="仿宋_GB2312" w:cs="仿宋_GB2312" w:eastAsia="仿宋_GB2312"/>
                      <w:sz w:val="24"/>
                    </w:rPr>
                    <w:t>50</w:t>
                  </w:r>
                  <w:r>
                    <w:rPr>
                      <w:rFonts w:ascii="仿宋_GB2312" w:hAnsi="仿宋_GB2312" w:cs="仿宋_GB2312" w:eastAsia="仿宋_GB2312"/>
                      <w:sz w:val="24"/>
                    </w:rPr>
                    <w:t>万</w:t>
                  </w:r>
                </w:p>
                <w:p>
                  <w:pPr>
                    <w:pStyle w:val="null3"/>
                    <w:jc w:val="both"/>
                  </w:pPr>
                  <w:r>
                    <w:rPr>
                      <w:rFonts w:ascii="仿宋_GB2312" w:hAnsi="仿宋_GB2312" w:cs="仿宋_GB2312" w:eastAsia="仿宋_GB2312"/>
                      <w:sz w:val="24"/>
                    </w:rPr>
                    <w:t>每次事故赔偿限额</w:t>
                  </w:r>
                  <w:r>
                    <w:rPr>
                      <w:rFonts w:ascii="仿宋_GB2312" w:hAnsi="仿宋_GB2312" w:cs="仿宋_GB2312" w:eastAsia="仿宋_GB2312"/>
                      <w:sz w:val="24"/>
                    </w:rPr>
                    <w:t>20</w:t>
                  </w:r>
                  <w:r>
                    <w:rPr>
                      <w:rFonts w:ascii="仿宋_GB2312" w:hAnsi="仿宋_GB2312" w:cs="仿宋_GB2312" w:eastAsia="仿宋_GB2312"/>
                      <w:sz w:val="24"/>
                    </w:rPr>
                    <w:t>万</w:t>
                  </w:r>
                </w:p>
              </w:tc>
            </w:tr>
            <w:tr>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第三者责任</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累计赔偿限额</w:t>
                  </w:r>
                  <w:r>
                    <w:rPr>
                      <w:rFonts w:ascii="仿宋_GB2312" w:hAnsi="仿宋_GB2312" w:cs="仿宋_GB2312" w:eastAsia="仿宋_GB2312"/>
                      <w:sz w:val="24"/>
                    </w:rPr>
                    <w:t>200</w:t>
                  </w:r>
                  <w:r>
                    <w:rPr>
                      <w:rFonts w:ascii="仿宋_GB2312" w:hAnsi="仿宋_GB2312" w:cs="仿宋_GB2312" w:eastAsia="仿宋_GB2312"/>
                      <w:sz w:val="24"/>
                    </w:rPr>
                    <w:t>万</w:t>
                  </w:r>
                </w:p>
                <w:p>
                  <w:pPr>
                    <w:pStyle w:val="null3"/>
                    <w:jc w:val="both"/>
                  </w:pPr>
                  <w:r>
                    <w:rPr>
                      <w:rFonts w:ascii="仿宋_GB2312" w:hAnsi="仿宋_GB2312" w:cs="仿宋_GB2312" w:eastAsia="仿宋_GB2312"/>
                      <w:sz w:val="24"/>
                    </w:rPr>
                    <w:t>每次事故赔偿限额</w:t>
                  </w:r>
                  <w:r>
                    <w:rPr>
                      <w:rFonts w:ascii="仿宋_GB2312" w:hAnsi="仿宋_GB2312" w:cs="仿宋_GB2312" w:eastAsia="仿宋_GB2312"/>
                      <w:sz w:val="24"/>
                    </w:rPr>
                    <w:t>100</w:t>
                  </w:r>
                  <w:r>
                    <w:rPr>
                      <w:rFonts w:ascii="仿宋_GB2312" w:hAnsi="仿宋_GB2312" w:cs="仿宋_GB2312" w:eastAsia="仿宋_GB2312"/>
                      <w:sz w:val="24"/>
                    </w:rPr>
                    <w:t>万</w:t>
                  </w:r>
                </w:p>
                <w:p>
                  <w:pPr>
                    <w:pStyle w:val="null3"/>
                    <w:jc w:val="both"/>
                  </w:pPr>
                  <w:r>
                    <w:rPr>
                      <w:rFonts w:ascii="仿宋_GB2312" w:hAnsi="仿宋_GB2312" w:cs="仿宋_GB2312" w:eastAsia="仿宋_GB2312"/>
                      <w:sz w:val="24"/>
                    </w:rPr>
                    <w:t>每次事故每人人身伤亡：</w:t>
                  </w:r>
                  <w:r>
                    <w:rPr>
                      <w:rFonts w:ascii="仿宋_GB2312" w:hAnsi="仿宋_GB2312" w:cs="仿宋_GB2312" w:eastAsia="仿宋_GB2312"/>
                      <w:sz w:val="24"/>
                    </w:rPr>
                    <w:t>10</w:t>
                  </w:r>
                  <w:r>
                    <w:rPr>
                      <w:rFonts w:ascii="仿宋_GB2312" w:hAnsi="仿宋_GB2312" w:cs="仿宋_GB2312" w:eastAsia="仿宋_GB2312"/>
                      <w:sz w:val="24"/>
                    </w:rPr>
                    <w:t>万（含医疗费用</w:t>
                  </w:r>
                  <w:r>
                    <w:rPr>
                      <w:rFonts w:ascii="仿宋_GB2312" w:hAnsi="仿宋_GB2312" w:cs="仿宋_GB2312" w:eastAsia="仿宋_GB2312"/>
                      <w:sz w:val="24"/>
                    </w:rPr>
                    <w:t>1</w:t>
                  </w:r>
                  <w:r>
                    <w:rPr>
                      <w:rFonts w:ascii="仿宋_GB2312" w:hAnsi="仿宋_GB2312" w:cs="仿宋_GB2312" w:eastAsia="仿宋_GB2312"/>
                      <w:sz w:val="24"/>
                    </w:rPr>
                    <w:t>万）</w:t>
                  </w:r>
                </w:p>
              </w:tc>
            </w:tr>
            <w:tr>
              <w:tc>
                <w:tcPr>
                  <w:tcW w:type="dxa" w:w="18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附加险</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附加预付赔款保险条款（</w:t>
                  </w:r>
                  <w:r>
                    <w:rPr>
                      <w:rFonts w:ascii="仿宋_GB2312" w:hAnsi="仿宋_GB2312" w:cs="仿宋_GB2312" w:eastAsia="仿宋_GB2312"/>
                      <w:sz w:val="24"/>
                    </w:rPr>
                    <w:t>20%</w:t>
                  </w:r>
                  <w:r>
                    <w:rPr>
                      <w:rFonts w:ascii="仿宋_GB2312" w:hAnsi="仿宋_GB2312" w:cs="仿宋_GB2312" w:eastAsia="仿宋_GB2312"/>
                      <w:sz w:val="24"/>
                    </w:rPr>
                    <w:t>起）</w:t>
                  </w:r>
                </w:p>
              </w:tc>
            </w:tr>
            <w:tr>
              <w:tc>
                <w:tcPr>
                  <w:tcW w:type="dxa" w:w="1836"/>
                  <w:vMerge/>
                  <w:tcBorders>
                    <w:top w:val="none" w:color="000000" w:sz="4"/>
                    <w:left w:val="single" w:color="000000" w:sz="4"/>
                    <w:bottom w:val="single" w:color="000000" w:sz="4"/>
                    <w:right w:val="single" w:color="000000" w:sz="4"/>
                  </w:tcBorders>
                </w:tcP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附加放弃代位追偿权保险条款</w:t>
                  </w:r>
                </w:p>
              </w:tc>
            </w:tr>
            <w:tr>
              <w:tc>
                <w:tcPr>
                  <w:tcW w:type="dxa" w:w="1836"/>
                  <w:vMerge/>
                  <w:tcBorders>
                    <w:top w:val="none" w:color="000000" w:sz="4"/>
                    <w:left w:val="single" w:color="000000" w:sz="4"/>
                    <w:bottom w:val="single" w:color="000000" w:sz="4"/>
                    <w:right w:val="single" w:color="000000" w:sz="4"/>
                  </w:tcBorders>
                </w:tcP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附加</w:t>
                  </w:r>
                  <w:r>
                    <w:rPr>
                      <w:rFonts w:ascii="仿宋_GB2312" w:hAnsi="仿宋_GB2312" w:cs="仿宋_GB2312" w:eastAsia="仿宋_GB2312"/>
                      <w:sz w:val="24"/>
                    </w:rPr>
                    <w:t>渗漏和污染保险责任：因保险期间内突然的、非故意的何不可预料的意外事件导致的渗漏及污染引发的被保险人的经济赔偿责任</w:t>
                  </w:r>
                  <w:r>
                    <w:rPr>
                      <w:rFonts w:ascii="仿宋_GB2312" w:hAnsi="仿宋_GB2312" w:cs="仿宋_GB2312" w:eastAsia="仿宋_GB2312"/>
                      <w:sz w:val="24"/>
                    </w:rPr>
                    <w:t>（累计限额</w:t>
                  </w:r>
                  <w:r>
                    <w:rPr>
                      <w:rFonts w:ascii="仿宋_GB2312" w:hAnsi="仿宋_GB2312" w:cs="仿宋_GB2312" w:eastAsia="仿宋_GB2312"/>
                      <w:sz w:val="24"/>
                    </w:rPr>
                    <w:t>1200</w:t>
                  </w:r>
                  <w:r>
                    <w:rPr>
                      <w:rFonts w:ascii="仿宋_GB2312" w:hAnsi="仿宋_GB2312" w:cs="仿宋_GB2312" w:eastAsia="仿宋_GB2312"/>
                      <w:sz w:val="24"/>
                    </w:rPr>
                    <w:t>万，每次事故赔偿限额</w:t>
                  </w:r>
                  <w:r>
                    <w:rPr>
                      <w:rFonts w:ascii="仿宋_GB2312" w:hAnsi="仿宋_GB2312" w:cs="仿宋_GB2312" w:eastAsia="仿宋_GB2312"/>
                      <w:sz w:val="24"/>
                    </w:rPr>
                    <w:t>400</w:t>
                  </w:r>
                  <w:r>
                    <w:rPr>
                      <w:rFonts w:ascii="仿宋_GB2312" w:hAnsi="仿宋_GB2312" w:cs="仿宋_GB2312" w:eastAsia="仿宋_GB2312"/>
                      <w:sz w:val="24"/>
                    </w:rPr>
                    <w:t>万，每次事故每人人身伤亡赔偿限额</w:t>
                  </w:r>
                  <w:r>
                    <w:rPr>
                      <w:rFonts w:ascii="仿宋_GB2312" w:hAnsi="仿宋_GB2312" w:cs="仿宋_GB2312" w:eastAsia="仿宋_GB2312"/>
                      <w:sz w:val="24"/>
                    </w:rPr>
                    <w:t>20</w:t>
                  </w:r>
                  <w:r>
                    <w:rPr>
                      <w:rFonts w:ascii="仿宋_GB2312" w:hAnsi="仿宋_GB2312" w:cs="仿宋_GB2312" w:eastAsia="仿宋_GB2312"/>
                      <w:sz w:val="24"/>
                    </w:rPr>
                    <w:t>万，医疗费用责任每人</w:t>
                  </w:r>
                  <w:r>
                    <w:rPr>
                      <w:rFonts w:ascii="仿宋_GB2312" w:hAnsi="仿宋_GB2312" w:cs="仿宋_GB2312" w:eastAsia="仿宋_GB2312"/>
                      <w:sz w:val="24"/>
                    </w:rPr>
                    <w:t>3</w:t>
                  </w:r>
                  <w:r>
                    <w:rPr>
                      <w:rFonts w:ascii="仿宋_GB2312" w:hAnsi="仿宋_GB2312" w:cs="仿宋_GB2312" w:eastAsia="仿宋_GB2312"/>
                      <w:sz w:val="24"/>
                    </w:rPr>
                    <w:t>万）</w:t>
                  </w:r>
                </w:p>
              </w:tc>
            </w:tr>
            <w:tr>
              <w:tc>
                <w:tcPr>
                  <w:tcW w:type="dxa" w:w="1836"/>
                  <w:vMerge/>
                  <w:tcBorders>
                    <w:top w:val="none" w:color="000000" w:sz="4"/>
                    <w:left w:val="single" w:color="000000" w:sz="4"/>
                    <w:bottom w:val="single" w:color="000000" w:sz="4"/>
                    <w:right w:val="single" w:color="000000" w:sz="4"/>
                  </w:tcBorders>
                </w:tcP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附加罢工、暴乱、民众骚乱或恶意破坏责任保险条款（累计限额</w:t>
                  </w:r>
                  <w:r>
                    <w:rPr>
                      <w:rFonts w:ascii="仿宋_GB2312" w:hAnsi="仿宋_GB2312" w:cs="仿宋_GB2312" w:eastAsia="仿宋_GB2312"/>
                      <w:sz w:val="24"/>
                    </w:rPr>
                    <w:t>1200</w:t>
                  </w:r>
                  <w:r>
                    <w:rPr>
                      <w:rFonts w:ascii="仿宋_GB2312" w:hAnsi="仿宋_GB2312" w:cs="仿宋_GB2312" w:eastAsia="仿宋_GB2312"/>
                      <w:sz w:val="24"/>
                    </w:rPr>
                    <w:t>万，每次事故赔偿限额</w:t>
                  </w:r>
                  <w:r>
                    <w:rPr>
                      <w:rFonts w:ascii="仿宋_GB2312" w:hAnsi="仿宋_GB2312" w:cs="仿宋_GB2312" w:eastAsia="仿宋_GB2312"/>
                      <w:sz w:val="24"/>
                    </w:rPr>
                    <w:t>400</w:t>
                  </w:r>
                  <w:r>
                    <w:rPr>
                      <w:rFonts w:ascii="仿宋_GB2312" w:hAnsi="仿宋_GB2312" w:cs="仿宋_GB2312" w:eastAsia="仿宋_GB2312"/>
                      <w:sz w:val="24"/>
                    </w:rPr>
                    <w:t>万，每次事故每人人身伤亡赔偿限额</w:t>
                  </w:r>
                  <w:r>
                    <w:rPr>
                      <w:rFonts w:ascii="仿宋_GB2312" w:hAnsi="仿宋_GB2312" w:cs="仿宋_GB2312" w:eastAsia="仿宋_GB2312"/>
                      <w:sz w:val="24"/>
                    </w:rPr>
                    <w:t>20</w:t>
                  </w:r>
                  <w:r>
                    <w:rPr>
                      <w:rFonts w:ascii="仿宋_GB2312" w:hAnsi="仿宋_GB2312" w:cs="仿宋_GB2312" w:eastAsia="仿宋_GB2312"/>
                      <w:sz w:val="24"/>
                    </w:rPr>
                    <w:t>万，医疗费用责任每人</w:t>
                  </w:r>
                  <w:r>
                    <w:rPr>
                      <w:rFonts w:ascii="仿宋_GB2312" w:hAnsi="仿宋_GB2312" w:cs="仿宋_GB2312" w:eastAsia="仿宋_GB2312"/>
                      <w:sz w:val="24"/>
                    </w:rPr>
                    <w:t>3</w:t>
                  </w:r>
                  <w:r>
                    <w:rPr>
                      <w:rFonts w:ascii="仿宋_GB2312" w:hAnsi="仿宋_GB2312" w:cs="仿宋_GB2312" w:eastAsia="仿宋_GB2312"/>
                      <w:sz w:val="24"/>
                    </w:rPr>
                    <w:t>万）</w:t>
                  </w:r>
                </w:p>
              </w:tc>
            </w:tr>
            <w:tr>
              <w:tc>
                <w:tcPr>
                  <w:tcW w:type="dxa" w:w="1836"/>
                  <w:vMerge/>
                  <w:tcBorders>
                    <w:top w:val="none" w:color="000000" w:sz="4"/>
                    <w:left w:val="single" w:color="000000" w:sz="4"/>
                    <w:bottom w:val="single" w:color="000000" w:sz="4"/>
                    <w:right w:val="single" w:color="000000" w:sz="4"/>
                  </w:tcBorders>
                </w:tcP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附加电梯责任保险条款（累计限额</w:t>
                  </w:r>
                  <w:r>
                    <w:rPr>
                      <w:rFonts w:ascii="仿宋_GB2312" w:hAnsi="仿宋_GB2312" w:cs="仿宋_GB2312" w:eastAsia="仿宋_GB2312"/>
                      <w:sz w:val="24"/>
                    </w:rPr>
                    <w:t>1200</w:t>
                  </w:r>
                  <w:r>
                    <w:rPr>
                      <w:rFonts w:ascii="仿宋_GB2312" w:hAnsi="仿宋_GB2312" w:cs="仿宋_GB2312" w:eastAsia="仿宋_GB2312"/>
                      <w:sz w:val="24"/>
                    </w:rPr>
                    <w:t>万，每次事故赔偿限额</w:t>
                  </w:r>
                  <w:r>
                    <w:rPr>
                      <w:rFonts w:ascii="仿宋_GB2312" w:hAnsi="仿宋_GB2312" w:cs="仿宋_GB2312" w:eastAsia="仿宋_GB2312"/>
                      <w:sz w:val="24"/>
                    </w:rPr>
                    <w:t>400</w:t>
                  </w:r>
                  <w:r>
                    <w:rPr>
                      <w:rFonts w:ascii="仿宋_GB2312" w:hAnsi="仿宋_GB2312" w:cs="仿宋_GB2312" w:eastAsia="仿宋_GB2312"/>
                      <w:sz w:val="24"/>
                    </w:rPr>
                    <w:t>万，每次事故每人人身伤亡赔偿限额</w:t>
                  </w:r>
                  <w:r>
                    <w:rPr>
                      <w:rFonts w:ascii="仿宋_GB2312" w:hAnsi="仿宋_GB2312" w:cs="仿宋_GB2312" w:eastAsia="仿宋_GB2312"/>
                      <w:sz w:val="24"/>
                    </w:rPr>
                    <w:t>20</w:t>
                  </w:r>
                  <w:r>
                    <w:rPr>
                      <w:rFonts w:ascii="仿宋_GB2312" w:hAnsi="仿宋_GB2312" w:cs="仿宋_GB2312" w:eastAsia="仿宋_GB2312"/>
                      <w:sz w:val="24"/>
                    </w:rPr>
                    <w:t>万，医疗费用责任每人</w:t>
                  </w:r>
                  <w:r>
                    <w:rPr>
                      <w:rFonts w:ascii="仿宋_GB2312" w:hAnsi="仿宋_GB2312" w:cs="仿宋_GB2312" w:eastAsia="仿宋_GB2312"/>
                      <w:sz w:val="24"/>
                    </w:rPr>
                    <w:t>3</w:t>
                  </w:r>
                  <w:r>
                    <w:rPr>
                      <w:rFonts w:ascii="仿宋_GB2312" w:hAnsi="仿宋_GB2312" w:cs="仿宋_GB2312" w:eastAsia="仿宋_GB2312"/>
                      <w:sz w:val="24"/>
                    </w:rPr>
                    <w:t>万）</w:t>
                  </w:r>
                </w:p>
              </w:tc>
            </w:tr>
          </w:tbl>
          <w:p>
            <w:pPr>
              <w:pStyle w:val="null3"/>
              <w:ind w:firstLine="480"/>
              <w:jc w:val="both"/>
            </w:pPr>
            <w:r>
              <w:rPr>
                <w:rFonts w:ascii="仿宋_GB2312" w:hAnsi="仿宋_GB2312" w:cs="仿宋_GB2312" w:eastAsia="仿宋_GB2312"/>
                <w:sz w:val="24"/>
              </w:rPr>
              <w:t>（4）保险期限：1年；</w:t>
            </w:r>
          </w:p>
          <w:p>
            <w:pPr>
              <w:pStyle w:val="null3"/>
              <w:ind w:firstLine="480"/>
              <w:jc w:val="both"/>
            </w:pPr>
            <w:r>
              <w:rPr>
                <w:rFonts w:ascii="仿宋_GB2312" w:hAnsi="仿宋_GB2312" w:cs="仿宋_GB2312" w:eastAsia="仿宋_GB2312"/>
                <w:sz w:val="24"/>
              </w:rPr>
              <w:t>（5）每次事故绝对免赔额：</w:t>
            </w:r>
          </w:p>
          <w:p>
            <w:pPr>
              <w:pStyle w:val="null3"/>
              <w:ind w:firstLine="480"/>
              <w:jc w:val="both"/>
            </w:pPr>
            <w:r>
              <w:rPr>
                <w:rFonts w:ascii="仿宋_GB2312" w:hAnsi="仿宋_GB2312" w:cs="仿宋_GB2312" w:eastAsia="仿宋_GB2312"/>
                <w:sz w:val="24"/>
              </w:rPr>
              <w:t>医疗部分：每次事故每人医疗费用，在被保险人依法应承担且符合国家基本医疗保险报销标准的医疗费用基础上，扣除绝对免额人民币100元以后按照90%的比例在相应责任限额内给予赔付；</w:t>
            </w:r>
          </w:p>
          <w:p>
            <w:pPr>
              <w:pStyle w:val="null3"/>
              <w:ind w:firstLine="480"/>
              <w:jc w:val="both"/>
            </w:pPr>
            <w:r>
              <w:rPr>
                <w:rFonts w:ascii="仿宋_GB2312" w:hAnsi="仿宋_GB2312" w:cs="仿宋_GB2312" w:eastAsia="仿宋_GB2312"/>
                <w:sz w:val="24"/>
              </w:rPr>
              <w:t>（6）保费：420000.00元（最高限价）；标准：152元/床位/年（单价最高限价）。</w:t>
            </w:r>
          </w:p>
          <w:p>
            <w:pPr>
              <w:pStyle w:val="null3"/>
              <w:ind w:firstLine="480"/>
              <w:jc w:val="both"/>
            </w:pPr>
            <w:r>
              <w:rPr>
                <w:rFonts w:ascii="仿宋_GB2312" w:hAnsi="仿宋_GB2312" w:cs="仿宋_GB2312" w:eastAsia="仿宋_GB2312"/>
                <w:sz w:val="24"/>
              </w:rPr>
              <w:t>（7）基本条款/保险责任：</w:t>
            </w:r>
          </w:p>
          <w:p>
            <w:pPr>
              <w:pStyle w:val="null3"/>
              <w:ind w:firstLine="480"/>
              <w:jc w:val="both"/>
            </w:pPr>
            <w:r>
              <w:rPr>
                <w:rFonts w:ascii="仿宋_GB2312" w:hAnsi="仿宋_GB2312" w:cs="仿宋_GB2312" w:eastAsia="仿宋_GB2312"/>
                <w:sz w:val="24"/>
              </w:rPr>
              <w:t>本次投保床位以实际为准；如果在服务期内，养老服务中心因撤并不再运营等实际情况，按照成交单价核减金额，并根据最终的投保床位据实结算金额。</w:t>
            </w:r>
          </w:p>
          <w:p>
            <w:pPr>
              <w:pStyle w:val="null3"/>
              <w:ind w:firstLine="480"/>
              <w:jc w:val="both"/>
            </w:pPr>
            <w:r>
              <w:rPr>
                <w:rFonts w:ascii="仿宋_GB2312" w:hAnsi="仿宋_GB2312" w:cs="仿宋_GB2312" w:eastAsia="仿宋_GB2312"/>
                <w:sz w:val="24"/>
              </w:rPr>
              <w:t>①在保险期间内，被保险人在保险合同载明的承保区域范围内提供养老服务时发生意外事故,造成养护对象及其他第三者的人身伤亡或直接财产损失，依照中华人民共和国法律(不包括港澳台地区法律)应由被保险人承担的经济赔偿责任，保险人按照保险合同约定负责赔偿。</w:t>
            </w:r>
          </w:p>
          <w:p>
            <w:pPr>
              <w:pStyle w:val="null3"/>
              <w:ind w:firstLine="480"/>
              <w:jc w:val="both"/>
            </w:pPr>
            <w:r>
              <w:rPr>
                <w:rFonts w:ascii="仿宋_GB2312" w:hAnsi="仿宋_GB2312" w:cs="仿宋_GB2312" w:eastAsia="仿宋_GB2312"/>
                <w:sz w:val="24"/>
              </w:rPr>
              <w:t>②保险事故发生后，被保险人因保险事故而被提起仲裁或者诉讼的，对应由被保险人支付的仲裁或诉讼费用以及事先经保险人书面同意支付的其他必要的、合理的费用(以下简称“法律费用”)，保险人按照保险合同约定负责赔偿。</w:t>
            </w:r>
          </w:p>
          <w:p>
            <w:pPr>
              <w:pStyle w:val="null3"/>
              <w:ind w:firstLine="480"/>
              <w:jc w:val="both"/>
            </w:pPr>
            <w:r>
              <w:rPr>
                <w:rFonts w:ascii="仿宋_GB2312" w:hAnsi="仿宋_GB2312" w:cs="仿宋_GB2312" w:eastAsia="仿宋_GB2312"/>
                <w:sz w:val="24"/>
              </w:rPr>
              <w:t>（8）司法管辖：中华人民共和国司法管辖(港、澳、台除外)。</w:t>
            </w:r>
          </w:p>
          <w:p>
            <w:pPr>
              <w:pStyle w:val="null3"/>
              <w:ind w:firstLine="480"/>
              <w:jc w:val="both"/>
            </w:pPr>
            <w:r>
              <w:rPr>
                <w:rFonts w:ascii="仿宋_GB2312" w:hAnsi="仿宋_GB2312" w:cs="仿宋_GB2312" w:eastAsia="仿宋_GB2312"/>
                <w:sz w:val="24"/>
              </w:rPr>
              <w:t>（9）特别约定：</w:t>
            </w:r>
          </w:p>
          <w:p>
            <w:pPr>
              <w:pStyle w:val="null3"/>
              <w:ind w:firstLine="480"/>
              <w:jc w:val="both"/>
            </w:pPr>
            <w:r>
              <w:rPr>
                <w:rFonts w:ascii="仿宋_GB2312" w:hAnsi="仿宋_GB2312" w:cs="仿宋_GB2312" w:eastAsia="仿宋_GB2312"/>
                <w:sz w:val="24"/>
              </w:rPr>
              <w:t>①本保单累计赔偿限额1200万元，每次事故赔偿限额400万元，每次事故每人人身伤亡赔偿限额20万元，每人医疗费用赔偿限额3万元。</w:t>
            </w:r>
          </w:p>
          <w:p>
            <w:pPr>
              <w:pStyle w:val="null3"/>
              <w:ind w:firstLine="480"/>
              <w:jc w:val="both"/>
            </w:pPr>
            <w:r>
              <w:rPr>
                <w:rFonts w:ascii="仿宋_GB2312" w:hAnsi="仿宋_GB2312" w:cs="仿宋_GB2312" w:eastAsia="仿宋_GB2312"/>
                <w:sz w:val="24"/>
              </w:rPr>
              <w:t>②每次事故每人医疗费用，在被保险人依法应承担且符合国家基本医疗保险报销标准的医疗费用基础上，扣除绝对免额人民币100元以后按照90%的比例在相应责任限额内给予赔付。</w:t>
            </w:r>
          </w:p>
          <w:p>
            <w:pPr>
              <w:pStyle w:val="null3"/>
              <w:ind w:firstLine="480"/>
              <w:jc w:val="both"/>
            </w:pPr>
            <w:r>
              <w:rPr>
                <w:rFonts w:ascii="仿宋_GB2312" w:hAnsi="仿宋_GB2312" w:cs="仿宋_GB2312" w:eastAsia="仿宋_GB2312"/>
                <w:sz w:val="24"/>
              </w:rPr>
              <w:t>③人身死亡、伤残无免赔。</w:t>
            </w:r>
          </w:p>
          <w:p>
            <w:pPr>
              <w:pStyle w:val="null3"/>
              <w:ind w:firstLine="480"/>
              <w:jc w:val="both"/>
            </w:pPr>
            <w:r>
              <w:rPr>
                <w:rFonts w:ascii="仿宋_GB2312" w:hAnsi="仿宋_GB2312" w:cs="仿宋_GB2312" w:eastAsia="仿宋_GB2312"/>
                <w:sz w:val="24"/>
              </w:rPr>
              <w:t>④附加电梯保险责任、附加渗漏和污染保险责任、附加罢工、暴乱、民众骚乱或恶意破坏责任保险责任。</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二、养老机构服务清单：</w:t>
            </w:r>
          </w:p>
          <w:tbl>
            <w:tblPr>
              <w:tblInd w:type="dxa" w:w="135"/>
              <w:tblBorders>
                <w:top w:val="single"/>
                <w:left w:val="single"/>
                <w:bottom w:val="single"/>
                <w:right w:val="single"/>
                <w:insideH w:val="single"/>
                <w:insideV w:val="single"/>
              </w:tblBorders>
            </w:tblPr>
            <w:tblGrid>
              <w:gridCol w:w="646"/>
              <w:gridCol w:w="3068"/>
              <w:gridCol w:w="1561"/>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30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机构名称</w:t>
                  </w:r>
                </w:p>
              </w:tc>
              <w:tc>
                <w:tcPr>
                  <w:tcW w:type="dxa" w:w="15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仁寿县慈航镇养老服务中心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2</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仁寿县始建镇养老服务中心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3</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仁寿县黑龙滩镇养老服务中心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4</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仁寿县谢安镇养老服务中心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5</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仁寿县彰加镇养老服务中心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6</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仁寿县彰加镇促进养老服务中心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7</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仁寿县钟祥镇养老服务中心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8</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仁寿县钟祥镇合兴养老服务中心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9</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仁寿县宝飞镇养老服务中心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10</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仁寿县富加镇养老服务中心（县级失能老年养护院）</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11</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仁寿县富加镇玉龙养老服务中心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12</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仁寿县大化镇养老服务中心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13</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仁寿县怀仁街道养老服务中心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14</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仁寿县龙正镇养老服务中心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15</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仁寿县文宫镇养老服务中心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16</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仁寿县藕塘镇农旺养老服务中心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17</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仁寿县禾加镇双堡养老服务中心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18</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仁寿县满井镇养老服务中心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19</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仁寿县珠嘉镇养老服务中心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20</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仁寿县汪洋镇养老服务中心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21</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仁寿县汪洋镇四公养老服务中心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22</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仁寿县曹家镇养老服务中心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23</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仁寿县禄加镇养老服务中心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24</w:t>
                  </w:r>
                </w:p>
              </w:tc>
              <w:tc>
                <w:tcPr>
                  <w:tcW w:type="dxa" w:w="30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仁寿县新店镇养老服务中心</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bl>
          <w:p>
            <w:pPr>
              <w:pStyle w:val="null3"/>
              <w:spacing w:after="120"/>
              <w:jc w:val="both"/>
            </w:pPr>
            <w:r>
              <w:rPr>
                <w:rFonts w:ascii="仿宋_GB2312" w:hAnsi="仿宋_GB2312" w:cs="仿宋_GB2312" w:eastAsia="仿宋_GB2312"/>
                <w:sz w:val="24"/>
                <w:b/>
              </w:rPr>
              <w:t>★</w:t>
            </w:r>
            <w:r>
              <w:rPr>
                <w:rFonts w:ascii="仿宋_GB2312" w:hAnsi="仿宋_GB2312" w:cs="仿宋_GB2312" w:eastAsia="仿宋_GB2312"/>
                <w:sz w:val="24"/>
                <w:b/>
              </w:rPr>
              <w:t>三、商务要求：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、服务期限：</w:t>
            </w:r>
            <w:r>
              <w:rPr>
                <w:rFonts w:ascii="仿宋_GB2312" w:hAnsi="仿宋_GB2312" w:cs="仿宋_GB2312" w:eastAsia="仿宋_GB2312"/>
                <w:sz w:val="24"/>
              </w:rPr>
              <w:t>自合同签订之日起365日历天。</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、服务地点：仁寿县。</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、付款方式：</w:t>
            </w:r>
            <w:r>
              <w:rPr>
                <w:rFonts w:ascii="仿宋_GB2312" w:hAnsi="仿宋_GB2312" w:cs="仿宋_GB2312" w:eastAsia="仿宋_GB2312"/>
                <w:sz w:val="24"/>
              </w:rPr>
              <w:t>合同签订后，达到付款条件起15日内，支付合同总金额的50.00%，项目执行完毕并验收完成后在30日内按实际购买保险床位支付合同价款，达到付款条件起30日内，支付合同总金额的50.00%；采购人付款前，成交供应商须按采购人要求提供对应的合规增值税发票等相关票据凭证资料，否则采购人有权顺延付款时间且不承担违约责任。若供应商未能及时、准确出具相关资料造成采购人损失的，一应损失由供应商全额承担赔偿责任。</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、报价要求：</w:t>
            </w:r>
          </w:p>
          <w:p>
            <w:pPr>
              <w:pStyle w:val="null3"/>
              <w:ind w:firstLine="480"/>
              <w:jc w:val="both"/>
            </w:pPr>
            <w:r>
              <w:rPr>
                <w:rFonts w:ascii="仿宋_GB2312" w:hAnsi="仿宋_GB2312" w:cs="仿宋_GB2312" w:eastAsia="仿宋_GB2312"/>
                <w:sz w:val="24"/>
              </w:rPr>
              <w:t>（1）本项目按照统一的结算百分比报价，实际结算金额=单价限价*统一结算百分比*投保床位(如：供应商填报的百分比为90%，则保费标准为152 *90%=136.8元/床位/年)，供应商的报价百分比存在负数、超过百分之百或有多个报价(百分比)的情形，响应文件按无效响应处理。本项目结算金额按照实际投保床位及成交单价（单价最高限价*报价结算百分比）据实结算，最终结算总金额不超过42.00万元。单价按百分比计算后四舍五入保留两位小数。</w:t>
            </w:r>
          </w:p>
          <w:p>
            <w:pPr>
              <w:pStyle w:val="null3"/>
              <w:ind w:firstLine="480"/>
              <w:jc w:val="both"/>
            </w:pPr>
            <w:r>
              <w:rPr>
                <w:rFonts w:ascii="仿宋_GB2312" w:hAnsi="仿宋_GB2312" w:cs="仿宋_GB2312" w:eastAsia="仿宋_GB2312"/>
                <w:sz w:val="24"/>
              </w:rPr>
              <w:t>（2）供应商的报价是响应本项目全部工作内容的价格体现，是最终验收合格后的价格，包括但不限于人工劳务、设备投入、差旅、利润、保险、风险、税金、后期服务（如有）及完成本项目所需的一切费用和磋商文件规定的其它费用。供应商应根据本项目的实际情况与自身现实情况，充分考虑不确定因素可能导致的风险，若因供应商原因造成的漏报、错报而导致本项目无法履行，所有责任均由供应商负责，采购人不会承担任何费用。</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、安全责任：</w:t>
            </w:r>
            <w:r>
              <w:rPr>
                <w:rFonts w:ascii="仿宋_GB2312" w:hAnsi="仿宋_GB2312" w:cs="仿宋_GB2312" w:eastAsia="仿宋_GB2312"/>
                <w:sz w:val="24"/>
              </w:rPr>
              <w:t>供应商须按有关规定采取严格的项目实施安全措施，承担由于自身安全措施不力造成的事故责任和因此发生的费用及后果。成交供应商投入本项目工作人员的人身安全由成交供应商负责。成交供应商应为本项目工作人员购买人身意外伤害险及与项目实施有关的一切保险。凡在项目实施过程中由于供应商原因发生安全责任事故或其他责任事故，均由成交供应商承担全部民事和刑事责任，采购人概不负责。如因项目质量问题及更换不及时造成的人身伤害成交供应商应依法承担全部责任。</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、后续服务要求：</w:t>
            </w:r>
          </w:p>
          <w:p>
            <w:pPr>
              <w:pStyle w:val="null3"/>
              <w:ind w:firstLine="480"/>
              <w:jc w:val="both"/>
            </w:pPr>
            <w:r>
              <w:rPr>
                <w:rFonts w:ascii="仿宋_GB2312" w:hAnsi="仿宋_GB2312" w:cs="仿宋_GB2312" w:eastAsia="仿宋_GB2312"/>
                <w:sz w:val="24"/>
              </w:rPr>
              <w:t>（1）在服务期限内供应商应就本项目提供咨询、技术支持等服务；</w:t>
            </w:r>
          </w:p>
          <w:p>
            <w:pPr>
              <w:pStyle w:val="null3"/>
              <w:ind w:firstLine="480"/>
              <w:jc w:val="both"/>
            </w:pPr>
            <w:r>
              <w:rPr>
                <w:rFonts w:ascii="仿宋_GB2312" w:hAnsi="仿宋_GB2312" w:cs="仿宋_GB2312" w:eastAsia="仿宋_GB2312"/>
                <w:sz w:val="24"/>
              </w:rPr>
              <w:t>（2）服务期限内出现问题，供应商必须即时响应，并在采购人要求合理时限内到达现场，并在采购人要求的合理时限内解决问题，现场解决不了的采取补救措施，以保证采购人的正常工作需求，成交供应商不得以任何理由影响正常使用。</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、本项目不组织现场勘查，但供应商应根据工作实际，自行组织现场勘察，综合考虑后进行报价。</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、在合同期间所有人员的工资、保险、酬金、人身安全、纠纷、安全责任事故、劳动合同纠纷等均由成交供应商自行负责，情节严重的，追究相应责任，并按相关国家法律法规处理。</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保密要求：成交供应商在项目实施过程中，必须严格遵守采购人的相关管理制度，并按照其要求签订保密协议。对有泄密、不遵守保密工作纪律等不法行为由此造成的一切后果及法律责任由成交人承担。成交人在提供服务过程中，获得或者产生的与本项目有关的包括但不限于资料、信息、材料等一切文本、数据等项目成果产权归采购人所有，在未经采购人书面许可的情况下，不得对上述任何信息进行整理、分析及披露或者授权第三方使用，否则，采购人保留追究成交人经济和法律责任的权利。</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、验收标准：</w:t>
            </w:r>
            <w:r>
              <w:rPr>
                <w:rFonts w:ascii="仿宋_GB2312" w:hAnsi="仿宋_GB2312" w:cs="仿宋_GB2312" w:eastAsia="仿宋_GB2312"/>
                <w:sz w:val="24"/>
              </w:rPr>
              <w:t>严格参照政府采购相关法律法规以及《财政部关于进一步加强政府采购需求和履约验收管理的指导意见》（财库〔</w:t>
            </w:r>
            <w:r>
              <w:rPr>
                <w:rFonts w:ascii="仿宋_GB2312" w:hAnsi="仿宋_GB2312" w:cs="仿宋_GB2312" w:eastAsia="仿宋_GB2312"/>
                <w:sz w:val="24"/>
              </w:rPr>
              <w:t>2016</w:t>
            </w:r>
            <w:r>
              <w:rPr>
                <w:rFonts w:ascii="仿宋_GB2312" w:hAnsi="仿宋_GB2312" w:cs="仿宋_GB2312" w:eastAsia="仿宋_GB2312"/>
                <w:sz w:val="24"/>
              </w:rPr>
              <w:t>〕</w:t>
            </w:r>
            <w:r>
              <w:rPr>
                <w:rFonts w:ascii="仿宋_GB2312" w:hAnsi="仿宋_GB2312" w:cs="仿宋_GB2312" w:eastAsia="仿宋_GB2312"/>
                <w:sz w:val="24"/>
              </w:rPr>
              <w:t>205</w:t>
            </w:r>
            <w:r>
              <w:rPr>
                <w:rFonts w:ascii="仿宋_GB2312" w:hAnsi="仿宋_GB2312" w:cs="仿宋_GB2312" w:eastAsia="仿宋_GB2312"/>
                <w:sz w:val="24"/>
              </w:rPr>
              <w:t>号）和采购文件规定的要求及响应文件、合同承诺的内容进行验收。</w:t>
            </w:r>
          </w:p>
          <w:p>
            <w:pPr>
              <w:pStyle w:val="null3"/>
              <w:ind w:firstLine="482"/>
              <w:jc w:val="both"/>
            </w:pPr>
            <w:r>
              <w:rPr>
                <w:rFonts w:ascii="仿宋_GB2312" w:hAnsi="仿宋_GB2312" w:cs="仿宋_GB2312" w:eastAsia="仿宋_GB2312"/>
                <w:sz w:val="24"/>
                <w:b/>
              </w:rPr>
              <w:t>四、项目整体服务方案：</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、供应商提供的项目承保服务方案，包含：</w:t>
            </w:r>
            <w:r>
              <w:rPr>
                <w:rFonts w:ascii="仿宋_GB2312" w:hAnsi="仿宋_GB2312" w:cs="仿宋_GB2312" w:eastAsia="仿宋_GB2312"/>
                <w:sz w:val="24"/>
              </w:rPr>
              <w:t>①承保服务内容；②服务团队人员配置；③承保流程；④档案管理及承保信息查询，⑤承保管理方案。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、供应商提供的项目理赔服务方案，包含：</w:t>
            </w:r>
            <w:r>
              <w:rPr>
                <w:rFonts w:ascii="仿宋_GB2312" w:hAnsi="仿宋_GB2312" w:cs="仿宋_GB2312" w:eastAsia="仿宋_GB2312"/>
                <w:sz w:val="24"/>
              </w:rPr>
              <w:t>①理赔流程；②理赔服务措施；③理赔服务时效；④赔偿能力分析；⑤理赔资料的收集。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仁寿县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严格参照政府采购相关法律法规以及《财政部关于进一步加强政府采购需求和履约验收管理的指导意见》（财库〔2016〕205号）和采购文件规定的要求及响应文件、合同承诺的内容进行验收。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1、合同签订后，达到付款条件起15日内，支付合同总金额的50.00%</w:t>
            </w:r>
          </w:p>
          <w:p>
            <w:pPr>
              <w:pStyle w:val="null3"/>
              <w:jc w:val="left"/>
            </w:pPr>
            <w:r>
              <w:rPr>
                <w:rFonts w:ascii="仿宋_GB2312" w:hAnsi="仿宋_GB2312" w:cs="仿宋_GB2312" w:eastAsia="仿宋_GB2312"/>
              </w:rPr>
              <w:t>2、项目执行完毕并验收完成后在30日内按实际购买保险床位支付合同价款，达到付款条件起30日内，支付合同总金额的50.00%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1.采购人与供应商双方必须遵守合同并执行合同中的各项规定，保证合同的正常履行，如有违约，将赔偿因违约给对方造成的直接经济损失。 2.如因供应商工作人员在履行职务过程中的疏忽、失职、过错等故意或者过失原因给采购人造成损失或侵害，包括但不限于采购方本身的财产损失、由此而导致的采购方对任何第三方的法律责任等，供应商对此均应承担全部的赔偿等责任。 3.合同履行期间,若双方发生争议，可协商或由有关部门调解解决，协商或调解不成的，由当事人依法维护其合法权益。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1、供应商根据评审标准提供项目整体服务方案；2、供应商根据标准提供风险综合评级及履约能力证明材料。3、本项目所引用的规范/标准/文件，如有最新版本，依照其最新规定执行。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或其总公司具有中国银行保险监督管理委员会颁发的有效期内《保险许可证》或《经营保险业务许可证》。本项目接受石油、石化、电力、电信、保险、银行等行业有特殊情况的分公司或分支机构参加，但只能以一个投标人身份参加且提供总公司的授权文件。【提供《保险许可证》或《经营保险业务许可证》复印件并加盖公章】。</w:t>
            </w:r>
          </w:p>
        </w:tc>
        <w:tc>
          <w:tcPr>
            <w:tcW w:type="dxa" w:w="3322"/>
          </w:tcPr>
          <w:p>
            <w:pPr>
              <w:pStyle w:val="null3"/>
              <w:jc w:val="left"/>
            </w:pPr>
            <w:r>
              <w:rPr>
                <w:rFonts w:ascii="仿宋_GB2312" w:hAnsi="仿宋_GB2312" w:cs="仿宋_GB2312" w:eastAsia="仿宋_GB2312"/>
              </w:rPr>
              <w:t>供应商或其总公司具有中国银行保险监督管理委员会颁发的有效期内《保险许可证》或《经营保险业务许可证》。本项目接受石油、石化、电力、电信、保险、银行等行业有特殊情况的分公司或分支机构参加，但只能以一个投标人身份参加且提供总公司的授权文件。【提供《保险许可证》或《经营保险业务许可证》复印件并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商务、技术要求及其他要求应答内容</w:t>
            </w:r>
          </w:p>
        </w:tc>
        <w:tc>
          <w:tcPr>
            <w:tcW w:type="dxa" w:w="3322"/>
          </w:tcPr>
          <w:p>
            <w:pPr>
              <w:pStyle w:val="null3"/>
              <w:jc w:val="left"/>
            </w:pPr>
            <w:r>
              <w:rPr>
                <w:rFonts w:ascii="仿宋_GB2312" w:hAnsi="仿宋_GB2312" w:cs="仿宋_GB2312" w:eastAsia="仿宋_GB2312"/>
              </w:rPr>
              <w:t>商务、技术要求及其他要求应答内容是否完全满足采购文件的实质性要求</w:t>
            </w:r>
          </w:p>
        </w:tc>
        <w:tc>
          <w:tcPr>
            <w:tcW w:type="dxa" w:w="1661"/>
          </w:tcPr>
          <w:p>
            <w:pPr>
              <w:pStyle w:val="null3"/>
              <w:jc w:val="left"/>
            </w:pPr>
            <w:r>
              <w:rPr>
                <w:rFonts w:ascii="仿宋_GB2312" w:hAnsi="仿宋_GB2312" w:cs="仿宋_GB2312" w:eastAsia="仿宋_GB2312"/>
              </w:rPr>
              <w:t>供应商应提交的相关证明材料,服务应答表,商务应答表.docx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项目整体服务方案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项目整体服务方案</w:t>
            </w:r>
          </w:p>
        </w:tc>
        <w:tc>
          <w:tcPr>
            <w:tcW w:type="dxa" w:w="2575"/>
          </w:tcPr>
          <w:p>
            <w:pPr>
              <w:pStyle w:val="null3"/>
              <w:jc w:val="left"/>
            </w:pPr>
            <w:r>
              <w:rPr>
                <w:rFonts w:ascii="仿宋_GB2312" w:hAnsi="仿宋_GB2312" w:cs="仿宋_GB2312" w:eastAsia="仿宋_GB2312"/>
              </w:rPr>
              <w:t>1、根据供应商提供的项目承保服务方案，包含：①承保服务内容；②服务团队人员配置；③承保流程；④档案管理及承保信息查询，⑤承保管理方案；以上方案内容符合项目需求的得30分；方案每缺少一项扣6分，方案存在缺陷或存在错误的，每一处扣3分，扣完为止。 注：本项所述缺陷、错误是指项目名称、实施地点、时间、涉及的规范、标准与本项目要求不一致，方案内容表述前后不一致，涉及的规范或标准错误，明显复制其他项目内容或套用其它项目方案（下同）。 2、根据供应商提供的项目理赔服务方案，包含：①理赔流程；②理赔服务措施；③理赔服务时效；④赔偿能力分析；⑤理赔资料的收集，以上方案内容符合项目需求的得30分；方案每缺少一项扣6分，方案存在缺陷或存在错误的，每一处扣3分，扣完为止。</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风险综合评级</w:t>
            </w:r>
          </w:p>
        </w:tc>
        <w:tc>
          <w:tcPr>
            <w:tcW w:type="dxa" w:w="2575"/>
          </w:tcPr>
          <w:p>
            <w:pPr>
              <w:pStyle w:val="null3"/>
              <w:jc w:val="left"/>
            </w:pPr>
            <w:r>
              <w:rPr>
                <w:rFonts w:ascii="仿宋_GB2312" w:hAnsi="仿宋_GB2312" w:cs="仿宋_GB2312" w:eastAsia="仿宋_GB2312"/>
              </w:rPr>
              <w:t>以供应商总公司2025年三季度风险综合评级报告为准：风险综合评级AAA级及以上得15分，AA级得10分，A级得5分,未达到A级以上及未提供不得分，满分15分。注：提供国家金融监督管理总局公布的供应商的相关证明材料（若为分公司或分支机构则提供总公司的材料）。</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供应商提供2022年01月01日（含）以来类似项目业绩的，每具有一个项目业绩得5分，最多得15分。 注：提供合同复印件或中标/成交通知书复印件或保单复印件并加盖单位鲜章，否则不得分，同一项目不重复计算。时间认定以合同或中标通知书或保单落款时间为准。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仁寿县民政局养老机构责任险</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详见附件：业绩一览表.docx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