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版本号：N511421202600006520260403001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仁寿县养老机构消防改造设计项目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N5114212026000065</w:t>
      </w:r>
    </w:p>
    <w:p>
      <w:pPr>
        <w:pStyle w:val="null3"/>
        <w:jc w:val="center"/>
        <w:outlineLvl w:val="2"/>
      </w:pPr>
      <w:r>
        <w:rPr>
          <w:rFonts w:ascii="仿宋_GB2312" w:hAnsi="仿宋_GB2312" w:cs="仿宋_GB2312" w:eastAsia="仿宋_GB2312"/>
          <w:sz w:val="28"/>
          <w:b/>
        </w:rPr>
        <w:t>仁寿县民政局</w:t>
      </w:r>
    </w:p>
    <w:p>
      <w:pPr>
        <w:pStyle w:val="null3"/>
        <w:jc w:val="center"/>
        <w:outlineLvl w:val="2"/>
      </w:pPr>
      <w:r>
        <w:rPr>
          <w:rFonts w:ascii="仿宋_GB2312" w:hAnsi="仿宋_GB2312" w:cs="仿宋_GB2312" w:eastAsia="仿宋_GB2312"/>
          <w:sz w:val="28"/>
          <w:b/>
        </w:rPr>
        <w:t>四川省君唯源工程项目管理有限责任公司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仁寿县民政局</w:t>
      </w:r>
      <w:r>
        <w:rPr>
          <w:rFonts w:ascii="仿宋_GB2312" w:hAnsi="仿宋_GB2312" w:cs="仿宋_GB2312" w:eastAsia="仿宋_GB2312"/>
        </w:rPr>
        <w:t xml:space="preserve"> 委托，拟对 </w:t>
      </w:r>
      <w:r>
        <w:rPr>
          <w:rFonts w:ascii="仿宋_GB2312" w:hAnsi="仿宋_GB2312" w:cs="仿宋_GB2312" w:eastAsia="仿宋_GB2312"/>
        </w:rPr>
        <w:t>仁寿县养老机构消防改造设计项目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眉山市仁寿县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N5114212026000065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仁寿县养老机构消防改造设计项目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全县拟保留使用公办养老机构共20家(含6家公建民营机构)，总建筑面积90890平方米。当前，上述机构普遍存在消防设施配置不足、设备老化损坏、消防审验手续缺失、历史遗留问题未整改等突出问题，消防安全风险隐患较大，严重影响机构安全规范运行。为从根本上消除隐患、补齐手续，现统一开展消防改造专项设计，为后续消防改造施工、审验办理、平台销号提供技术支撑和依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1、供应商具备国家建设行政主管部门颁发的建筑行业（建筑工程）工程设计乙级及以上资质。（描述：供应商具备国家建设行政主管部门颁发的建筑行业（建筑工程）工程设计乙级及以上资质。）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仁寿县民政局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眉⼭市仁寿县普宁街道办群英街82号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028-35038741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四川省君唯源工程项目管理有限责任公司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四川省眉⼭市仁寿县普宁街道嘉南路三段124号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028-38176616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采购包1：636,300.00元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代理服务费收费标准：本项目按照成本支出加合理利润的原则确定代理费服务费收费标准，招标代理费服务费为10000.00元，由中标（成交）供应商支付。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仁寿县民政局</w:t>
      </w:r>
      <w:r>
        <w:rPr>
          <w:rFonts w:ascii="仿宋_GB2312" w:hAnsi="仿宋_GB2312" w:cs="仿宋_GB2312" w:eastAsia="仿宋_GB2312"/>
        </w:rPr>
        <w:t xml:space="preserve"> 和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仁寿县民政局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严格按照《财政部关于进一步加强政府采购需求和履约验收管理的指导意见》的通知（财库〔2016〕205号）文件的要求执行验收。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仁寿县民政局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联系人：徐女士</w:t>
      </w:r>
    </w:p>
    <w:p>
      <w:pPr>
        <w:pStyle w:val="null3"/>
        <w:jc w:val="left"/>
      </w:pPr>
      <w:r>
        <w:rPr>
          <w:rFonts w:ascii="仿宋_GB2312" w:hAnsi="仿宋_GB2312" w:cs="仿宋_GB2312" w:eastAsia="仿宋_GB2312"/>
        </w:rPr>
        <w:t>联系电话：028-38176616</w:t>
      </w:r>
    </w:p>
    <w:p>
      <w:pPr>
        <w:pStyle w:val="null3"/>
        <w:jc w:val="left"/>
      </w:pPr>
      <w:r>
        <w:rPr>
          <w:rFonts w:ascii="仿宋_GB2312" w:hAnsi="仿宋_GB2312" w:cs="仿宋_GB2312" w:eastAsia="仿宋_GB2312"/>
        </w:rPr>
        <w:t>地址：四川省眉⼭市仁寿县普宁街道嘉南路三段124号</w:t>
      </w:r>
    </w:p>
    <w:p>
      <w:pPr>
        <w:pStyle w:val="null3"/>
        <w:jc w:val="left"/>
      </w:pPr>
      <w:r>
        <w:rPr>
          <w:rFonts w:ascii="仿宋_GB2312" w:hAnsi="仿宋_GB2312" w:cs="仿宋_GB2312" w:eastAsia="仿宋_GB2312"/>
        </w:rPr>
        <w:t>邮编：620500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636,300.00</w:t>
      </w:r>
    </w:p>
    <w:p>
      <w:pPr>
        <w:pStyle w:val="null3"/>
        <w:jc w:val="left"/>
      </w:pPr>
      <w:r>
        <w:rPr>
          <w:rFonts w:ascii="仿宋_GB2312" w:hAnsi="仿宋_GB2312" w:cs="仿宋_GB2312" w:eastAsia="仿宋_GB2312"/>
        </w:rPr>
        <w:t>采购包最高限价（元）: 636,300.00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仁寿县养老机构消防改造设计项目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636,300.00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仁寿县养老机构消防改造设计项目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636,300.00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标的名称：仁寿县养老机构消防改造设计项目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项目技术、商务及其他要求</w:t>
            </w:r>
          </w:p>
        </w:tc>
        <w:tc>
          <w:tcPr>
            <w:tcW w:type="dxa" w:w="5814"/>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全县拟保留使用公办养老机构共20家(含6家公建民营机构)，总建筑面积90890平方米。当前，上述机构普遍存在消防设施配置不足、设备老化损坏、消防审验手续缺失、历史遗留问题未整改等突出问题，消防安全风险隐患较大，严重影响机构安全规范运行。为从根本上消除隐患、补齐手续，现统一开展消防改造专项设计，为后续消防改造施工、审验办理、平台销号提供技术支撑和依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、全县20家公办养老机构消防改造设计工作，涵盖现状评估、消防改造方案编制、施工图设计、图纸审查、设计交底及施工配合等全流程服务。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、设计成果需符合国家及地方现行的所有工程建设标准、规范及强制性条文。</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、配合采购人完成施工单位采购及后期施工配合服务(至少包括设计技术交底、解答施工过程中施工单位有关的问题、设计变更、中间验收、竣工验收等)。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负责有关报批工作、工程质量缺陷责任期内的后续跟踪服务及采购人交办的其它工作。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、供应商应确保其提供的全部服务不侵犯任何第三方的专利权、商标权或著作权。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、供应商须严格遵守国家及项目所在地的法律法规、行业标准与规范，并接受项目行业管理部门、政府有关部门的指导及采购人的全面监督。</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质量与进度：供应商应按照技术规范及采购人要求，按期提交质量合格的设计资料，并对设计成果承担全部责任；供应商所提交的设计成果须符合现行国家、行业及地方相关规范、规定的要求并能直接用于施工；如果在项目实施过程中，国家或有关部委颁发了新的技术标准或规范，供应商则应采用新的标准或规范及时进行调整。</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、人员与管理：供应商须服从采购人的统一指挥与管理，遵守各项管理规定。采购人有权对素质不足的派驻人员提出更换要求，供应商须及时执行。</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、沟通与汇报机制：</w:t>
            </w:r>
          </w:p>
          <w:p>
            <w:pPr>
              <w:pStyle w:val="null3"/>
              <w:ind w:firstLine="480"/>
              <w:jc w:val="both"/>
            </w:pPr>
            <w:r>
              <w:rPr>
                <w:rFonts w:ascii="仿宋_GB2312" w:hAnsi="仿宋_GB2312" w:cs="仿宋_GB2312" w:eastAsia="仿宋_GB2312"/>
                <w:sz w:val="24"/>
              </w:rPr>
              <w:t>（1）定期汇报：按采购人要求，定期汇报工作进度、计划、问题及需协调事项。</w:t>
            </w:r>
          </w:p>
          <w:p>
            <w:pPr>
              <w:pStyle w:val="null3"/>
              <w:ind w:firstLine="480"/>
              <w:jc w:val="both"/>
            </w:pPr>
            <w:r>
              <w:rPr>
                <w:rFonts w:ascii="仿宋_GB2312" w:hAnsi="仿宋_GB2312" w:cs="仿宋_GB2312" w:eastAsia="仿宋_GB2312"/>
                <w:sz w:val="24"/>
              </w:rPr>
              <w:t>（2）重大事项报告：对服务过程中的重大、紧急问题，须以书面形式及时向采购人报告。</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、问题整改：对于采购人指出的问题，供应商须及时纠正。若出现多次或严重问题，采购人有权责令限期整改，供应商对逾期未改或整改不合格的后果承担全部责任。</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成果要求：供应商应提交的成果包括但不限于：现状评估报告、消防改造方案、初步设计（含概算）报告、设计图纸、施工图、造价预算等，成果资料应符合国家、行业、项目所在地的规范要求，成果资料纸质版6份，电子版1份。</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四、仁寿县养老机构清单：</w:t>
            </w:r>
          </w:p>
          <w:tbl>
            <w:tblPr>
              <w:tblInd w:type="dxa" w:w="135"/>
              <w:tblBorders>
                <w:top w:val="none" w:color="000000" w:sz="4"/>
                <w:left w:val="none" w:color="000000" w:sz="4"/>
                <w:bottom w:val="none" w:color="000000" w:sz="4"/>
                <w:right w:val="none" w:color="000000" w:sz="4"/>
                <w:insideH w:val="none"/>
                <w:insideV w:val="none"/>
              </w:tblBorders>
            </w:tblPr>
            <w:tblGrid>
              <w:gridCol w:w="646"/>
              <w:gridCol w:w="3660"/>
              <w:gridCol w:w="969"/>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序号</w:t>
                  </w:r>
                </w:p>
              </w:tc>
              <w:tc>
                <w:tcPr>
                  <w:tcW w:type="dxa" w:w="36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机构名称</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备注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仁寿县汪洋镇养老服务中心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仁寿县汪洋镇四公养老服务中心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3</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仁寿县文宫镇养老服务中心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4</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仁寿县禾加镇双堡养老服务中心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5</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仁寿县农旺养老服务中心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6</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仁寿县新店镇养老服务中心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7</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仁寿县谢安镇养老服务中心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8</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仁寿县禄加镇养老服务中心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9</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仁寿县彰加镇养老服务中心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10</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仁寿县促进养老服务中心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11</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仁寿县宝飞镇养老服务中心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12</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仁寿县富加镇养老服务中心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13</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仁寿县富加玉龙养老服务中心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14</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仁寿县龙正镇养老服务中心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15</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仁寿县怀仁街道养老服务中心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16</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仁寿县黑龙滩镇养老服务中心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17</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仁寿县大化镇养老服务中心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18</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仁寿县慈航镇养老服务中心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19</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仁寿县珠嘉镇养老服务中心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20</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仁寿县和家欢怡康院(仁寿县福利院)</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bl>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w:t>
            </w:r>
            <w:r>
              <w:rPr>
                <w:rFonts w:ascii="仿宋_GB2312" w:hAnsi="仿宋_GB2312" w:cs="仿宋_GB2312" w:eastAsia="仿宋_GB2312"/>
                <w:sz w:val="24"/>
              </w:rPr>
              <w:t>自合同签订之日起30日完成本项目所有工作内容。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、服务地点：仁寿县。</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、付款方式：</w:t>
            </w:r>
            <w:r>
              <w:rPr>
                <w:rFonts w:ascii="仿宋_GB2312" w:hAnsi="仿宋_GB2312" w:cs="仿宋_GB2312" w:eastAsia="仿宋_GB2312"/>
                <w:sz w:val="24"/>
              </w:rPr>
              <w:t>合同签订生效后15日内支付合同金额的40%作为预付款，报告及相关成果资料通过评审后15日内支付合同金额的30%，竣工验收通过后15日内支付合同金额的30%；采购人付款前，成交供应商须按采购人要求提供对应的合规增值税发票等相关票据凭证资料，否则采购人有权顺延付款时间且不承担违约责任。若供应商未能及时、准确出具相关资料造成采购人损失的，一应损失由供应商全额承担赔偿责任。</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、报价要求：</w:t>
            </w:r>
          </w:p>
          <w:p>
            <w:pPr>
              <w:pStyle w:val="null3"/>
              <w:ind w:firstLine="480"/>
              <w:jc w:val="both"/>
            </w:pPr>
            <w:r>
              <w:rPr>
                <w:rFonts w:ascii="仿宋_GB2312" w:hAnsi="仿宋_GB2312" w:cs="仿宋_GB2312" w:eastAsia="仿宋_GB2312"/>
                <w:sz w:val="24"/>
              </w:rPr>
              <w:t>供应商的报价是响应本项目全部工作内容的价格体现，是最终验收合格后的价格，包括但不限于人工劳务、设备投入、差旅、利润、保险、风险、税金、后期服务（如有）及完成本项目所需的一切费用和磋商文件规定的其它费用。供应商应根据本项目的实际情况与自身现实情况，充分考虑不确定因素可能导致的风险，若因供应商原因造成的漏报、错报而导致本项目无法履行，所有责任均由供应商负责，采购人不会承担任何费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安全责任：供应商须按有关规定采取严格的项目实施安全措施，承担由于自身安全措施不力造成的事故责任和因此发生的费用及后果。成交供应商投入本项目工作人员的人身安全由成交供应商负责。成交供应商应为本项目工作人员购买人身意外伤害险及与项目实施有关的一切保险。凡在项目实施过程中由于供应商原因发生安全责任事故或其他责任事故，均由成交供应商承担全部民事和刑事责任，采购人概不负责。如因项目质量问题及更换不及时造成的人身伤害成交供应商应依法承担全部责任。</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、后续服务要求：</w:t>
            </w:r>
          </w:p>
          <w:p>
            <w:pPr>
              <w:pStyle w:val="null3"/>
              <w:ind w:firstLine="480"/>
              <w:jc w:val="both"/>
            </w:pPr>
            <w:r>
              <w:rPr>
                <w:rFonts w:ascii="仿宋_GB2312" w:hAnsi="仿宋_GB2312" w:cs="仿宋_GB2312" w:eastAsia="仿宋_GB2312"/>
                <w:sz w:val="24"/>
              </w:rPr>
              <w:t>（1）在服务期限内供应商应就本项目提供咨询、技术支持等服务；</w:t>
            </w:r>
          </w:p>
          <w:p>
            <w:pPr>
              <w:pStyle w:val="null3"/>
              <w:ind w:firstLine="480"/>
              <w:jc w:val="both"/>
            </w:pPr>
            <w:r>
              <w:rPr>
                <w:rFonts w:ascii="仿宋_GB2312" w:hAnsi="仿宋_GB2312" w:cs="仿宋_GB2312" w:eastAsia="仿宋_GB2312"/>
                <w:sz w:val="24"/>
              </w:rPr>
              <w:t>（2）服务期限内出现问题，供应商必须即时响应，并在采购人要求合理时限内到达现场，并在采购人要求的合理时限内解决问题，现场解决不了的采取补救措施，以保证采购人的正常工作需求，成交供应商不得以任何理由影响正常使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、本项目不组织现场勘查，但供应商应根据工作实际，自行组织现场勘察，综合考虑后进行报价。</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、在合同期间所有人员的工资、保险、酬金、人身安全、纠纷、安全责任事故、劳动合同纠纷等均由成交供应商自行负责，情节严重的，追究相应责任，并按相关国家法律法规处理。</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保密要求：成交供应商在项目实施过程中，必须严格遵守采购人的相关管理制度，并按照其要求签订保密协议。对有泄密、不遵守保密工作纪律等不法行为由此造成的一切后果及法律责任由成交人承担。成交人在提供服务过程中，获得或者产生的与本项目有关的包括但不限于资料、信息、材料等一切文本、数据等项目成果产权归采购人所有，在未经采购人书面许可的情况下，不得对上述任何信息进行整理、分析及披露或者授权第三方使用，否则，采购人保留追究成交人经济和法律责任的权利。</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、验收标准：</w:t>
            </w:r>
            <w:r>
              <w:rPr>
                <w:rFonts w:ascii="仿宋_GB2312" w:hAnsi="仿宋_GB2312" w:cs="仿宋_GB2312" w:eastAsia="仿宋_GB2312"/>
                <w:sz w:val="24"/>
              </w:rPr>
              <w:t>严格参照政府采购相关法律法规以及《财政部关于进一步加强政府采购需求和履约验收管理的指导意见》（财库〔</w:t>
            </w:r>
            <w:r>
              <w:rPr>
                <w:rFonts w:ascii="仿宋_GB2312" w:hAnsi="仿宋_GB2312" w:cs="仿宋_GB2312" w:eastAsia="仿宋_GB2312"/>
                <w:sz w:val="24"/>
              </w:rPr>
              <w:t>2016</w:t>
            </w:r>
            <w:r>
              <w:rPr>
                <w:rFonts w:ascii="仿宋_GB2312" w:hAnsi="仿宋_GB2312" w:cs="仿宋_GB2312" w:eastAsia="仿宋_GB2312"/>
                <w:sz w:val="24"/>
              </w:rPr>
              <w:t>〕</w:t>
            </w:r>
            <w:r>
              <w:rPr>
                <w:rFonts w:ascii="仿宋_GB2312" w:hAnsi="仿宋_GB2312" w:cs="仿宋_GB2312" w:eastAsia="仿宋_GB2312"/>
                <w:sz w:val="24"/>
              </w:rPr>
              <w:t>205</w:t>
            </w:r>
            <w:r>
              <w:rPr>
                <w:rFonts w:ascii="仿宋_GB2312" w:hAnsi="仿宋_GB2312" w:cs="仿宋_GB2312" w:eastAsia="仿宋_GB2312"/>
                <w:sz w:val="24"/>
              </w:rPr>
              <w:t>号）和采购文件规定的要求及响应文件、合同承诺的内容进行验收。</w:t>
            </w:r>
          </w:p>
          <w:p>
            <w:pPr>
              <w:pStyle w:val="null3"/>
              <w:ind w:firstLine="482"/>
              <w:jc w:val="both"/>
            </w:pPr>
            <w:r>
              <w:rPr>
                <w:rFonts w:ascii="仿宋_GB2312" w:hAnsi="仿宋_GB2312" w:cs="仿宋_GB2312" w:eastAsia="仿宋_GB2312"/>
                <w:sz w:val="24"/>
                <w:b/>
              </w:rPr>
              <w:t>六、项目整体服务方案：</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根据评审标准提供项目理解与分析方案，包含：①对本项目背景情况、区域周边现状分析及项目设计方案分析；②设计工作内容、设计阶段规划与安排；③重、难点分析及解决方案；④消防安全初步分析及存在的消防安全隐患分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根据评审标准提供设计服务方案，包含：①设计目标及工作思路；②设计方案及工作流程；③质量保障措施；④进度保障措施；⑤安全保障措施；⑥设计工作协调措施；⑦设计工作重点、难点分析；⑧对本工程设计的合理化建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、根据供应商提供的后续服务方案，包含：①后续服务团队；②后续服务计划、安排；③后续服务保障措施；④应急处理方案；⑤后续服务响应时间及后续服务承诺。</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、供应商根据评审标准拟派本项目服务人员。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、供应商根据评审标准提供履约能力证明材料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自合同签订之日起30日完成本项目所有工作内容。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仁寿县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严格参照政府采购相关法律法规以及《财政部关于进一步加强政府采购需求和履约验收管理的指导意见》（财库〔2016〕205号）和采购文件规定的要求及响应文件、合同承诺的内容进行验收。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1、合同签订生效后，达到付款条件起15日内，支付合同总金额的40.00%</w:t>
            </w:r>
          </w:p>
          <w:p>
            <w:pPr>
              <w:pStyle w:val="null3"/>
              <w:jc w:val="left"/>
            </w:pPr>
            <w:r>
              <w:rPr>
                <w:rFonts w:ascii="仿宋_GB2312" w:hAnsi="仿宋_GB2312" w:cs="仿宋_GB2312" w:eastAsia="仿宋_GB2312"/>
              </w:rPr>
              <w:t>2、报告及相关成果资料通过评审后，达到付款条件起15日内，支付合同总金额的30.00%</w:t>
            </w:r>
          </w:p>
          <w:p>
            <w:pPr>
              <w:pStyle w:val="null3"/>
              <w:jc w:val="left"/>
            </w:pPr>
            <w:r>
              <w:rPr>
                <w:rFonts w:ascii="仿宋_GB2312" w:hAnsi="仿宋_GB2312" w:cs="仿宋_GB2312" w:eastAsia="仿宋_GB2312"/>
              </w:rPr>
              <w:t>3、竣工验收通过后，达到付款条件起15日内，支付合同总金额的30.00%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1.采购人与供应商双方必须遵守合同并执行合同中的各项规定，保证合同的正常履行，如有违约，将赔偿因违约给对方造成的直接经济损失。 2.如因供应商工作人员在履行职务过程中的疏忽、失职、过错等故意或者过失原因给采购人造成损失或侵害，包括但不限于采购方本身的财产损失、由此而导致的采购方对任何第三方的法律责任等，供应商对此均应承担全部的赔偿等责任。 3.合同履行期间,若双方发生争议，可协商或由有关部门调解解决，协商或调解不成的，由当事人依法维护其合法权益。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本项目所引用的规范/标准/文件，如有最新版本，依照其最新规定执行。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供应商具备国家建设行政主管部门颁发的建筑行业（建筑工程）工程设计乙级及以上资质。</w:t>
            </w:r>
          </w:p>
        </w:tc>
        <w:tc>
          <w:tcPr>
            <w:tcW w:type="dxa" w:w="3322"/>
          </w:tcPr>
          <w:p>
            <w:pPr>
              <w:pStyle w:val="null3"/>
              <w:jc w:val="left"/>
            </w:pPr>
            <w:r>
              <w:rPr>
                <w:rFonts w:ascii="仿宋_GB2312" w:hAnsi="仿宋_GB2312" w:cs="仿宋_GB2312" w:eastAsia="仿宋_GB2312"/>
              </w:rPr>
              <w:t>供应商具备国家建设行政主管部门颁发的建筑行业（建筑工程）工程设计乙级及以上资质。</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商务、技术要求及其他要求应答内容</w:t>
            </w:r>
          </w:p>
        </w:tc>
        <w:tc>
          <w:tcPr>
            <w:tcW w:type="dxa" w:w="3322"/>
          </w:tcPr>
          <w:p>
            <w:pPr>
              <w:pStyle w:val="null3"/>
              <w:jc w:val="left"/>
            </w:pPr>
            <w:r>
              <w:rPr>
                <w:rFonts w:ascii="仿宋_GB2312" w:hAnsi="仿宋_GB2312" w:cs="仿宋_GB2312" w:eastAsia="仿宋_GB2312"/>
              </w:rPr>
              <w:t>商务、技术要求及其他要求应答内容是否完全满⾜采购⽂件的实质性要求</w:t>
            </w:r>
          </w:p>
        </w:tc>
        <w:tc>
          <w:tcPr>
            <w:tcW w:type="dxa" w:w="1661"/>
          </w:tcPr>
          <w:p>
            <w:pPr>
              <w:pStyle w:val="null3"/>
              <w:jc w:val="left"/>
            </w:pPr>
            <w:r>
              <w:rPr>
                <w:rFonts w:ascii="仿宋_GB2312" w:hAnsi="仿宋_GB2312" w:cs="仿宋_GB2312" w:eastAsia="仿宋_GB2312"/>
              </w:rPr>
              <w:t>供应商应提交的相关证明材料,服务应答表,商务应答表.docx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项目整体服务方案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项目整体服务方案</w:t>
            </w:r>
          </w:p>
        </w:tc>
        <w:tc>
          <w:tcPr>
            <w:tcW w:type="dxa" w:w="2575"/>
          </w:tcPr>
          <w:p>
            <w:pPr>
              <w:pStyle w:val="null3"/>
              <w:jc w:val="left"/>
            </w:pPr>
            <w:r>
              <w:rPr>
                <w:rFonts w:ascii="仿宋_GB2312" w:hAnsi="仿宋_GB2312" w:cs="仿宋_GB2312" w:eastAsia="仿宋_GB2312"/>
              </w:rPr>
              <w:t>1、根据供应商提供的项目理解与分析方案，包含：①对本项目背景情况、区域周边现状分析及项目设计方案分析；②设计工作内容、设计阶段规划与安排；③重、难点分析及解决方案；④消防安全初步分析及存在的消防安全隐患分析；以上方案内容符合项目需求的得16分；方案每缺少一项扣4分，方案存在缺陷或存在错误的，每一处扣2分，扣完为止。 注：本项所述缺陷、错误是指项目名称、实施地点、时间、涉及的规范、标准与本项目要求不一致，方案内容表述前后不一致，涉及的规范或标准错误，明显复制其他项目内容或套用其它项目方案（下同）。 2、根据供应商提供的设计服务方案，包含：①设计目标及工作思路；②设计方案及工作流程；③质量保障措施；④进度保障措施；⑤安全保障措施；⑥设计工作协调措施；⑦设计工作重点、难点分析；⑧对本工程设计的合理化建议，以上方案内容符合项目需求的得32分；方案每缺少一项扣4分，方案存在缺陷或存在错误的，每一处扣2分，扣完为止。 3、根据供应商提供的后续服务方案，包含：①后续服务团队；②后续服务计划、安排；③后续服务保障措施；④应急处理方案；⑤后续服务响应时间及后续服务承诺，以上方案内容符合项目需求的得10分；方案每缺少一项扣2分，方案存在缺陷或存在错误的，每一处扣1分，扣完为止。</w:t>
            </w:r>
          </w:p>
        </w:tc>
        <w:tc>
          <w:tcPr>
            <w:tcW w:type="dxa" w:w="831"/>
          </w:tcPr>
          <w:p>
            <w:pPr>
              <w:pStyle w:val="null3"/>
              <w:jc w:val="center"/>
            </w:pPr>
            <w:r>
              <w:rPr>
                <w:rFonts w:ascii="仿宋_GB2312" w:hAnsi="仿宋_GB2312" w:cs="仿宋_GB2312" w:eastAsia="仿宋_GB2312"/>
              </w:rPr>
              <w:t>58.0000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1、设计负责人：具有二级及以上注册建筑师证书的得2分；具有全国注册造价工程师或一级注册造价工程师（土木建筑工程）证书加2分，本项最多得4分。 2、技术负责人：具有二级及以上注册建筑师证书的得1分，具有建筑工程类中级及以上职称加1分，本项最多得2分。 3、结构专业负责人：具有二级及以上注册结构工程师证书的得2分；具有建筑工程类中级职称加1分，具有建筑工程类高级及以上职称加2分，本项最多得4分。 4、给排水专业负责人：具有注册公用设备工程师（给水排水）证书得2分，具有建筑工程类中级职称加1分，具有建筑工程类高级及以上职称加2分，本项最多得4分。 5、电气专业负责人：具有注册电气工程师（供配电）证书得2分，具有电气专业类中级职称加1分，具有电气专业类高级及以上职称得加2分，本项最多得4分。 6、造价人员：具有全国注册造价工程师或一级注册造价工程师（土木建筑工程）证书得2分，本项最多得2分。 注：①提供上述人员相关证书复印件；②提供上述人员本单位在职证明材料复印件并盖单位公章；③上述人员不重复计分；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供应商2020年以来承担过类似项目业绩的，每提供1个得3分，本项最多得12分。 注：类似业绩指建筑工程类设计业绩，须提供中标（成交）通知书或者合同（协议）扫描件，时间认定以中标（成交）通知书或者合同（协议）落款时间为准。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详见附件：本项目管理、技术、服务人员情况表.docx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