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版本号：N510501202600008320260401001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桌面云</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N5105012026000083</w:t>
      </w:r>
    </w:p>
    <w:p>
      <w:pPr>
        <w:pStyle w:val="null3"/>
        <w:jc w:val="left"/>
        <w:outlineLvl w:val="2"/>
      </w:pPr>
      <w:r>
        <w:rPr>
          <w:rFonts w:ascii="仿宋_GB2312" w:hAnsi="仿宋_GB2312" w:cs="仿宋_GB2312" w:eastAsia="仿宋_GB2312"/>
          <w:sz w:val="28"/>
          <w:b/>
        </w:rPr>
        <w:t>泸州市中医医院</w:t>
      </w:r>
    </w:p>
    <w:p>
      <w:pPr>
        <w:pStyle w:val="null3"/>
        <w:jc w:val="center"/>
        <w:outlineLvl w:val="2"/>
      </w:pPr>
      <w:r>
        <w:rPr>
          <w:rFonts w:ascii="仿宋_GB2312" w:hAnsi="仿宋_GB2312" w:cs="仿宋_GB2312" w:eastAsia="仿宋_GB2312"/>
          <w:sz w:val="28"/>
          <w:b/>
        </w:rPr>
        <w:t>泸州市人民政府采购中心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泸州市人民政府采购中心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泸州市中医医院</w:t>
      </w:r>
      <w:r>
        <w:rPr>
          <w:rFonts w:ascii="仿宋_GB2312" w:hAnsi="仿宋_GB2312" w:cs="仿宋_GB2312" w:eastAsia="仿宋_GB2312"/>
        </w:rPr>
        <w:t xml:space="preserve"> 委托，拟对 </w:t>
      </w:r>
      <w:r>
        <w:rPr>
          <w:rFonts w:ascii="仿宋_GB2312" w:hAnsi="仿宋_GB2312" w:cs="仿宋_GB2312" w:eastAsia="仿宋_GB2312"/>
        </w:rPr>
        <w:t>桌面云</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N5105012026000083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桌面云</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根据医院的发展需要，拟采购桌面云一批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泸州市中医医院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泸州市江阳区江阳南路11号、泸州市纳溪区杏林路80号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0830-2962180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泸州市人民政府采购中心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四川省泸州市龙马潭区学府路1号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况女士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0830-3102699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采购包1：312,000.00元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成交人在收到成交通知书后签订合同之前，按照采购文件约定以非现金的形式将履约保证金足额缴入采购人指定的财政专户。 交款方式：履约保证金可以以支票、汇票、本票或者金融机构、担保机构出具连带责任的保函等非现金形式提交（包括网银转账，电汇等方式）。 注：出具保函的主体应当是金融机构、保险机构、担保机构等依法成立且具有相关资质和偿付能力的机构，否则将取消成交人的中标资格，采购人将重新确定成交人，并依法追究法律责任。 履约保证金退还方式、时间：成交人凭履约保证金缴纳凭证原件或保函与采购人签订政府采购合同；缴款单需注明项目名称或编号（履约保证金）。在项目验收合格一年后无任何违约处罚的，由采购人凭履约验收报告（意见书）和发票以非现金形式无息退还成交人的履约保证金。 履约保证金不予退还情形：1.成交人单方面原因（自然灾害和国家政策因素等不可抗力除外）不履行政府采购合同的；2.成交人提供的货物（服务、工程）不符合采购文件要求、国家及行业验收合格标准的；3.成交人在规定的质保期间或售后服务中，被查实有被采购人举报产品（服务、工程）质量问题且不妥善处理的。4.履约保证金不予退还的，将按照有关规定上缴国库。逾期退还履约保证金的，将依法承担法律责任，并赔偿成交人损失。5.成交人在合同履行期间因其员工不当行为导致给第三方人身和财产损害的，第三方直接要求采购人承担连带责任的情况。或成交人违法侵害其员工权益导致员工，其员工要求采购人直接承担连带责任的。</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泸州市中医医院</w:t>
      </w:r>
      <w:r>
        <w:rPr>
          <w:rFonts w:ascii="仿宋_GB2312" w:hAnsi="仿宋_GB2312" w:cs="仿宋_GB2312" w:eastAsia="仿宋_GB2312"/>
        </w:rPr>
        <w:t xml:space="preserve"> 和 </w:t>
      </w:r>
      <w:r>
        <w:rPr>
          <w:rFonts w:ascii="仿宋_GB2312" w:hAnsi="仿宋_GB2312" w:cs="仿宋_GB2312" w:eastAsia="仿宋_GB2312"/>
        </w:rPr>
        <w:t>泸州市人民政府采购中心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泸州市中医医院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泸州市人民政府采购中心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到货安装调试完毕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严格按照《财政部关于进一步加强政府采购需求和履约验收管理的指导意见》（财库〔2016〕205号）的要求组织验收，以采购文件技术参数及要求及响应文件技术响应为准。如出现未在采购文件中明确规定的，以行业相关标准为准。如采购双方如对质量要求和技术指标的约定标准有相互抵触或异议的事项，由采购人在采购与响应文件中按质量要求和技术指标、行业标准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泸州市中医医院</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联系人：万先生</w:t>
      </w:r>
    </w:p>
    <w:p>
      <w:pPr>
        <w:pStyle w:val="null3"/>
        <w:jc w:val="left"/>
      </w:pPr>
      <w:r>
        <w:rPr>
          <w:rFonts w:ascii="仿宋_GB2312" w:hAnsi="仿宋_GB2312" w:cs="仿宋_GB2312" w:eastAsia="仿宋_GB2312"/>
        </w:rPr>
        <w:t>联系电话：0830-2962180</w:t>
      </w:r>
    </w:p>
    <w:p>
      <w:pPr>
        <w:pStyle w:val="null3"/>
        <w:jc w:val="left"/>
      </w:pPr>
      <w:r>
        <w:rPr>
          <w:rFonts w:ascii="仿宋_GB2312" w:hAnsi="仿宋_GB2312" w:cs="仿宋_GB2312" w:eastAsia="仿宋_GB2312"/>
        </w:rPr>
        <w:t>地址：泸州市江阳区江阳南路11号、泸州市纳溪区杏林路80号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联系人：况女士</w:t>
      </w:r>
    </w:p>
    <w:p>
      <w:pPr>
        <w:pStyle w:val="null3"/>
        <w:jc w:val="left"/>
      </w:pPr>
      <w:r>
        <w:rPr>
          <w:rFonts w:ascii="仿宋_GB2312" w:hAnsi="仿宋_GB2312" w:cs="仿宋_GB2312" w:eastAsia="仿宋_GB2312"/>
        </w:rPr>
        <w:t>联系电话：0830-3102699</w:t>
      </w:r>
    </w:p>
    <w:p>
      <w:pPr>
        <w:pStyle w:val="null3"/>
        <w:jc w:val="left"/>
      </w:pPr>
      <w:r>
        <w:rPr>
          <w:rFonts w:ascii="仿宋_GB2312" w:hAnsi="仿宋_GB2312" w:cs="仿宋_GB2312" w:eastAsia="仿宋_GB2312"/>
        </w:rPr>
        <w:t>地址：泸州市龙马潭区学府路1号C栋</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联系人：黄女士（开评标咨询）</w:t>
      </w:r>
    </w:p>
    <w:p>
      <w:pPr>
        <w:pStyle w:val="null3"/>
        <w:jc w:val="left"/>
      </w:pPr>
      <w:r>
        <w:rPr>
          <w:rFonts w:ascii="仿宋_GB2312" w:hAnsi="仿宋_GB2312" w:cs="仿宋_GB2312" w:eastAsia="仿宋_GB2312"/>
        </w:rPr>
        <w:t>联系电话：0830-3156825</w:t>
      </w:r>
    </w:p>
    <w:p>
      <w:pPr>
        <w:pStyle w:val="null3"/>
        <w:jc w:val="left"/>
      </w:pPr>
      <w:r>
        <w:rPr>
          <w:rFonts w:ascii="仿宋_GB2312" w:hAnsi="仿宋_GB2312" w:cs="仿宋_GB2312" w:eastAsia="仿宋_GB2312"/>
        </w:rPr>
        <w:t>地址：泸州市龙马潭区学府路1号E栋</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312,000.00</w:t>
      </w:r>
    </w:p>
    <w:p>
      <w:pPr>
        <w:pStyle w:val="null3"/>
        <w:jc w:val="left"/>
      </w:pPr>
      <w:r>
        <w:rPr>
          <w:rFonts w:ascii="仿宋_GB2312" w:hAnsi="仿宋_GB2312" w:cs="仿宋_GB2312" w:eastAsia="仿宋_GB2312"/>
        </w:rPr>
        <w:t>采购包最高限价（元）: 297,090.00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桌面云一体机</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286,250.00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桌面云一体机 （一体式）</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10,840.00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桌面云一体机</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286,250.00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桌面云一体机 （一体式）</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10,840.00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桌面云一体机</w:t>
            </w:r>
          </w:p>
        </w:tc>
        <w:tc>
          <w:tcPr>
            <w:tcW w:type="dxa" w:w="2492"/>
          </w:tcPr>
          <w:p>
            <w:pPr>
              <w:pStyle w:val="null3"/>
              <w:jc w:val="left"/>
            </w:pPr>
            <w:r>
              <w:rPr>
                <w:rFonts w:ascii="仿宋_GB2312" w:hAnsi="仿宋_GB2312" w:cs="仿宋_GB2312" w:eastAsia="仿宋_GB2312"/>
              </w:rPr>
              <w:t>桌面云终端</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桌面云一体机</w:t>
            </w:r>
          </w:p>
        </w:tc>
        <w:tc>
          <w:tcPr>
            <w:tcW w:type="dxa" w:w="2492"/>
          </w:tcPr>
          <w:p>
            <w:pPr>
              <w:pStyle w:val="null3"/>
              <w:jc w:val="left"/>
            </w:pPr>
            <w:r>
              <w:rPr>
                <w:rFonts w:ascii="仿宋_GB2312" w:hAnsi="仿宋_GB2312" w:cs="仿宋_GB2312" w:eastAsia="仿宋_GB2312"/>
              </w:rPr>
              <w:t>液晶显示器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桌面云一体机 （一体式）</w:t>
            </w:r>
          </w:p>
        </w:tc>
        <w:tc>
          <w:tcPr>
            <w:tcW w:type="dxa" w:w="2492"/>
          </w:tcPr>
          <w:p>
            <w:pPr>
              <w:pStyle w:val="null3"/>
              <w:jc w:val="left"/>
            </w:pPr>
            <w:r>
              <w:rPr>
                <w:rFonts w:ascii="仿宋_GB2312" w:hAnsi="仿宋_GB2312" w:cs="仿宋_GB2312" w:eastAsia="仿宋_GB2312"/>
              </w:rPr>
              <w:t>桌面云一体机（一体式）</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桌面云一体机</w:t>
            </w:r>
          </w:p>
        </w:tc>
        <w:tc>
          <w:tcPr>
            <w:tcW w:type="dxa" w:w="2492"/>
          </w:tcPr>
          <w:p>
            <w:pPr>
              <w:pStyle w:val="null3"/>
              <w:jc w:val="left"/>
            </w:pPr>
            <w:r>
              <w:rPr>
                <w:rFonts w:ascii="仿宋_GB2312" w:hAnsi="仿宋_GB2312" w:cs="仿宋_GB2312" w:eastAsia="仿宋_GB2312"/>
              </w:rPr>
              <w:t>液晶显示器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桌面云一体机 （一体式）</w:t>
            </w:r>
          </w:p>
        </w:tc>
        <w:tc>
          <w:tcPr>
            <w:tcW w:type="dxa" w:w="2492"/>
          </w:tcPr>
          <w:p>
            <w:pPr>
              <w:pStyle w:val="null3"/>
              <w:jc w:val="left"/>
            </w:pPr>
            <w:r>
              <w:rPr>
                <w:rFonts w:ascii="仿宋_GB2312" w:hAnsi="仿宋_GB2312" w:cs="仿宋_GB2312" w:eastAsia="仿宋_GB2312"/>
              </w:rPr>
              <w:t>桌面云一体机 （一体式）</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标的名称：桌面云一体机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1101"/>
              <w:gridCol w:w="1101"/>
              <w:gridCol w:w="2769"/>
              <w:gridCol w:w="609"/>
            </w:tblGrid>
            <w:tr>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1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桌面云一体机</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桌面云终端</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1、为保证云桌面软件系统的兼容效果和稳定运行，所有终端均需采用x86架构。</w:t>
                  </w:r>
                </w:p>
                <w:p>
                  <w:pPr>
                    <w:pStyle w:val="null3"/>
                    <w:jc w:val="both"/>
                  </w:pPr>
                  <w:r>
                    <w:rPr>
                      <w:rFonts w:ascii="仿宋_GB2312" w:hAnsi="仿宋_GB2312" w:cs="仿宋_GB2312" w:eastAsia="仿宋_GB2312"/>
                      <w:sz w:val="24"/>
                    </w:rPr>
                    <w:t>2、CPU：性能≥Intel第十二代i5，≥六核，≥十二线程处理器（处理器主频≥2.5GHz，睿频≥4.4GHz）；内存容量≥8GB，显卡性能≥Intel UHD 730；本地存储≥256 GB SSD。</w:t>
                  </w:r>
                </w:p>
                <w:p>
                  <w:pPr>
                    <w:pStyle w:val="null3"/>
                    <w:jc w:val="both"/>
                  </w:pPr>
                  <w:r>
                    <w:rPr>
                      <w:rFonts w:ascii="仿宋_GB2312" w:hAnsi="仿宋_GB2312" w:cs="仿宋_GB2312" w:eastAsia="仿宋_GB2312"/>
                      <w:sz w:val="24"/>
                    </w:rPr>
                    <w:t>3、USB接口数量≥9个（其中USB 3.0接口≥4个，USB 2.0接口≥4个，TYPE-C接口≥1个），千兆网口≥1个，VGA接口≥1个，HDMI接口≥1个，DP接口≥1个，音频输入输出接口≥1个，支持4段式耳机音频输入及输出、配置内存槽位≥2个，配置M.2 SSD槽位≥2个，2.5英寸硬盘位≥1个。</w:t>
                  </w:r>
                </w:p>
                <w:p>
                  <w:pPr>
                    <w:pStyle w:val="null3"/>
                    <w:jc w:val="both"/>
                  </w:pPr>
                  <w:r>
                    <w:rPr>
                      <w:rFonts w:ascii="仿宋_GB2312" w:hAnsi="仿宋_GB2312" w:cs="仿宋_GB2312" w:eastAsia="仿宋_GB2312"/>
                      <w:sz w:val="24"/>
                    </w:rPr>
                    <w:t>4、TCI模式下支持≥三屏扩展显示，支持三屏异显（扩展屏）、支持三屏同显（复制屏）；IDV模式下支持三屏同显（复制屏），双屏异显（扩展屏）。</w:t>
                  </w:r>
                </w:p>
                <w:p>
                  <w:pPr>
                    <w:pStyle w:val="null3"/>
                    <w:jc w:val="both"/>
                  </w:pPr>
                  <w:r>
                    <w:rPr>
                      <w:rFonts w:ascii="仿宋_GB2312" w:hAnsi="仿宋_GB2312" w:cs="仿宋_GB2312" w:eastAsia="仿宋_GB2312"/>
                      <w:sz w:val="24"/>
                    </w:rPr>
                    <w:t>5、平均故障间隔时间（MTBF）≥30万小时。</w:t>
                  </w:r>
                </w:p>
                <w:p>
                  <w:pPr>
                    <w:pStyle w:val="null3"/>
                    <w:jc w:val="both"/>
                  </w:pPr>
                  <w:r>
                    <w:rPr>
                      <w:rFonts w:ascii="仿宋_GB2312" w:hAnsi="仿宋_GB2312" w:cs="仿宋_GB2312" w:eastAsia="仿宋_GB2312"/>
                      <w:sz w:val="24"/>
                    </w:rPr>
                    <w:t>6、设备满载噪声指标≤33dB。</w:t>
                  </w:r>
                </w:p>
                <w:p>
                  <w:pPr>
                    <w:pStyle w:val="null3"/>
                    <w:jc w:val="both"/>
                  </w:pPr>
                  <w:r>
                    <w:rPr>
                      <w:rFonts w:ascii="仿宋_GB2312" w:hAnsi="仿宋_GB2312" w:cs="仿宋_GB2312" w:eastAsia="仿宋_GB2312"/>
                      <w:sz w:val="24"/>
                    </w:rPr>
                    <w:t>7、云桌面控制平台软件，采用B/S（Broswer/Server）架构，提供云桌面管理、镜像管理、用户管理、终端管理、策略管理等功能模块。</w:t>
                  </w:r>
                </w:p>
                <w:p>
                  <w:pPr>
                    <w:pStyle w:val="null3"/>
                    <w:jc w:val="both"/>
                  </w:pPr>
                  <w:r>
                    <w:rPr>
                      <w:rFonts w:ascii="仿宋_GB2312" w:hAnsi="仿宋_GB2312" w:cs="仿宋_GB2312" w:eastAsia="仿宋_GB2312"/>
                      <w:sz w:val="24"/>
                    </w:rPr>
                    <w:t>8、支持应用程序安装包和共享文件的管理，包括：上传、删除、查询与制作镜像时加载到虚拟机内部、支持创建、修改、查询和删除用户的操作、支持镜像自动快照功能，管理员发布镜像时系统自动生成快照，支持快照恢复。</w:t>
                  </w:r>
                </w:p>
                <w:p>
                  <w:pPr>
                    <w:pStyle w:val="null3"/>
                    <w:jc w:val="both"/>
                  </w:pPr>
                  <w:r>
                    <w:rPr>
                      <w:rFonts w:ascii="仿宋_GB2312" w:hAnsi="仿宋_GB2312" w:cs="仿宋_GB2312" w:eastAsia="仿宋_GB2312"/>
                      <w:sz w:val="24"/>
                    </w:rPr>
                    <w:t>9、支持对接LDAP、AD域导入用户，支持通过导入Excel文件的方式批量新建用户信息、支持用户密码初始化，管理员可以在Web管理界面初始化用户的密码、支持访客用户，一个访客用户可以分配多个云桌面，访客登录时随机分配一个没有登录的云桌面。</w:t>
                  </w:r>
                </w:p>
                <w:p>
                  <w:pPr>
                    <w:pStyle w:val="null3"/>
                    <w:jc w:val="both"/>
                  </w:pPr>
                  <w:r>
                    <w:rPr>
                      <w:rFonts w:ascii="仿宋_GB2312" w:hAnsi="仿宋_GB2312" w:cs="仿宋_GB2312" w:eastAsia="仿宋_GB2312"/>
                      <w:sz w:val="24"/>
                    </w:rPr>
                    <w:t>10、支持通过推送安装包、应用磁盘的方式，为桌面提供应用管理能力，同时推送安装包、应用磁盘的能力需包含VDI、IDV、TCI三种类型。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50台</w:t>
                  </w:r>
                </w:p>
              </w:tc>
            </w:tr>
            <w:tr>
              <w:tc>
                <w:tcPr>
                  <w:tcW w:type="dxa" w:w="1101"/>
                  <w:vMerge/>
                  <w:tcBorders>
                    <w:top w:val="none" w:color="000000" w:sz="4"/>
                    <w:left w:val="single" w:color="000000" w:sz="4"/>
                    <w:bottom w:val="single" w:color="000000" w:sz="4"/>
                    <w:right w:val="single" w:color="000000" w:sz="4"/>
                  </w:tcBorders>
                </w:tcP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液晶显示器</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显示器</w:t>
                  </w:r>
                  <w:r>
                    <w:rPr>
                      <w:rFonts w:ascii="仿宋_GB2312" w:hAnsi="仿宋_GB2312" w:cs="仿宋_GB2312" w:eastAsia="仿宋_GB2312"/>
                      <w:sz w:val="24"/>
                    </w:rPr>
                    <w:t>≥23.8英寸，IPS屏幕，原生8bit色深，分辨率≥1920x1080，附带HDMI线，内含有线键盘、鼠标、鼠标垫。</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50台</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本次采购设备，按照规划需接入我院现有云桌面服务器（锐捷RG-CS1020）中，实现统一管理与运维，若无法接入，需由中标公司单独提供云桌面服务器（含软件授权），或由中标公司单独提供终端设备（含软件授权）作为服务端实现管理与运维，费用由中标公司承担。</w:t>
            </w:r>
          </w:p>
        </w:tc>
      </w:tr>
    </w:tbl>
    <w:p>
      <w:pPr>
        <w:pStyle w:val="null3"/>
        <w:jc w:val="left"/>
      </w:pPr>
      <w:r>
        <w:rPr>
          <w:rFonts w:ascii="仿宋_GB2312" w:hAnsi="仿宋_GB2312" w:cs="仿宋_GB2312" w:eastAsia="仿宋_GB2312"/>
        </w:rPr>
        <w:t>标的名称：桌面云一体机 （一体式）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1、为保证云桌面软件系统的兼容效果和稳定运行，所有终端均需采用x86架构。</w:t>
            </w:r>
            <w:r>
              <w:br/>
            </w:r>
            <w:r>
              <w:rPr>
                <w:rFonts w:ascii="仿宋_GB2312" w:hAnsi="仿宋_GB2312" w:cs="仿宋_GB2312" w:eastAsia="仿宋_GB2312"/>
              </w:rPr>
              <w:t xml:space="preserve"> 2、CPU：性能≥Intel第十二代i5,≥六核,≥十二线程处理器（处理器主频≥2.5GHz，睿频≥4.4GHz）；内存容量≥8GB，显卡≥Intel UHD 730；本地存储≥512 GB SSD。</w:t>
            </w:r>
            <w:r>
              <w:br/>
            </w:r>
            <w:r>
              <w:rPr>
                <w:rFonts w:ascii="仿宋_GB2312" w:hAnsi="仿宋_GB2312" w:cs="仿宋_GB2312" w:eastAsia="仿宋_GB2312"/>
              </w:rPr>
              <w:t xml:space="preserve"> 3、配置≥23.8英寸显示器，分辨率≥1920×1080，与主机为一体化设计。</w:t>
            </w:r>
            <w:r>
              <w:br/>
            </w:r>
            <w:r>
              <w:rPr>
                <w:rFonts w:ascii="仿宋_GB2312" w:hAnsi="仿宋_GB2312" w:cs="仿宋_GB2312" w:eastAsia="仿宋_GB2312"/>
              </w:rPr>
              <w:t xml:space="preserve"> 4、USB接口数量≥7个（其中USB 3.0接口≥3个，USB 2.0接口≥3个，TYPE-C接口≥1个），千兆网口≥1个，HDMI接口≥1个，音频输入输出接口≥1个，支持4段式耳机音频输入及输出。</w:t>
            </w:r>
            <w:r>
              <w:br/>
            </w:r>
            <w:r>
              <w:rPr>
                <w:rFonts w:ascii="仿宋_GB2312" w:hAnsi="仿宋_GB2312" w:cs="仿宋_GB2312" w:eastAsia="仿宋_GB2312"/>
              </w:rPr>
              <w:t xml:space="preserve"> 5、所投设备平均故障间隔时间（MTBF）≥30万小时。</w:t>
            </w:r>
            <w:r>
              <w:br/>
            </w:r>
            <w:r>
              <w:rPr>
                <w:rFonts w:ascii="仿宋_GB2312" w:hAnsi="仿宋_GB2312" w:cs="仿宋_GB2312" w:eastAsia="仿宋_GB2312"/>
              </w:rPr>
              <w:t xml:space="preserve"> 6、具备关屏功能键，一键可实现关闭屏幕显示，再次按下屏幕显示打开。</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泸州市中医医院两院区内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严格按照《财政部关于进一步加强政府采购需求和履约验收管理的指导意见》（财库〔2016〕205号）的要求组织验收，以采购文件技术参数及要求及响应文件技术响应为准。如出现未在采购文件中明确规定的，以行业相关标准为准。如采购双方如对质量要求和技术指标的约定标准有相互抵触或异议的事项，由采购人在采购与响应文件中按质量要求和技术指标、行业标准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桌面云一体机、桌面云一体机（一体式）质保期≥3年。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双方均应遵守本合同，非因不可抗力而单方面终止执行合同的，将赔偿因违约给对方造成的经济损失，并向对方支付本合同总额10%的违约金，如因成交人原因造成的，采购人不予退还履约保证金外（如涉及），并由采购人提请项目同级财政部门将其列入不良行为记录。 8.2若因成交人原因在合同规定期限内无法交货，采购人有权终止合同，并请示项目同级财政部门（采购科/股）终止合同，采购人不予退还履约保证金并由成交人向采购人支付10%的违约金；或经采购双方协商同意继续履行合同，采购人不予退还履约保证金，采购人视情况在延迟交货期内每天按合同总额3‰的标准收取违约金。因不可抗拒力所导致的交货及付款延迟等按照《中华人民共和国民法典》有关条文处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按采购文件规定的要求进行审查。</w:t>
            </w:r>
          </w:p>
        </w:tc>
        <w:tc>
          <w:tcPr>
            <w:tcW w:type="dxa" w:w="1661"/>
          </w:tcPr>
          <w:p>
            <w:pPr>
              <w:pStyle w:val="null3"/>
              <w:jc w:val="left"/>
            </w:pPr>
            <w:r>
              <w:rPr>
                <w:rFonts w:ascii="仿宋_GB2312" w:hAnsi="仿宋_GB2312" w:cs="仿宋_GB2312" w:eastAsia="仿宋_GB2312"/>
              </w:rPr>
              <w:t>响应文件封面,产品技术参数响应表,报价明细表,供应商应提交的相关证明材料,服务应答表,报价表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评审价格=有效最后报价×（1-价格调整比例）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