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版本号：N513411202600007020260410001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公务用车采购项目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N5134112026000070</w:t>
      </w:r>
    </w:p>
    <w:p>
      <w:pPr>
        <w:pStyle w:val="null3"/>
        <w:jc w:val="left"/>
        <w:outlineLvl w:val="2"/>
      </w:pPr>
      <w:r>
        <w:rPr>
          <w:rFonts w:ascii="仿宋_GB2312" w:hAnsi="仿宋_GB2312" w:cs="仿宋_GB2312" w:eastAsia="仿宋_GB2312"/>
          <w:sz w:val="28"/>
          <w:b/>
        </w:rPr>
        <w:t>凉山彝族自治州木里生态环境局</w:t>
      </w:r>
    </w:p>
    <w:p>
      <w:pPr>
        <w:pStyle w:val="null3"/>
        <w:jc w:val="center"/>
        <w:outlineLvl w:val="2"/>
      </w:pPr>
      <w:r>
        <w:rPr>
          <w:rFonts w:ascii="仿宋_GB2312" w:hAnsi="仿宋_GB2312" w:cs="仿宋_GB2312" w:eastAsia="仿宋_GB2312"/>
          <w:sz w:val="28"/>
          <w:b/>
        </w:rPr>
        <w:t>凉山州政府采购中心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凉山州政府采购中心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凉山彝族自治州木里生态环境局</w:t>
      </w:r>
      <w:r>
        <w:rPr>
          <w:rFonts w:ascii="仿宋_GB2312" w:hAnsi="仿宋_GB2312" w:cs="仿宋_GB2312" w:eastAsia="仿宋_GB2312"/>
        </w:rPr>
        <w:t xml:space="preserve"> 委托，拟对 </w:t>
      </w:r>
      <w:r>
        <w:rPr>
          <w:rFonts w:ascii="仿宋_GB2312" w:hAnsi="仿宋_GB2312" w:cs="仿宋_GB2312" w:eastAsia="仿宋_GB2312"/>
        </w:rPr>
        <w:t>公务用车采购项目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N5134112026000070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公务用车采购项目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本项目共一个包，凉山彝族自治州木里生态环境局采购公务用车一辆。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凉山彝族自治州木里生态环境局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四川省凉山州木里县乔瓦镇龙钦北街96号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0834-6525712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凉山州政府采购中心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四川省凉山彝族自治州西昌市凉山州政务服务和公共资源交易服务中心（西昌市马水河街5号）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0834-2169776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凉山彝族自治州木里生态环境局</w:t>
      </w:r>
      <w:r>
        <w:rPr>
          <w:rFonts w:ascii="仿宋_GB2312" w:hAnsi="仿宋_GB2312" w:cs="仿宋_GB2312" w:eastAsia="仿宋_GB2312"/>
        </w:rPr>
        <w:t xml:space="preserve"> 和 </w:t>
      </w:r>
      <w:r>
        <w:rPr>
          <w:rFonts w:ascii="仿宋_GB2312" w:hAnsi="仿宋_GB2312" w:cs="仿宋_GB2312" w:eastAsia="仿宋_GB2312"/>
        </w:rPr>
        <w:t>凉山州政府采购中心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凉山彝族自治州木里生态环境局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凉山州政府采购中心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供应商提出验收邀请后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凉山彝族自治州木里生态环境局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凉山州政府采购中心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凉山州政府采购中心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联系人：魏老师</w:t>
      </w:r>
    </w:p>
    <w:p>
      <w:pPr>
        <w:pStyle w:val="null3"/>
        <w:jc w:val="left"/>
      </w:pPr>
      <w:r>
        <w:rPr>
          <w:rFonts w:ascii="仿宋_GB2312" w:hAnsi="仿宋_GB2312" w:cs="仿宋_GB2312" w:eastAsia="仿宋_GB2312"/>
        </w:rPr>
        <w:t>联系电话：0834-6525712</w:t>
      </w:r>
    </w:p>
    <w:p>
      <w:pPr>
        <w:pStyle w:val="null3"/>
        <w:jc w:val="left"/>
      </w:pPr>
      <w:r>
        <w:rPr>
          <w:rFonts w:ascii="仿宋_GB2312" w:hAnsi="仿宋_GB2312" w:cs="仿宋_GB2312" w:eastAsia="仿宋_GB2312"/>
        </w:rPr>
        <w:t>地址：四川省凉山州木里县乔瓦镇龙钦北街96号</w:t>
      </w:r>
    </w:p>
    <w:p>
      <w:pPr>
        <w:pStyle w:val="null3"/>
        <w:jc w:val="left"/>
      </w:pPr>
      <w:r>
        <w:rPr>
          <w:rFonts w:ascii="仿宋_GB2312" w:hAnsi="仿宋_GB2312" w:cs="仿宋_GB2312" w:eastAsia="仿宋_GB2312"/>
        </w:rPr>
        <w:t>邮编：615800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联系人：阿西</w:t>
      </w:r>
    </w:p>
    <w:p>
      <w:pPr>
        <w:pStyle w:val="null3"/>
        <w:jc w:val="left"/>
      </w:pPr>
      <w:r>
        <w:rPr>
          <w:rFonts w:ascii="仿宋_GB2312" w:hAnsi="仿宋_GB2312" w:cs="仿宋_GB2312" w:eastAsia="仿宋_GB2312"/>
        </w:rPr>
        <w:t>联系电话：0834-2169776</w:t>
      </w:r>
    </w:p>
    <w:p>
      <w:pPr>
        <w:pStyle w:val="null3"/>
        <w:jc w:val="left"/>
      </w:pPr>
      <w:r>
        <w:rPr>
          <w:rFonts w:ascii="仿宋_GB2312" w:hAnsi="仿宋_GB2312" w:cs="仿宋_GB2312" w:eastAsia="仿宋_GB2312"/>
        </w:rPr>
        <w:t>地址：四川省凉山彝族自治州西昌市凉山州政务服务和公共资源交易服务中心（西昌市马水河街5号）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A02030502 越野车</w:t>
            </w:r>
          </w:p>
        </w:tc>
        <w:tc>
          <w:tcPr>
            <w:tcW w:type="dxa" w:w="821"/>
          </w:tcPr>
          <w:p>
            <w:pPr>
              <w:pStyle w:val="null3"/>
              <w:jc w:val="left"/>
            </w:pPr>
            <w:r>
              <w:rPr>
                <w:rFonts w:ascii="仿宋_GB2312" w:hAnsi="仿宋_GB2312" w:cs="仿宋_GB2312" w:eastAsia="仿宋_GB2312"/>
              </w:rPr>
              <w:t>车辆</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车辆</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所报价格是供应商响应项目要求全部工作内容的价格体现，包括供应商完成本项目所需的一切费用。包含但不限于：车辆裸车费、车辆运输费等，采购人不再另行支付其他费用。</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A02030502 越野车</w:t>
            </w:r>
          </w:p>
        </w:tc>
        <w:tc>
          <w:tcPr>
            <w:tcW w:type="dxa" w:w="2492"/>
          </w:tcPr>
          <w:p>
            <w:pPr>
              <w:pStyle w:val="null3"/>
              <w:jc w:val="left"/>
            </w:pPr>
            <w:r>
              <w:rPr>
                <w:rFonts w:ascii="仿宋_GB2312" w:hAnsi="仿宋_GB2312" w:cs="仿宋_GB2312" w:eastAsia="仿宋_GB2312"/>
              </w:rPr>
              <w:t>车辆</w:t>
            </w:r>
          </w:p>
        </w:tc>
        <w:tc>
          <w:tcPr>
            <w:tcW w:type="dxa" w:w="2492"/>
          </w:tcPr>
          <w:p>
            <w:pPr>
              <w:pStyle w:val="null3"/>
              <w:jc w:val="left"/>
            </w:pPr>
            <w:r>
              <w:rPr>
                <w:rFonts w:ascii="仿宋_GB2312" w:hAnsi="仿宋_GB2312" w:cs="仿宋_GB2312" w:eastAsia="仿宋_GB2312"/>
              </w:rPr>
              <w:t>车辆</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标的名称：车辆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车型级别：中大型</w:t>
            </w:r>
            <w:r>
              <w:rPr>
                <w:rFonts w:ascii="仿宋_GB2312" w:hAnsi="仿宋_GB2312" w:cs="仿宋_GB2312" w:eastAsia="仿宋_GB2312"/>
                <w:sz w:val="22"/>
                <w:color w:val="000000"/>
              </w:rPr>
              <w:t>SUV</w:t>
            </w:r>
          </w:p>
          <w:p>
            <w:pPr>
              <w:pStyle w:val="null3"/>
              <w:jc w:val="left"/>
            </w:pPr>
            <w:r>
              <w:rPr>
                <w:rFonts w:ascii="仿宋_GB2312" w:hAnsi="仿宋_GB2312" w:cs="仿宋_GB2312" w:eastAsia="仿宋_GB2312"/>
                <w:sz w:val="22"/>
                <w:color w:val="000000"/>
              </w:rPr>
              <w:t>2.能源类型：油电混合</w:t>
            </w:r>
          </w:p>
          <w:p>
            <w:pPr>
              <w:pStyle w:val="null3"/>
              <w:jc w:val="left"/>
            </w:pPr>
            <w:r>
              <w:rPr>
                <w:rFonts w:ascii="仿宋_GB2312" w:hAnsi="仿宋_GB2312" w:cs="仿宋_GB2312" w:eastAsia="仿宋_GB2312"/>
                <w:sz w:val="22"/>
                <w:color w:val="000000"/>
              </w:rPr>
              <w:t>3.外形尺寸 (mm) 长*宽*高：</w:t>
            </w:r>
            <w:r>
              <w:rPr>
                <w:rFonts w:ascii="仿宋_GB2312" w:hAnsi="仿宋_GB2312" w:cs="仿宋_GB2312" w:eastAsia="仿宋_GB2312"/>
                <w:sz w:val="22"/>
                <w:color w:val="000000"/>
              </w:rPr>
              <w:t>≥</w:t>
            </w:r>
            <w:r>
              <w:rPr>
                <w:rFonts w:ascii="仿宋_GB2312" w:hAnsi="仿宋_GB2312" w:cs="仿宋_GB2312" w:eastAsia="仿宋_GB2312"/>
                <w:sz w:val="22"/>
                <w:color w:val="000000"/>
              </w:rPr>
              <w:t>4915*1980*1925</w:t>
            </w:r>
          </w:p>
          <w:p>
            <w:pPr>
              <w:pStyle w:val="null3"/>
              <w:jc w:val="left"/>
            </w:pPr>
            <w:r>
              <w:rPr>
                <w:rFonts w:ascii="仿宋_GB2312" w:hAnsi="仿宋_GB2312" w:cs="仿宋_GB2312" w:eastAsia="仿宋_GB2312"/>
                <w:sz w:val="22"/>
                <w:color w:val="000000"/>
              </w:rPr>
              <w:t>4.轴距 (mm) :</w:t>
            </w:r>
            <w:r>
              <w:rPr>
                <w:rFonts w:ascii="仿宋_GB2312" w:hAnsi="仿宋_GB2312" w:cs="仿宋_GB2312" w:eastAsia="仿宋_GB2312"/>
                <w:sz w:val="22"/>
                <w:color w:val="000000"/>
              </w:rPr>
              <w:t>≥</w:t>
            </w:r>
            <w:r>
              <w:rPr>
                <w:rFonts w:ascii="仿宋_GB2312" w:hAnsi="仿宋_GB2312" w:cs="仿宋_GB2312" w:eastAsia="仿宋_GB2312"/>
                <w:sz w:val="22"/>
                <w:color w:val="000000"/>
              </w:rPr>
              <w:t>2800</w:t>
            </w:r>
          </w:p>
          <w:p>
            <w:pPr>
              <w:pStyle w:val="null3"/>
              <w:jc w:val="left"/>
            </w:pPr>
            <w:r>
              <w:rPr>
                <w:rFonts w:ascii="仿宋_GB2312" w:hAnsi="仿宋_GB2312" w:cs="仿宋_GB2312" w:eastAsia="仿宋_GB2312"/>
                <w:sz w:val="22"/>
                <w:color w:val="000000"/>
              </w:rPr>
              <w:t>5.排量（ml）：</w:t>
            </w:r>
            <w:r>
              <w:rPr>
                <w:rFonts w:ascii="仿宋_GB2312" w:hAnsi="仿宋_GB2312" w:cs="仿宋_GB2312" w:eastAsia="仿宋_GB2312"/>
                <w:sz w:val="22"/>
                <w:color w:val="000000"/>
              </w:rPr>
              <w:t>≥</w:t>
            </w:r>
            <w:r>
              <w:rPr>
                <w:rFonts w:ascii="仿宋_GB2312" w:hAnsi="仿宋_GB2312" w:cs="仿宋_GB2312" w:eastAsia="仿宋_GB2312"/>
                <w:sz w:val="22"/>
                <w:color w:val="000000"/>
              </w:rPr>
              <w:t>2300</w:t>
            </w:r>
          </w:p>
          <w:p>
            <w:pPr>
              <w:pStyle w:val="null3"/>
              <w:jc w:val="left"/>
            </w:pPr>
            <w:r>
              <w:rPr>
                <w:rFonts w:ascii="仿宋_GB2312" w:hAnsi="仿宋_GB2312" w:cs="仿宋_GB2312" w:eastAsia="仿宋_GB2312"/>
                <w:sz w:val="22"/>
                <w:color w:val="000000"/>
              </w:rPr>
              <w:t xml:space="preserve">6.变速箱类型: </w:t>
            </w:r>
            <w:r>
              <w:rPr>
                <w:rFonts w:ascii="仿宋_GB2312" w:hAnsi="仿宋_GB2312" w:cs="仿宋_GB2312" w:eastAsia="仿宋_GB2312"/>
                <w:sz w:val="22"/>
                <w:color w:val="000000"/>
              </w:rPr>
              <w:t>≥</w:t>
            </w:r>
            <w:r>
              <w:rPr>
                <w:rFonts w:ascii="仿宋_GB2312" w:hAnsi="仿宋_GB2312" w:cs="仿宋_GB2312" w:eastAsia="仿宋_GB2312"/>
                <w:sz w:val="22"/>
                <w:color w:val="000000"/>
              </w:rPr>
              <w:t>8挡,手自一</w:t>
            </w:r>
            <w:r>
              <w:rPr>
                <w:rFonts w:ascii="仿宋_GB2312" w:hAnsi="仿宋_GB2312" w:cs="仿宋_GB2312" w:eastAsia="仿宋_GB2312"/>
                <w:sz w:val="22"/>
                <w:color w:val="000000"/>
              </w:rPr>
              <w:t>体</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.进气形式:涡轮增压</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.气缸数(个):</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.车身结构：5门5座SUV</w:t>
            </w:r>
          </w:p>
          <w:p>
            <w:pPr>
              <w:pStyle w:val="null3"/>
              <w:jc w:val="left"/>
            </w:pPr>
            <w:r>
              <w:rPr>
                <w:rFonts w:ascii="仿宋_GB2312" w:hAnsi="仿宋_GB2312" w:cs="仿宋_GB2312" w:eastAsia="仿宋_GB2312"/>
                <w:sz w:val="22"/>
                <w:color w:val="000000"/>
              </w:rPr>
              <w:t>10.前后轮胎规格：</w:t>
            </w:r>
            <w:r>
              <w:rPr>
                <w:rFonts w:ascii="仿宋_GB2312" w:hAnsi="仿宋_GB2312" w:cs="仿宋_GB2312" w:eastAsia="仿宋_GB2312"/>
                <w:sz w:val="22"/>
                <w:color w:val="000000"/>
              </w:rPr>
              <w:t>≥265/</w:t>
            </w:r>
            <w:r>
              <w:rPr>
                <w:rFonts w:ascii="仿宋_GB2312" w:hAnsi="仿宋_GB2312" w:cs="仿宋_GB2312" w:eastAsia="仿宋_GB2312"/>
                <w:sz w:val="22"/>
                <w:color w:val="000000"/>
              </w:rPr>
              <w:t>60</w:t>
            </w:r>
            <w:r>
              <w:rPr>
                <w:rFonts w:ascii="仿宋_GB2312" w:hAnsi="仿宋_GB2312" w:cs="仿宋_GB2312" w:eastAsia="仿宋_GB2312"/>
                <w:sz w:val="22"/>
                <w:color w:val="000000"/>
              </w:rPr>
              <w:t xml:space="preserve"> R</w:t>
            </w:r>
            <w:r>
              <w:rPr>
                <w:rFonts w:ascii="仿宋_GB2312" w:hAnsi="仿宋_GB2312" w:cs="仿宋_GB2312" w:eastAsia="仿宋_GB2312"/>
                <w:sz w:val="22"/>
                <w:color w:val="000000"/>
              </w:rPr>
              <w:t>20或优于</w:t>
            </w:r>
          </w:p>
          <w:p>
            <w:pPr>
              <w:pStyle w:val="null3"/>
              <w:jc w:val="left"/>
            </w:pPr>
            <w:r>
              <w:rPr>
                <w:rFonts w:ascii="仿宋_GB2312" w:hAnsi="仿宋_GB2312" w:cs="仿宋_GB2312" w:eastAsia="仿宋_GB2312"/>
                <w:sz w:val="22"/>
                <w:color w:val="000000"/>
              </w:rPr>
              <w:t>11.系统综合功率(kw):</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230 </w:t>
            </w:r>
          </w:p>
          <w:p>
            <w:pPr>
              <w:pStyle w:val="null3"/>
              <w:jc w:val="left"/>
            </w:pPr>
            <w:r>
              <w:rPr>
                <w:rFonts w:ascii="仿宋_GB2312" w:hAnsi="仿宋_GB2312" w:cs="仿宋_GB2312" w:eastAsia="仿宋_GB2312"/>
                <w:sz w:val="22"/>
                <w:color w:val="000000"/>
              </w:rPr>
              <w:t xml:space="preserve"> 12.系统综合扭矩（N.m）：</w:t>
            </w:r>
            <w:r>
              <w:rPr>
                <w:rFonts w:ascii="仿宋_GB2312" w:hAnsi="仿宋_GB2312" w:cs="仿宋_GB2312" w:eastAsia="仿宋_GB2312"/>
                <w:sz w:val="22"/>
                <w:color w:val="000000"/>
              </w:rPr>
              <w:t>≥</w:t>
            </w:r>
            <w:r>
              <w:rPr>
                <w:rFonts w:ascii="仿宋_GB2312" w:hAnsi="仿宋_GB2312" w:cs="仿宋_GB2312" w:eastAsia="仿宋_GB2312"/>
                <w:sz w:val="22"/>
                <w:color w:val="000000"/>
              </w:rPr>
              <w:t>620</w:t>
            </w:r>
          </w:p>
          <w:p>
            <w:pPr>
              <w:pStyle w:val="null3"/>
              <w:jc w:val="left"/>
            </w:pPr>
            <w:r>
              <w:rPr>
                <w:rFonts w:ascii="仿宋_GB2312" w:hAnsi="仿宋_GB2312" w:cs="仿宋_GB2312" w:eastAsia="仿宋_GB2312"/>
                <w:sz w:val="22"/>
                <w:color w:val="000000"/>
              </w:rPr>
              <w:t>13.驱动方式：前置四驱</w:t>
            </w:r>
          </w:p>
          <w:p>
            <w:pPr>
              <w:pStyle w:val="null3"/>
              <w:jc w:val="left"/>
            </w:pPr>
            <w:r>
              <w:rPr>
                <w:rFonts w:ascii="仿宋_GB2312" w:hAnsi="仿宋_GB2312" w:cs="仿宋_GB2312" w:eastAsia="仿宋_GB2312"/>
                <w:sz w:val="22"/>
                <w:color w:val="000000"/>
              </w:rPr>
              <w:t xml:space="preserve">14.四驱形式：全时四驱或优于 </w:t>
            </w:r>
          </w:p>
          <w:p>
            <w:pPr>
              <w:pStyle w:val="null3"/>
              <w:jc w:val="left"/>
            </w:pPr>
            <w:r>
              <w:rPr>
                <w:rFonts w:ascii="仿宋_GB2312" w:hAnsi="仿宋_GB2312" w:cs="仿宋_GB2312" w:eastAsia="仿宋_GB2312"/>
                <w:sz w:val="22"/>
                <w:color w:val="000000"/>
              </w:rPr>
              <w:t xml:space="preserve"> 15.中央差速器结构：配置有 </w:t>
            </w:r>
          </w:p>
          <w:p>
            <w:pPr>
              <w:pStyle w:val="null3"/>
              <w:jc w:val="left"/>
            </w:pPr>
            <w:r>
              <w:rPr>
                <w:rFonts w:ascii="仿宋_GB2312" w:hAnsi="仿宋_GB2312" w:cs="仿宋_GB2312" w:eastAsia="仿宋_GB2312"/>
                <w:sz w:val="22"/>
                <w:color w:val="000000"/>
              </w:rPr>
              <w:t xml:space="preserve">16.车体结构：非承载式 </w:t>
            </w:r>
          </w:p>
          <w:p>
            <w:pPr>
              <w:pStyle w:val="null3"/>
              <w:jc w:val="left"/>
            </w:pPr>
            <w:r>
              <w:rPr>
                <w:rFonts w:ascii="仿宋_GB2312" w:hAnsi="仿宋_GB2312" w:cs="仿宋_GB2312" w:eastAsia="仿宋_GB2312"/>
                <w:sz w:val="22"/>
                <w:color w:val="000000"/>
              </w:rPr>
              <w:t>17.助力类型：电动助力</w:t>
            </w:r>
          </w:p>
          <w:p>
            <w:pPr>
              <w:pStyle w:val="null3"/>
              <w:jc w:val="left"/>
            </w:pPr>
            <w:r>
              <w:rPr>
                <w:rFonts w:ascii="仿宋_GB2312" w:hAnsi="仿宋_GB2312" w:cs="仿宋_GB2312" w:eastAsia="仿宋_GB2312"/>
                <w:sz w:val="22"/>
                <w:color w:val="000000"/>
              </w:rPr>
              <w:t>18.燃料标号形式: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95号 </w:t>
            </w:r>
          </w:p>
          <w:p>
            <w:pPr>
              <w:pStyle w:val="null3"/>
              <w:jc w:val="left"/>
            </w:pPr>
            <w:r>
              <w:rPr>
                <w:rFonts w:ascii="仿宋_GB2312" w:hAnsi="仿宋_GB2312" w:cs="仿宋_GB2312" w:eastAsia="仿宋_GB2312"/>
                <w:sz w:val="22"/>
                <w:color w:val="000000"/>
              </w:rPr>
              <w:t xml:space="preserve">19.前悬类型:双叉臂独立悬架或优于 </w:t>
            </w:r>
          </w:p>
          <w:p>
            <w:pPr>
              <w:pStyle w:val="null3"/>
              <w:jc w:val="left"/>
            </w:pPr>
            <w:r>
              <w:rPr>
                <w:rFonts w:ascii="仿宋_GB2312" w:hAnsi="仿宋_GB2312" w:cs="仿宋_GB2312" w:eastAsia="仿宋_GB2312"/>
                <w:sz w:val="22"/>
                <w:color w:val="000000"/>
              </w:rPr>
              <w:t xml:space="preserve"> 20.后悬类型:整体桥式非独立悬架或优于</w:t>
            </w:r>
          </w:p>
          <w:p>
            <w:pPr>
              <w:pStyle w:val="null3"/>
              <w:jc w:val="left"/>
            </w:pPr>
            <w:r>
              <w:rPr>
                <w:rFonts w:ascii="仿宋_GB2312" w:hAnsi="仿宋_GB2312" w:cs="仿宋_GB2312" w:eastAsia="仿宋_GB2312"/>
                <w:sz w:val="22"/>
                <w:color w:val="000000"/>
              </w:rPr>
              <w:t>21.排放标准：国六</w:t>
            </w:r>
          </w:p>
          <w:p>
            <w:pPr>
              <w:pStyle w:val="null3"/>
              <w:jc w:val="left"/>
            </w:pPr>
            <w:r>
              <w:rPr>
                <w:rFonts w:ascii="仿宋_GB2312" w:hAnsi="仿宋_GB2312" w:cs="仿宋_GB2312" w:eastAsia="仿宋_GB2312"/>
                <w:sz w:val="22"/>
                <w:color w:val="000000"/>
              </w:rPr>
              <w:t xml:space="preserve"> 22.自动大灯：有</w:t>
            </w:r>
          </w:p>
          <w:p>
            <w:pPr>
              <w:pStyle w:val="null3"/>
              <w:jc w:val="left"/>
            </w:pPr>
            <w:r>
              <w:rPr>
                <w:rFonts w:ascii="仿宋_GB2312" w:hAnsi="仿宋_GB2312" w:cs="仿宋_GB2312" w:eastAsia="仿宋_GB2312"/>
                <w:sz w:val="22"/>
                <w:color w:val="000000"/>
              </w:rPr>
              <w:t>23.前雾灯：LED</w:t>
            </w:r>
          </w:p>
          <w:p>
            <w:pPr>
              <w:pStyle w:val="null3"/>
              <w:jc w:val="left"/>
            </w:pPr>
            <w:r>
              <w:rPr>
                <w:rFonts w:ascii="仿宋_GB2312" w:hAnsi="仿宋_GB2312" w:cs="仿宋_GB2312" w:eastAsia="仿宋_GB2312"/>
                <w:sz w:val="22"/>
                <w:color w:val="000000"/>
              </w:rPr>
              <w:t>24.自适应远近光：有</w:t>
            </w:r>
          </w:p>
          <w:p>
            <w:pPr>
              <w:pStyle w:val="null3"/>
              <w:jc w:val="left"/>
            </w:pPr>
            <w:r>
              <w:rPr>
                <w:rFonts w:ascii="仿宋_GB2312" w:hAnsi="仿宋_GB2312" w:cs="仿宋_GB2312" w:eastAsia="仿宋_GB2312"/>
                <w:sz w:val="22"/>
                <w:color w:val="000000"/>
              </w:rPr>
              <w:t>25.大灯高度调节：有</w:t>
            </w:r>
          </w:p>
          <w:p>
            <w:pPr>
              <w:pStyle w:val="null3"/>
              <w:jc w:val="left"/>
            </w:pPr>
            <w:r>
              <w:rPr>
                <w:rFonts w:ascii="仿宋_GB2312" w:hAnsi="仿宋_GB2312" w:cs="仿宋_GB2312" w:eastAsia="仿宋_GB2312"/>
                <w:sz w:val="22"/>
                <w:color w:val="000000"/>
              </w:rPr>
              <w:t>26.外后视镜电动折叠、加热、电动调节：有</w:t>
            </w:r>
          </w:p>
          <w:p>
            <w:pPr>
              <w:pStyle w:val="null3"/>
              <w:jc w:val="left"/>
            </w:pPr>
            <w:r>
              <w:rPr>
                <w:rFonts w:ascii="仿宋_GB2312" w:hAnsi="仿宋_GB2312" w:cs="仿宋_GB2312" w:eastAsia="仿宋_GB2312"/>
                <w:sz w:val="22"/>
                <w:color w:val="000000"/>
              </w:rPr>
              <w:t>27.可开启全景大天窗：有</w:t>
            </w:r>
          </w:p>
          <w:p>
            <w:pPr>
              <w:pStyle w:val="null3"/>
              <w:jc w:val="left"/>
            </w:pPr>
            <w:r>
              <w:rPr>
                <w:rFonts w:ascii="仿宋_GB2312" w:hAnsi="仿宋_GB2312" w:cs="仿宋_GB2312" w:eastAsia="仿宋_GB2312"/>
                <w:sz w:val="22"/>
                <w:color w:val="000000"/>
              </w:rPr>
              <w:t>28.自适应巡航系统:有</w:t>
            </w:r>
          </w:p>
          <w:p>
            <w:pPr>
              <w:pStyle w:val="null3"/>
              <w:jc w:val="left"/>
            </w:pPr>
            <w:r>
              <w:rPr>
                <w:rFonts w:ascii="仿宋_GB2312" w:hAnsi="仿宋_GB2312" w:cs="仿宋_GB2312" w:eastAsia="仿宋_GB2312"/>
                <w:sz w:val="22"/>
                <w:color w:val="000000"/>
              </w:rPr>
              <w:t>29.车道保持辅助，道路交通标识识别系统：有</w:t>
            </w:r>
          </w:p>
          <w:p>
            <w:pPr>
              <w:pStyle w:val="null3"/>
              <w:jc w:val="left"/>
            </w:pPr>
            <w:r>
              <w:rPr>
                <w:rFonts w:ascii="仿宋_GB2312" w:hAnsi="仿宋_GB2312" w:cs="仿宋_GB2312" w:eastAsia="仿宋_GB2312"/>
                <w:sz w:val="22"/>
                <w:color w:val="000000"/>
              </w:rPr>
              <w:t xml:space="preserve">30.360度全景影像：有 </w:t>
            </w:r>
          </w:p>
          <w:p>
            <w:pPr>
              <w:pStyle w:val="null3"/>
              <w:jc w:val="left"/>
            </w:pPr>
            <w:r>
              <w:rPr>
                <w:rFonts w:ascii="仿宋_GB2312" w:hAnsi="仿宋_GB2312" w:cs="仿宋_GB2312" w:eastAsia="仿宋_GB2312"/>
                <w:sz w:val="22"/>
                <w:color w:val="000000"/>
              </w:rPr>
              <w:t xml:space="preserve"> 31.驾驶模式切换系统：有 </w:t>
            </w:r>
          </w:p>
          <w:p>
            <w:pPr>
              <w:pStyle w:val="null3"/>
              <w:jc w:val="left"/>
            </w:pPr>
            <w:r>
              <w:rPr>
                <w:rFonts w:ascii="仿宋_GB2312" w:hAnsi="仿宋_GB2312" w:cs="仿宋_GB2312" w:eastAsia="仿宋_GB2312"/>
                <w:sz w:val="22"/>
                <w:color w:val="000000"/>
              </w:rPr>
              <w:t xml:space="preserve"> 32.上坡辅助：有</w:t>
            </w:r>
          </w:p>
          <w:p>
            <w:pPr>
              <w:pStyle w:val="null3"/>
              <w:jc w:val="left"/>
            </w:pPr>
            <w:r>
              <w:rPr>
                <w:rFonts w:ascii="仿宋_GB2312" w:hAnsi="仿宋_GB2312" w:cs="仿宋_GB2312" w:eastAsia="仿宋_GB2312"/>
                <w:sz w:val="22"/>
                <w:color w:val="000000"/>
              </w:rPr>
              <w:t xml:space="preserve">33.车身颜色：黑色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4"/>
              <w:gridCol w:w="386"/>
              <w:gridCol w:w="1006"/>
              <w:gridCol w:w="3932"/>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符号标识</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服务要求名称</w:t>
                  </w:r>
                </w:p>
              </w:tc>
              <w:tc>
                <w:tcPr>
                  <w:tcW w:type="dxa" w:w="3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19"/>
                    </w:rPr>
                    <w:t>服务要求内容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基本服务要求</w:t>
                  </w:r>
                </w:p>
              </w:tc>
              <w:tc>
                <w:tcPr>
                  <w:tcW w:type="dxa" w:w="3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交车时提供车辆合格证书和使用说明书，维护手册、保养修理所需的各种随车工具及相关设计、制造、检验、安装、技术性指导等前述文件和确保车辆办理注册登记所需的应由中标人提供的必要文件，确保正常注册。（2）须指派专人负责与采购人联系售后服务事宜。（3）投标人提供 7*24 小时电话技术支持和救援服务。（4）质保期内出现质量问题，中标人在接到通知后 30 分钟之内响应，在</w:t>
                  </w:r>
                  <w:r>
                    <w:rPr>
                      <w:rFonts w:ascii="仿宋_GB2312" w:hAnsi="仿宋_GB2312" w:cs="仿宋_GB2312" w:eastAsia="仿宋_GB2312"/>
                      <w:sz w:val="19"/>
                    </w:rPr>
                    <w:t>8</w:t>
                  </w:r>
                  <w:r>
                    <w:rPr>
                      <w:rFonts w:ascii="仿宋_GB2312" w:hAnsi="仿宋_GB2312" w:cs="仿宋_GB2312" w:eastAsia="仿宋_GB2312"/>
                      <w:sz w:val="19"/>
                    </w:rPr>
                    <w:t>小时之内到达故障现场维修或更换，并承担维修或更换的费用。（</w:t>
                  </w:r>
                  <w:r>
                    <w:rPr>
                      <w:rFonts w:ascii="仿宋_GB2312" w:hAnsi="仿宋_GB2312" w:cs="仿宋_GB2312" w:eastAsia="仿宋_GB2312"/>
                      <w:sz w:val="19"/>
                    </w:rPr>
                    <w:t>5）如车辆同一故障经中标人 3次维修仍不能达到招标文件要求，采购人有权退换货并追究中标人的相关责任。（6）中标人对所提供的产品实行终身维修，在质保期外，提供产品的更换、维修只收取材料成本费用，收取工时费按市场价给予下浮 20%的优惠。（7）培训：中标人负责为采购人操作人员至少提供一次操作维护培训，直至其能熟练独立操作及日常维护与保养，简单故障诊断与排除。</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3C 强制性认证或其他强制性要求</w:t>
                  </w:r>
                </w:p>
              </w:tc>
              <w:tc>
                <w:tcPr>
                  <w:tcW w:type="dxa" w:w="3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本次采购若涉及</w:t>
                  </w:r>
                  <w:r>
                    <w:rPr>
                      <w:rFonts w:ascii="仿宋_GB2312" w:hAnsi="仿宋_GB2312" w:cs="仿宋_GB2312" w:eastAsia="仿宋_GB2312"/>
                      <w:sz w:val="19"/>
                    </w:rPr>
                    <w:t>3C强制性认证或其他强制性要求的产品，投标人所有涉及产品均满足相关强制性要求。</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凉山彝族自治州木里生态环境局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2、车辆到场经采购人验收合格后，达到付款条件起10日内，支付合同总金额的60.00%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及政府采购相关法律法规的要求进行验收。验收结果合格的，采购人按合同条款支付采购资金；经多次整改后验收结果仍然不合格的，采购人将不予支付采购资金，并根据合同约定追究违约责任。 （2）验收交付标准和方法：现场验收。 （3）验收组织方式：自行验收 （4）是否邀请本项目的其他供应商：否 （5）是否邀请专家：否 （6）履约验收程序：一次性验收 （7）履约验收时间：自成交供应商提出验收申请之日起10日内组织验收。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中标人对所提供的车辆提供质保服务，具体质保期自验收合格之日起，不低于 3 年或 10 万公里，以先到为准，全国联保</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提供“统一社会信用代码营业执照”；（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以下材料任选其一：①可提供2024或2025年度经审计的财务报告（包含审计报告和审计报告中所涉及的财务报表和报表附注）；②可提供2024或2025年度供应商完整的全套财务报表（应当包括资产负债表、利润表、现金流量表）；③可提供截至采购文件提交截止之日前一年内银行出具的资信证明；④供应商注册时间截至采购文件提交截止之日前不足一年的，也可提供加盖备案主管部门印章的公司章程（扫描件）。供应商需在项目电子化交易系统中按要求上传相应证明文件并进行电子签章。（本条资格审查以以上内容为准）</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需供应商单独提供材料进行响应的实质性要求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