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版本号：N511324202600003020260413001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仪陇县农村生活垃圾分类设施改革试点项目(三次)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N5113242026000030</w:t>
      </w:r>
    </w:p>
    <w:p>
      <w:pPr>
        <w:pStyle w:val="null3"/>
        <w:jc w:val="left"/>
        <w:outlineLvl w:val="2"/>
      </w:pPr>
      <w:r>
        <w:rPr>
          <w:rFonts w:ascii="仿宋_GB2312" w:hAnsi="仿宋_GB2312" w:cs="仿宋_GB2312" w:eastAsia="仿宋_GB2312"/>
          <w:sz w:val="28"/>
          <w:b/>
        </w:rPr>
        <w:t>仪陇县综合行政执法局</w:t>
      </w:r>
    </w:p>
    <w:p>
      <w:pPr>
        <w:pStyle w:val="null3"/>
        <w:jc w:val="center"/>
        <w:outlineLvl w:val="2"/>
      </w:pPr>
      <w:r>
        <w:rPr>
          <w:rFonts w:ascii="仿宋_GB2312" w:hAnsi="仿宋_GB2312" w:cs="仿宋_GB2312" w:eastAsia="仿宋_GB2312"/>
          <w:sz w:val="28"/>
          <w:b/>
        </w:rPr>
        <w:t>四川鸿德招投标代理有限公司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四川鸿德招投标代理有限公司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仪陇县综合行政执法局</w:t>
      </w:r>
      <w:r>
        <w:rPr>
          <w:rFonts w:ascii="仿宋_GB2312" w:hAnsi="仿宋_GB2312" w:cs="仿宋_GB2312" w:eastAsia="仿宋_GB2312"/>
        </w:rPr>
        <w:t xml:space="preserve"> 委托，拟对 </w:t>
      </w:r>
      <w:r>
        <w:rPr>
          <w:rFonts w:ascii="仿宋_GB2312" w:hAnsi="仿宋_GB2312" w:cs="仿宋_GB2312" w:eastAsia="仿宋_GB2312"/>
        </w:rPr>
        <w:t>仪陇县农村生活垃圾分类设施改革试点项目(三次)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南充市仪陇县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N5113242026000030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仪陇县农村生活垃圾分类设施改革试点项目(三次)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sz w:val="24"/>
        </w:rPr>
        <w:t>在乡镇层面建立标准化的生活垃圾分类投放、收集的硬件基础，从而推动居民源头分类习惯养成、提升环境质量、促进资源回收利用、减少</w:t>
      </w:r>
      <w:r>
        <w:rPr>
          <w:rFonts w:ascii="仿宋_GB2312" w:hAnsi="仿宋_GB2312" w:cs="仿宋_GB2312" w:eastAsia="仿宋_GB2312"/>
          <w:sz w:val="24"/>
        </w:rPr>
        <w:t>末端</w:t>
      </w:r>
      <w:r>
        <w:rPr>
          <w:rFonts w:ascii="仿宋_GB2312" w:hAnsi="仿宋_GB2312" w:cs="仿宋_GB2312" w:eastAsia="仿宋_GB2312"/>
          <w:sz w:val="24"/>
        </w:rPr>
        <w:t>处置压力，为建设宜居宜业和美乡村提供硬件设施保障。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1、供应商至少具有一个同类业绩。（描述：提供供应商同类业绩合同（合同中至少包含“垃圾亭”）及项目结算发票扫描件并进行电子签章，如发票上面二维码模糊不清视为无效证明材料。）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仪陇县综合行政执法局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仪陇县新政镇宏德大道一段5号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637635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侯先生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13890827147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四川鸿德招投标代理有限公司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仪陇县新政镇宏德大道东一段24号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637635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0817-8101188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本采购包履约保证金为合同金额的3.0%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收款账号： 仪陇县综合行政执法局。</w:t>
              <w:br/>
              <w:t>开户银行：四川仪陇惠民村镇银行宏德支行。</w:t>
              <w:br/>
              <w:t>银行账号：2000076899000018 。</w:t>
              <w:br/>
              <w:t>交款时间：成交通知书发放后。</w:t>
              <w:br/>
              <w:t>履约保证金退还方式：原账号返回。</w:t>
              <w:br/>
              <w:t xml:space="preserve">履约保证金退还时间：项目履约验收完成后。 </w:t>
              <w:br/>
              <w:t>履约保证金不予退还情形：成交供应商不履行与采购人订立的合同的，履约保证金不予退还。 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代理服务费收费标准：根据《四川省政府采购营商环境指标提升专项行动工作方案》中“成本+合理利润”原则，本项目向成交供应商按成交金额的1.5%收取代理服务费。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仪陇县综合行政执法局</w:t>
      </w:r>
      <w:r>
        <w:rPr>
          <w:rFonts w:ascii="仿宋_GB2312" w:hAnsi="仿宋_GB2312" w:cs="仿宋_GB2312" w:eastAsia="仿宋_GB2312"/>
        </w:rPr>
        <w:t xml:space="preserve"> 和 </w:t>
      </w:r>
      <w:r>
        <w:rPr>
          <w:rFonts w:ascii="仿宋_GB2312" w:hAnsi="仿宋_GB2312" w:cs="仿宋_GB2312" w:eastAsia="仿宋_GB2312"/>
        </w:rPr>
        <w:t>四川鸿德招投标代理有限公司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仪陇县综合行政执法局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四川鸿德招投标代理有限公司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成交供应商交货当日即组织验收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交付的货物有短装、次品、损坏或其它不符合标准及本项目规定之情形者，采购人应做出详尽的现场记录，或由双方签署备忘录，此现场记录或备忘录可用作补充、缺失和更换损坏部件的有效证据，由此产生的时间延误与有关费用由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供应商应将所提供货物的装箱清单、配件、随机工具、用户使用手册、原厂保修卡等资料交付给采购人；供应商不能完整交付货物及本款规定的单证和工具的，必须负责补齐，否则视为未按合同约定交货。</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号）的要求以及采购文件的要求、成交供应商响应文件及承诺、合同约定的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四川鸿德招投标代理有限公司</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四川鸿德招投标代理有限公司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四川鸿德招投标代理有限公司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联系电话：0817-8101188</w:t>
      </w:r>
    </w:p>
    <w:p>
      <w:pPr>
        <w:pStyle w:val="null3"/>
        <w:jc w:val="left"/>
      </w:pPr>
      <w:r>
        <w:rPr>
          <w:rFonts w:ascii="仿宋_GB2312" w:hAnsi="仿宋_GB2312" w:cs="仿宋_GB2312" w:eastAsia="仿宋_GB2312"/>
        </w:rPr>
        <w:t>地址：仪陇县新政镇宏德大道东一段24号</w:t>
      </w:r>
    </w:p>
    <w:p>
      <w:pPr>
        <w:pStyle w:val="null3"/>
        <w:jc w:val="left"/>
      </w:pPr>
      <w:r>
        <w:rPr>
          <w:rFonts w:ascii="仿宋_GB2312" w:hAnsi="仿宋_GB2312" w:cs="仿宋_GB2312" w:eastAsia="仿宋_GB2312"/>
        </w:rPr>
        <w:t>邮编：637635</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750,000.00</w:t>
      </w:r>
    </w:p>
    <w:p>
      <w:pPr>
        <w:pStyle w:val="null3"/>
        <w:jc w:val="left"/>
      </w:pPr>
      <w:r>
        <w:rPr>
          <w:rFonts w:ascii="仿宋_GB2312" w:hAnsi="仿宋_GB2312" w:cs="仿宋_GB2312" w:eastAsia="仿宋_GB2312"/>
        </w:rPr>
        <w:t>采购包最高限价（元）: 677,174.00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A02360300 固体废弃物处理设备</w:t>
            </w:r>
          </w:p>
        </w:tc>
        <w:tc>
          <w:tcPr>
            <w:tcW w:type="dxa" w:w="821"/>
          </w:tcPr>
          <w:p>
            <w:pPr>
              <w:pStyle w:val="null3"/>
              <w:jc w:val="left"/>
            </w:pPr>
            <w:r>
              <w:rPr>
                <w:rFonts w:ascii="仿宋_GB2312" w:hAnsi="仿宋_GB2312" w:cs="仿宋_GB2312" w:eastAsia="仿宋_GB2312"/>
              </w:rPr>
              <w:t>仪陇县农村生活垃圾分类设施改革试点项目（三次）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677,174.00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仪陇县农村生活垃圾分类设施改革试点项目（三次）</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677,174.00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仪陇县农村生活垃圾分类设施改革试点项目</w:t>
            </w:r>
          </w:p>
        </w:tc>
        <w:tc>
          <w:tcPr>
            <w:tcW w:type="dxa" w:w="2492"/>
          </w:tcPr>
          <w:p>
            <w:pPr>
              <w:pStyle w:val="null3"/>
              <w:jc w:val="left"/>
            </w:pPr>
            <w:r>
              <w:rPr>
                <w:rFonts w:ascii="仿宋_GB2312" w:hAnsi="仿宋_GB2312" w:cs="仿宋_GB2312" w:eastAsia="仿宋_GB2312"/>
              </w:rPr>
              <w:t>垃圾亭</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A02360300 固体废弃物处理设备</w:t>
            </w:r>
          </w:p>
        </w:tc>
        <w:tc>
          <w:tcPr>
            <w:tcW w:type="dxa" w:w="2492"/>
          </w:tcPr>
          <w:p>
            <w:pPr>
              <w:pStyle w:val="null3"/>
              <w:jc w:val="left"/>
            </w:pPr>
            <w:r>
              <w:rPr>
                <w:rFonts w:ascii="仿宋_GB2312" w:hAnsi="仿宋_GB2312" w:cs="仿宋_GB2312" w:eastAsia="仿宋_GB2312"/>
              </w:rPr>
              <w:t>仪陇县农村生活垃圾分类设施改革试点项目</w:t>
            </w:r>
          </w:p>
        </w:tc>
        <w:tc>
          <w:tcPr>
            <w:tcW w:type="dxa" w:w="2492"/>
          </w:tcPr>
          <w:p>
            <w:pPr>
              <w:pStyle w:val="null3"/>
              <w:jc w:val="left"/>
            </w:pPr>
            <w:r>
              <w:rPr>
                <w:rFonts w:ascii="仿宋_GB2312" w:hAnsi="仿宋_GB2312" w:cs="仿宋_GB2312" w:eastAsia="仿宋_GB2312"/>
              </w:rPr>
              <w:t>垃圾桶</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标的名称：仪陇县农村生活垃圾分类设施改革试点项目（三次）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仪陇县农村生活垃圾分类设施改革试点项目（三次）</w:t>
            </w:r>
          </w:p>
        </w:tc>
        <w:tc>
          <w:tcPr>
            <w:tcW w:type="dxa" w:w="5814"/>
          </w:tcPr>
          <w:p>
            <w:pPr>
              <w:pStyle w:val="null3"/>
              <w:jc w:val="both"/>
            </w:pPr>
            <w:r>
              <w:rPr>
                <w:rFonts w:ascii="仿宋_GB2312" w:hAnsi="仿宋_GB2312" w:cs="仿宋_GB2312" w:eastAsia="仿宋_GB2312"/>
                <w:sz w:val="24"/>
                <w:b/>
              </w:rPr>
              <w:t>一、项目概述</w:t>
            </w:r>
          </w:p>
          <w:p>
            <w:pPr>
              <w:pStyle w:val="null3"/>
              <w:ind w:firstLine="480"/>
              <w:jc w:val="both"/>
            </w:pPr>
            <w:r>
              <w:rPr>
                <w:rFonts w:ascii="仿宋_GB2312" w:hAnsi="仿宋_GB2312" w:cs="仿宋_GB2312" w:eastAsia="仿宋_GB2312"/>
                <w:sz w:val="24"/>
              </w:rPr>
              <w:t>为扎实推进宜居宜业和美乡村建设，完善农村生活垃圾收运处置体系，</w:t>
            </w:r>
            <w:r>
              <w:rPr>
                <w:rFonts w:ascii="仿宋_GB2312" w:hAnsi="仿宋_GB2312" w:cs="仿宋_GB2312" w:eastAsia="仿宋_GB2312"/>
                <w:sz w:val="24"/>
              </w:rPr>
              <w:t>仪陇县综合行政执法局拟采购一批垃圾亭和垃圾桶，新建四类垃圾分类亭</w:t>
            </w:r>
            <w:r>
              <w:rPr>
                <w:rFonts w:ascii="仿宋_GB2312" w:hAnsi="仿宋_GB2312" w:cs="仿宋_GB2312" w:eastAsia="仿宋_GB2312"/>
                <w:sz w:val="24"/>
              </w:rPr>
              <w:t>94个（马鞍镇南海村15处、铁山村18处、大梁村20处、金山村28处、瓦子坪村13处），购买垃圾桶620个。</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782"/>
              <w:gridCol w:w="717"/>
              <w:gridCol w:w="1667"/>
              <w:gridCol w:w="735"/>
              <w:gridCol w:w="568"/>
              <w:gridCol w:w="521"/>
              <w:gridCol w:w="577"/>
            </w:tblGrid>
            <w:tr>
              <w:tc>
                <w:tcPr>
                  <w:tcW w:type="dxa" w:w="7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品目</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行业</w:t>
                  </w:r>
                </w:p>
                <w:p>
                  <w:pPr>
                    <w:pStyle w:val="null3"/>
                    <w:jc w:val="center"/>
                  </w:pPr>
                  <w:r>
                    <w:rPr>
                      <w:rFonts w:ascii="仿宋_GB2312" w:hAnsi="仿宋_GB2312" w:cs="仿宋_GB2312" w:eastAsia="仿宋_GB2312"/>
                      <w:sz w:val="24"/>
                    </w:rPr>
                    <w:t>类型</w:t>
                  </w:r>
                </w:p>
              </w:tc>
              <w:tc>
                <w:tcPr>
                  <w:tcW w:type="dxa" w:w="5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A01029900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垃圾亭</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A07090200</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4"/>
                <w:b/>
              </w:rPr>
              <w:t>三</w:t>
            </w:r>
            <w:r>
              <w:rPr>
                <w:rFonts w:ascii="仿宋_GB2312" w:hAnsi="仿宋_GB2312" w:cs="仿宋_GB2312" w:eastAsia="仿宋_GB2312"/>
                <w:sz w:val="24"/>
                <w:b/>
              </w:rPr>
              <w:t>、技术参数要求</w:t>
            </w:r>
          </w:p>
          <w:tbl>
            <w:tblPr>
              <w:tblBorders>
                <w:top w:val="none" w:color="000000" w:sz="4"/>
                <w:left w:val="none" w:color="000000" w:sz="4"/>
                <w:bottom w:val="none" w:color="000000" w:sz="4"/>
                <w:right w:val="none" w:color="000000" w:sz="4"/>
                <w:insideH w:val="none"/>
                <w:insideV w:val="none"/>
              </w:tblBorders>
            </w:tblPr>
            <w:tblGrid>
              <w:gridCol w:w="622"/>
              <w:gridCol w:w="668"/>
              <w:gridCol w:w="4298"/>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4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技术要求</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垃圾亭</w:t>
                  </w:r>
                </w:p>
              </w:tc>
              <w:tc>
                <w:tcPr>
                  <w:tcW w:type="dxa" w:w="4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1.规格：3200*1400*2500</w:t>
                  </w:r>
                  <w:r>
                    <w:rPr>
                      <w:rFonts w:ascii="仿宋_GB2312" w:hAnsi="仿宋_GB2312" w:cs="仿宋_GB2312" w:eastAsia="仿宋_GB2312"/>
                      <w:sz w:val="24"/>
                    </w:rPr>
                    <w:t>(</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2.立柱采用镀锌钢矩管</w:t>
                  </w:r>
                  <w:r>
                    <w:rPr>
                      <w:rFonts w:ascii="仿宋_GB2312" w:hAnsi="仿宋_GB2312" w:cs="仿宋_GB2312" w:eastAsia="仿宋_GB2312"/>
                      <w:sz w:val="24"/>
                    </w:rPr>
                    <w:t>（</w:t>
                  </w:r>
                  <w:r>
                    <w:rPr>
                      <w:rFonts w:ascii="仿宋_GB2312" w:hAnsi="仿宋_GB2312" w:cs="仿宋_GB2312" w:eastAsia="仿宋_GB2312"/>
                      <w:sz w:val="24"/>
                    </w:rPr>
                    <w:t>长、宽、厚度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100*100mm*3.0mm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3.顶棚采用人字顶结构，顶棚坡度为30°，顶棚横向龙骨采用3根40mmX60mmX2.0mm镀锌矩管</w:t>
                  </w:r>
                  <w:r>
                    <w:rPr>
                      <w:rFonts w:ascii="仿宋_GB2312" w:hAnsi="仿宋_GB2312" w:cs="仿宋_GB2312" w:eastAsia="仿宋_GB2312"/>
                      <w:sz w:val="24"/>
                    </w:rPr>
                    <w:t>，</w:t>
                  </w:r>
                  <w:r>
                    <w:rPr>
                      <w:rFonts w:ascii="仿宋_GB2312" w:hAnsi="仿宋_GB2312" w:cs="仿宋_GB2312" w:eastAsia="仿宋_GB2312"/>
                      <w:sz w:val="24"/>
                    </w:rPr>
                    <w:t>顶部纵向龙骨采用</w:t>
                  </w:r>
                  <w:r>
                    <w:rPr>
                      <w:rFonts w:ascii="仿宋_GB2312" w:hAnsi="仿宋_GB2312" w:cs="仿宋_GB2312" w:eastAsia="仿宋_GB2312"/>
                      <w:sz w:val="24"/>
                    </w:rPr>
                    <w:t>6根40mmX60mmX2.0mm 镀锌矩管，顶棚盖板采用1.2mm 的强耐力镀锌钢板，顶棚面层采用树脂瓦进行装饰；顶棚每边向外延伸300mm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4.侧板采用1.0mm 强耐力镀锌板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5.镀锌矩管镀</w:t>
                  </w:r>
                  <w:r>
                    <w:rPr>
                      <w:rFonts w:ascii="仿宋_GB2312" w:hAnsi="仿宋_GB2312" w:cs="仿宋_GB2312" w:eastAsia="仿宋_GB2312"/>
                      <w:sz w:val="24"/>
                    </w:rPr>
                    <w:t>锌</w:t>
                  </w:r>
                  <w:r>
                    <w:rPr>
                      <w:rFonts w:ascii="仿宋_GB2312" w:hAnsi="仿宋_GB2312" w:cs="仿宋_GB2312" w:eastAsia="仿宋_GB2312"/>
                      <w:sz w:val="24"/>
                    </w:rPr>
                    <w:t>层重量：</w:t>
                  </w:r>
                  <w:r>
                    <w:rPr>
                      <w:rFonts w:ascii="仿宋_GB2312" w:hAnsi="仿宋_GB2312" w:cs="仿宋_GB2312" w:eastAsia="仿宋_GB2312"/>
                      <w:sz w:val="24"/>
                    </w:rPr>
                    <w:t>≥</w:t>
                  </w:r>
                  <w:r>
                    <w:rPr>
                      <w:rFonts w:ascii="仿宋_GB2312" w:hAnsi="仿宋_GB2312" w:cs="仿宋_GB2312" w:eastAsia="仿宋_GB2312"/>
                      <w:sz w:val="24"/>
                    </w:rPr>
                    <w:t>660g/m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5.广告面积</w:t>
                  </w:r>
                  <w:r>
                    <w:rPr>
                      <w:rFonts w:ascii="仿宋_GB2312" w:hAnsi="仿宋_GB2312" w:cs="仿宋_GB2312" w:eastAsia="仿宋_GB2312"/>
                      <w:sz w:val="24"/>
                    </w:rPr>
                    <w:t>（</w:t>
                  </w:r>
                  <w:r>
                    <w:rPr>
                      <w:rFonts w:ascii="仿宋_GB2312" w:hAnsi="仿宋_GB2312" w:cs="仿宋_GB2312" w:eastAsia="仿宋_GB2312"/>
                      <w:sz w:val="24"/>
                    </w:rPr>
                    <w:t>800mmx650mm</w:t>
                  </w:r>
                  <w:r>
                    <w:rPr>
                      <w:rFonts w:ascii="仿宋_GB2312" w:hAnsi="仿宋_GB2312" w:cs="仿宋_GB2312" w:eastAsia="仿宋_GB2312"/>
                      <w:sz w:val="24"/>
                    </w:rPr>
                    <w:t>）</w:t>
                  </w:r>
                  <w:r>
                    <w:rPr>
                      <w:rFonts w:ascii="仿宋_GB2312" w:hAnsi="仿宋_GB2312" w:cs="仿宋_GB2312" w:eastAsia="仿宋_GB2312"/>
                      <w:sz w:val="24"/>
                    </w:rPr>
                    <w:t>x4</w:t>
                  </w:r>
                  <w:r>
                    <w:rPr>
                      <w:rFonts w:ascii="仿宋_GB2312" w:hAnsi="仿宋_GB2312" w:cs="仿宋_GB2312" w:eastAsia="仿宋_GB2312"/>
                      <w:sz w:val="24"/>
                    </w:rPr>
                    <w:t>，</w:t>
                  </w:r>
                  <w:r>
                    <w:rPr>
                      <w:rFonts w:ascii="仿宋_GB2312" w:hAnsi="仿宋_GB2312" w:cs="仿宋_GB2312" w:eastAsia="仿宋_GB2312"/>
                      <w:sz w:val="24"/>
                    </w:rPr>
                    <w:t>定制广告采用户外亮膜高清写真背胶贴纸，广告内容根据采购人的要求进行设计制作，结算时按相关程序办理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6.安装场地硬化面积：3400*1600*150(mm</w:t>
                  </w:r>
                  <w:r>
                    <w:rPr>
                      <w:rFonts w:ascii="仿宋_GB2312" w:hAnsi="仿宋_GB2312" w:cs="仿宋_GB2312" w:eastAsia="仿宋_GB2312"/>
                      <w:sz w:val="24"/>
                    </w:rPr>
                    <w:t>）</w:t>
                  </w:r>
                  <w:r>
                    <w:rPr>
                      <w:rFonts w:ascii="仿宋_GB2312" w:hAnsi="仿宋_GB2312" w:cs="仿宋_GB2312" w:eastAsia="仿宋_GB2312"/>
                      <w:sz w:val="24"/>
                    </w:rPr>
                    <w:t>（含场地拆除、平整）</w:t>
                  </w:r>
                  <w:r>
                    <w:rPr>
                      <w:rFonts w:ascii="仿宋_GB2312" w:hAnsi="仿宋_GB2312" w:cs="仿宋_GB2312" w:eastAsia="仿宋_GB2312"/>
                      <w:sz w:val="24"/>
                    </w:rPr>
                    <w:t>；</w:t>
                  </w:r>
                  <w:r>
                    <w:rPr>
                      <w:rFonts w:ascii="仿宋_GB2312" w:hAnsi="仿宋_GB2312" w:cs="仿宋_GB2312" w:eastAsia="仿宋_GB2312"/>
                      <w:sz w:val="24"/>
                    </w:rPr>
                    <w:t>7.配备4个240升四分类垃圾桶，有害垃圾（红色）、可回收物（蓝色）、厨余垃圾（绿色）、其他垃圾（黑色），技术要求符合采购标的“垃圾桶”的所有要求。</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垃圾桶</w:t>
                  </w:r>
                </w:p>
              </w:tc>
              <w:tc>
                <w:tcPr>
                  <w:tcW w:type="dxa" w:w="4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1.容积：240升（±5%）；</w:t>
                  </w:r>
                </w:p>
                <w:p>
                  <w:pPr>
                    <w:pStyle w:val="null3"/>
                    <w:jc w:val="left"/>
                  </w:pPr>
                  <w:r>
                    <w:rPr>
                      <w:rFonts w:ascii="仿宋_GB2312" w:hAnsi="仿宋_GB2312" w:cs="仿宋_GB2312" w:eastAsia="仿宋_GB2312"/>
                      <w:sz w:val="24"/>
                    </w:rPr>
                    <w:t>2.长×宽×高：720×580×1050（±5mm）；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3.整体重量：≥13.3kg；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4.桶身重量：≥10.2kg；</w:t>
                  </w:r>
                </w:p>
                <w:p>
                  <w:pPr>
                    <w:pStyle w:val="null3"/>
                    <w:jc w:val="left"/>
                  </w:pPr>
                  <w:r>
                    <w:rPr>
                      <w:rFonts w:ascii="仿宋_GB2312" w:hAnsi="仿宋_GB2312" w:cs="仿宋_GB2312" w:eastAsia="仿宋_GB2312"/>
                      <w:sz w:val="24"/>
                    </w:rPr>
                    <w:t>5.盖子重量：≥1.6kg；</w:t>
                  </w:r>
                </w:p>
                <w:p>
                  <w:pPr>
                    <w:pStyle w:val="null3"/>
                    <w:jc w:val="left"/>
                  </w:pPr>
                  <w:r>
                    <w:rPr>
                      <w:rFonts w:ascii="仿宋_GB2312" w:hAnsi="仿宋_GB2312" w:cs="仿宋_GB2312" w:eastAsia="仿宋_GB2312"/>
                      <w:sz w:val="24"/>
                    </w:rPr>
                    <w:t>6.橡胶轮规格：≥200×50×100mm，内圈聚乙烯，内置钢套，外圈橡胶轮；</w:t>
                  </w:r>
                </w:p>
                <w:p>
                  <w:pPr>
                    <w:pStyle w:val="null3"/>
                    <w:jc w:val="left"/>
                  </w:pPr>
                  <w:r>
                    <w:rPr>
                      <w:rFonts w:ascii="仿宋_GB2312" w:hAnsi="仿宋_GB2312" w:cs="仿宋_GB2312" w:eastAsia="仿宋_GB2312"/>
                      <w:sz w:val="24"/>
                    </w:rPr>
                    <w:t>7.钢轴规格：≥22×555mm；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8.桶体壁厚：≥5.0mm；</w:t>
                  </w:r>
                </w:p>
                <w:p>
                  <w:pPr>
                    <w:pStyle w:val="null3"/>
                    <w:jc w:val="left"/>
                  </w:pPr>
                  <w:r>
                    <w:rPr>
                      <w:rFonts w:ascii="仿宋_GB2312" w:hAnsi="仿宋_GB2312" w:cs="仿宋_GB2312" w:eastAsia="仿宋_GB2312"/>
                      <w:sz w:val="24"/>
                    </w:rPr>
                    <w:t>9.桶底正面底部：在注塑生产过程中嵌ABS材质耐磨钉；</w:t>
                  </w:r>
                </w:p>
                <w:p>
                  <w:pPr>
                    <w:pStyle w:val="null3"/>
                    <w:jc w:val="left"/>
                  </w:pPr>
                  <w:r>
                    <w:rPr>
                      <w:rFonts w:ascii="仿宋_GB2312" w:hAnsi="仿宋_GB2312" w:cs="仿宋_GB2312" w:eastAsia="仿宋_GB2312"/>
                      <w:sz w:val="24"/>
                    </w:rPr>
                    <w:t>10.耐受温度：高温65℃、低温-30℃的气温下，不变形，不开裂；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11.材料：全新高密度聚乙烯（HDPE）。</w:t>
                  </w:r>
                </w:p>
                <w:p>
                  <w:pPr>
                    <w:pStyle w:val="null3"/>
                    <w:jc w:val="left"/>
                  </w:pPr>
                  <w:r>
                    <w:rPr>
                      <w:rFonts w:ascii="仿宋_GB2312" w:hAnsi="仿宋_GB2312" w:cs="仿宋_GB2312" w:eastAsia="仿宋_GB2312"/>
                      <w:sz w:val="24"/>
                    </w:rPr>
                    <w:t>其他功能性技术要求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1.橡胶轮与底轴：轴采用Ф22低碳钢材，三次酸洗彻底清除氧化面，经过电镀锌特殊工艺制成的钢轮轴。坚固耐用、抗氧化、防锈功能，橡胶轮与底轴之间采用自然固定连接；</w:t>
                  </w:r>
                </w:p>
                <w:p>
                  <w:pPr>
                    <w:pStyle w:val="null3"/>
                    <w:jc w:val="left"/>
                  </w:pPr>
                  <w:r>
                    <w:rPr>
                      <w:rFonts w:ascii="仿宋_GB2312" w:hAnsi="仿宋_GB2312" w:cs="仿宋_GB2312" w:eastAsia="仿宋_GB2312"/>
                      <w:sz w:val="24"/>
                    </w:rPr>
                    <w:t>2.垃圾桶沿口选用双裙边设计，设有网状加强筋，加强桶沿口在提升架时有足够的机械操作强度。在桶体正面和背面添置连贯性加强筋，桶身两侧添置特有的U型加强凹面筋，使桶的四周能承受足够的机械强度和更大的冲击力；</w:t>
                  </w:r>
                </w:p>
                <w:p>
                  <w:pPr>
                    <w:pStyle w:val="null3"/>
                    <w:jc w:val="left"/>
                  </w:pPr>
                  <w:r>
                    <w:rPr>
                      <w:rFonts w:ascii="仿宋_GB2312" w:hAnsi="仿宋_GB2312" w:cs="仿宋_GB2312" w:eastAsia="仿宋_GB2312"/>
                      <w:sz w:val="24"/>
                    </w:rPr>
                    <w:t>3.桶体内部有刻度线，可随时提醒垃圾桶装货量，防止垃圾超量装，延长垃圾桶使用寿命。</w:t>
                  </w:r>
                </w:p>
                <w:p>
                  <w:pPr>
                    <w:pStyle w:val="null3"/>
                    <w:jc w:val="left"/>
                  </w:pPr>
                  <w:r>
                    <w:rPr>
                      <w:rFonts w:ascii="仿宋_GB2312" w:hAnsi="仿宋_GB2312" w:cs="仿宋_GB2312" w:eastAsia="仿宋_GB2312"/>
                      <w:sz w:val="24"/>
                    </w:rPr>
                    <w:t>4.色彩鲜艳，5年不褪色，耐腐蚀，并且有足够的机械强度和良好的冲击韧性，能与现有的垃圾车配套使用。产品经过6000h抗老化测试，变化率不大于1。正面采用丝网印刷工艺，可根据国家垃圾分类要求丝印分类标识；</w:t>
                  </w:r>
                </w:p>
                <w:p>
                  <w:pPr>
                    <w:pStyle w:val="null3"/>
                    <w:jc w:val="left"/>
                  </w:pPr>
                  <w:r>
                    <w:rPr>
                      <w:rFonts w:ascii="仿宋_GB2312" w:hAnsi="仿宋_GB2312" w:cs="仿宋_GB2312" w:eastAsia="仿宋_GB2312"/>
                      <w:sz w:val="24"/>
                    </w:rPr>
                    <w:t>5.符合中华人民共和国城镇建设行业标准《塑料垃圾桶通用技术条件》CJ/T 280-20</w:t>
                  </w:r>
                  <w:r>
                    <w:rPr>
                      <w:rFonts w:ascii="仿宋_GB2312" w:hAnsi="仿宋_GB2312" w:cs="仿宋_GB2312" w:eastAsia="仿宋_GB2312"/>
                      <w:sz w:val="24"/>
                    </w:rPr>
                    <w:t>20</w:t>
                  </w:r>
                  <w:r>
                    <w:rPr>
                      <w:rFonts w:ascii="仿宋_GB2312" w:hAnsi="仿宋_GB2312" w:cs="仿宋_GB2312" w:eastAsia="仿宋_GB2312"/>
                      <w:sz w:val="24"/>
                    </w:rPr>
                    <w:t>标准。</w:t>
                  </w:r>
                </w:p>
              </w:tc>
            </w:tr>
          </w:tbl>
          <w:p>
            <w:pPr>
              <w:pStyle w:val="null3"/>
              <w:ind w:firstLine="480"/>
              <w:jc w:val="both"/>
            </w:pPr>
            <w:r>
              <w:rPr>
                <w:rFonts w:ascii="仿宋_GB2312" w:hAnsi="仿宋_GB2312" w:cs="仿宋_GB2312" w:eastAsia="仿宋_GB2312"/>
                <w:sz w:val="24"/>
              </w:rPr>
              <w:t>注：带</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参数需提供检测报告或产品制造商官方网站截图，否则视为负偏离。</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自合同签订之日起20日内，如成交供应商不能在20日内交货并完成安装，采购人有权终止合同并没收履约保证金。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1、合同签订生效，收到发票后，达到付款条件起5日内，支付合同总金额的40.00%</w:t>
            </w:r>
          </w:p>
          <w:p>
            <w:pPr>
              <w:pStyle w:val="null3"/>
              <w:jc w:val="left"/>
            </w:pPr>
            <w:r>
              <w:rPr>
                <w:rFonts w:ascii="仿宋_GB2312" w:hAnsi="仿宋_GB2312" w:cs="仿宋_GB2312" w:eastAsia="仿宋_GB2312"/>
              </w:rPr>
              <w:t>2、项目完成安装并验收合格，收到发票后，达到付款条件起5日内，支付合同总金额的60.00%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由采购人组织，成交供应商配合进行。根据《财政部关于进一步加强政府采购需求和履约验收管理的指导意见》（财库〔2016〕205号）、《政府采购需求管理办法》（财库〔2021〕22号）、《南充市财政局关于进一步加强政府采购项目合同履约验收管理工作的通知》、采购文件规定的要求和投标文件及合同承诺的内容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一年，自验收合格之日起算。供应商在接到故障报修后30分钟内响应，若远程不能解决，供应商应于4小时内响应到场｛提供服务人员身份证复印件、单位社保参保证明及4小时内能到达服务现场的证明材料}，并于24小时内完成维修或更换，并承担修理调换的费用。无法在24小时内解决的，供应商须提供备选方案使采购人能够解决紧急问题。如果供应商在接到通知后未及时作出响应，供应商必须对由于故障所造成的损失后果负责。（2）质保期内所有服务方式均为上门保修（远程即可解决的问题除外），即由供应商指派技术人员到现场进行维修，由此产生的费用均由供应商承担。对于人为损坏或其他不可抗拒的外部环境损坏部分，由供应商提供维修，但只收取实际材料费。（3）供应商应具有完善的技术支持和售后服务体系，日常提供便捷的远程服务，实时响应采购人的服务需求和技术咨询，并指派专门负责人与采购人联系售后服务事宜。（4）备品备件：供应商应设立备品备件库，对于常见故障的设备和易损坏的材料进行储备，维修零配件应为原厂配件，未经采购人允许不得使用非原厂配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（1）因货物（软件）的质量问题发生争议，由采购人邀请具有法定资格条件的质量技术监督（检测）机构进行质量鉴定。符合标准的，鉴定费由采购人承担；不符合质量标准的，鉴定费由供应商承担。 （2）合同履行期间，若双方发生争议，双方本着友好合作的态度，对合同履行过程中发生的违约行为进行及时的协商解决或由有关部门调解解决，如不能协商解决可向采购人所在地法院通过法律诉讼解决。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★1.本次谈判文件中所提出的技术要求并不完全包括国家规范和标准的全部要求，供应商所提供的产品应满足本技术要求中所列出的国家有关标准、规范和未列出的国家强制标准、规范的各项要求。 ★2.供应商成交后，采购人有权在交货时要求成交供应商提供货物检测报告进行核查，如果发现原件与响应文件不符或者没有按采购文件响应或检测机构没有相关检测资质，采购人将终止合同且不支付任何费用，并上报财政部门按虚假应标处理，供应商自行承担相应的法律后果。（供应商提供承诺函并加盖公章，格式自拟） ★3.设计要求：本项目不组织现场查勘，供应商需自行查勘并根据现场情况设计垃圾亭，并在响应文件中提供三视图设计图、不少于3张的现场任一安装位置设计效果图及垃圾亭安装位置规划图，效果图及点位规划图需要标注经度和纬度信息，同时效果图需注明安装地点，设计图需体现出技术规格，否则其响应文件按无效处理。 ★4.成交供应商应根据采购人要求对垃圾亭进行深化设计，最终设计方案需经采购人确认后方可生产，否则采购人不支付任何费用，其损失由供应商自行承担。 ★5.供应商报价包含：设备生产或采购、运输、保险、安装、调试、风险、相关配套零部件、易损件备件、相关培训、质保期内的维保、税金等所有价款，采购人不再另外支付任何费用。 ★6.供应商应当于采购项目结果公告发出后3日内与采购人签订合同，否则视为放弃成交资格。（供应商提供承诺函并加盖公章，格式自拟） ★7.采购文件格式仅供参考，供应商应当根据采购文件要求据实响应。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详见第三章“技术、服务及其他要求”中“3.2.技术要求”，“3.4.其他要求”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 xml:space="preserve">无 </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具有独立承担民事责任的能力的证明材料： ①企业法人：提交“统一社会信用代码的营业执照”（复印件）； ②事业法人：提交“统一社会信用代码的事业单位法人证书”（复印件）； ③其他组织：提交“统一社会信用代码的社会团体法人登记证书”或“统一社会信用代码的民办非企业单位登记证书”或“统一社会信用代码的基金会法人登记证书”等按国家法律法规相关规定成立的具有独立承担民事责任能力的经济组织（复印件）； ④自然人：提供为中国公民的自然人身份证明（复印件）。 上述所有证明材料均需进行电子签章。</w:t>
            </w:r>
          </w:p>
        </w:tc>
        <w:tc>
          <w:tcPr>
            <w:tcW w:type="dxa" w:w="1661"/>
          </w:tcPr>
          <w:p>
            <w:pPr>
              <w:pStyle w:val="null3"/>
              <w:jc w:val="left"/>
            </w:pPr>
            <w:r>
              <w:rPr>
                <w:rFonts w:ascii="仿宋_GB2312" w:hAnsi="仿宋_GB2312" w:cs="仿宋_GB2312" w:eastAsia="仿宋_GB2312"/>
              </w:rPr>
              <w:t>响应文件封面,产品技术参数响应表,报价明细表,供应商应提交的相关证明材料,报价表,服务应答表,投标（响应）函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具有健全的财务会计制度的证明材料：A、可提供2023年度（含）至今（任意一年度）财务状况报告 ；B、供应商注册时间不足一年的，提供递交响应文件截止日前一个月内的基本户开户银行资信证明；C、个体工商户等非法人供应商提供递交响应文件截止日前一个月内的银行资信证明。 上述所有证明材料均需进行电子签章。</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供应商需提供单独的承诺函；提供运输车辆资料（自有车辆提供购买发票和行驶证复印件；租赁车辆提供租赁协议、购买发票及行驶证复印件）并进行电子签章。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具有依法缴纳税收和社会保障资金的良好记录证明材料：A、可提供供应商近三个季度任意一个季度的税收完税证明和提交响应文件截止时间前一个月的社会保险参保证明；B、新成立不满足三个季度的供应商提供任意一个月的税收完税证明和提交响应文件截止时间前一个月的社会保险参保证明；C、免税单位提供免税证明和提交响应文件截止时间前一个月的社会保险参保证明。注：社会保险参保证明需提供人力资源和社会保障系统网络查询方式，否则视为无效。</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供应商至少具有一个同类业绩。</w:t>
            </w:r>
          </w:p>
        </w:tc>
        <w:tc>
          <w:tcPr>
            <w:tcW w:type="dxa" w:w="3322"/>
          </w:tcPr>
          <w:p>
            <w:pPr>
              <w:pStyle w:val="null3"/>
              <w:jc w:val="left"/>
            </w:pPr>
            <w:r>
              <w:rPr>
                <w:rFonts w:ascii="仿宋_GB2312" w:hAnsi="仿宋_GB2312" w:cs="仿宋_GB2312" w:eastAsia="仿宋_GB2312"/>
              </w:rPr>
              <w:t>提供供应商同类业绩合同（合同中至少包含“垃圾亭”）及项目结算发票扫描件并进行电子签章，如发票上面二维码模糊不清视为无效证明材料。</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产品技术参数响应表,服务应答表,投标（响应）函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文件不能详细列明采购标的的技术、服务要求，需经谈判由供应商提供最终设计方案或解决方案的，谈判结束后，谈判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