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737FF8">
      <w:pPr>
        <w:tabs>
          <w:tab w:val="left" w:pos="3780"/>
          <w:tab w:val="left" w:pos="3960"/>
        </w:tabs>
        <w:spacing w:line="440" w:lineRule="exact"/>
        <w:jc w:val="center"/>
        <w:rPr>
          <w:rFonts w:hint="eastAsia" w:eastAsia="黑体"/>
          <w:bCs/>
          <w:sz w:val="32"/>
          <w:szCs w:val="32"/>
          <w:lang w:eastAsia="zh-CN"/>
        </w:rPr>
      </w:pPr>
      <w:r>
        <w:rPr>
          <w:rFonts w:eastAsia="黑体"/>
          <w:bCs/>
          <w:sz w:val="32"/>
          <w:szCs w:val="32"/>
        </w:rPr>
        <w:t>报价</w:t>
      </w:r>
      <w:r>
        <w:rPr>
          <w:rFonts w:hint="eastAsia" w:eastAsia="黑体"/>
          <w:bCs/>
          <w:sz w:val="32"/>
          <w:szCs w:val="32"/>
          <w:lang w:eastAsia="zh-CN"/>
        </w:rPr>
        <w:t>明细</w:t>
      </w:r>
      <w:r>
        <w:rPr>
          <w:rFonts w:eastAsia="黑体"/>
          <w:bCs/>
          <w:sz w:val="32"/>
          <w:szCs w:val="32"/>
        </w:rPr>
        <w:t>表</w:t>
      </w:r>
    </w:p>
    <w:p w14:paraId="1FEAE218">
      <w:pPr>
        <w:spacing w:line="440" w:lineRule="exact"/>
        <w:rPr>
          <w:sz w:val="24"/>
        </w:rPr>
      </w:pPr>
    </w:p>
    <w:p w14:paraId="5E165AB9">
      <w:pPr>
        <w:spacing w:line="440" w:lineRule="exact"/>
        <w:rPr>
          <w:b/>
          <w:sz w:val="24"/>
        </w:rPr>
      </w:pPr>
      <w:r>
        <w:rPr>
          <w:sz w:val="24"/>
        </w:rPr>
        <w:t>项目名称：</w:t>
      </w:r>
      <w:r>
        <w:rPr>
          <w:sz w:val="24"/>
          <w:u w:val="single"/>
        </w:rPr>
        <w:t xml:space="preserve">                    </w:t>
      </w:r>
      <w:r>
        <w:rPr>
          <w:sz w:val="24"/>
        </w:rPr>
        <w:t xml:space="preserve">      </w:t>
      </w:r>
      <w:r>
        <w:rPr>
          <w:b/>
          <w:sz w:val="24"/>
        </w:rPr>
        <w:t xml:space="preserve">            </w:t>
      </w:r>
      <w:r>
        <w:rPr>
          <w:sz w:val="24"/>
        </w:rPr>
        <w:t xml:space="preserve">      </w:t>
      </w:r>
      <w:r>
        <w:rPr>
          <w:b/>
          <w:sz w:val="24"/>
        </w:rPr>
        <w:t xml:space="preserve">            </w:t>
      </w:r>
    </w:p>
    <w:p w14:paraId="11D979B2">
      <w:pPr>
        <w:tabs>
          <w:tab w:val="left" w:pos="10395"/>
        </w:tabs>
        <w:spacing w:line="440" w:lineRule="exact"/>
        <w:ind w:right="968"/>
        <w:rPr>
          <w:b/>
          <w:sz w:val="24"/>
        </w:rPr>
      </w:pPr>
      <w:r>
        <w:rPr>
          <w:sz w:val="24"/>
        </w:rPr>
        <w:t>包号：第</w:t>
      </w:r>
      <w:r>
        <w:rPr>
          <w:sz w:val="24"/>
          <w:u w:val="single"/>
        </w:rPr>
        <w:t xml:space="preserve">   </w:t>
      </w:r>
      <w:r>
        <w:rPr>
          <w:sz w:val="24"/>
        </w:rPr>
        <w:t>包</w:t>
      </w:r>
    </w:p>
    <w:tbl>
      <w:tblPr>
        <w:tblStyle w:val="4"/>
        <w:tblW w:w="95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812"/>
        <w:gridCol w:w="886"/>
        <w:gridCol w:w="1272"/>
        <w:gridCol w:w="1005"/>
        <w:gridCol w:w="746"/>
        <w:gridCol w:w="675"/>
        <w:gridCol w:w="930"/>
        <w:gridCol w:w="915"/>
        <w:gridCol w:w="960"/>
        <w:gridCol w:w="831"/>
      </w:tblGrid>
      <w:tr w14:paraId="38D5D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469" w:type="dxa"/>
            <w:noWrap w:val="0"/>
            <w:vAlign w:val="center"/>
          </w:tcPr>
          <w:p w14:paraId="5EBB9E8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812" w:type="dxa"/>
            <w:noWrap w:val="0"/>
            <w:vAlign w:val="center"/>
          </w:tcPr>
          <w:p w14:paraId="50274532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标的</w:t>
            </w:r>
            <w:bookmarkStart w:id="0" w:name="_GoBack"/>
            <w:bookmarkEnd w:id="0"/>
            <w:r>
              <w:rPr>
                <w:sz w:val="24"/>
              </w:rPr>
              <w:t>名称</w:t>
            </w:r>
          </w:p>
        </w:tc>
        <w:tc>
          <w:tcPr>
            <w:tcW w:w="886" w:type="dxa"/>
            <w:noWrap w:val="0"/>
            <w:vAlign w:val="center"/>
          </w:tcPr>
          <w:p w14:paraId="1EB8C944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品牌</w:t>
            </w:r>
          </w:p>
        </w:tc>
        <w:tc>
          <w:tcPr>
            <w:tcW w:w="1272" w:type="dxa"/>
            <w:noWrap w:val="0"/>
            <w:vAlign w:val="center"/>
          </w:tcPr>
          <w:p w14:paraId="44C288F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规格型号</w:t>
            </w:r>
          </w:p>
        </w:tc>
        <w:tc>
          <w:tcPr>
            <w:tcW w:w="1005" w:type="dxa"/>
            <w:noWrap w:val="0"/>
            <w:vAlign w:val="center"/>
          </w:tcPr>
          <w:p w14:paraId="73050C7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制造</w:t>
            </w:r>
          </w:p>
          <w:p w14:paraId="5DE3E383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商家</w:t>
            </w:r>
          </w:p>
        </w:tc>
        <w:tc>
          <w:tcPr>
            <w:tcW w:w="746" w:type="dxa"/>
            <w:noWrap w:val="0"/>
            <w:vAlign w:val="center"/>
          </w:tcPr>
          <w:p w14:paraId="736698F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产地</w:t>
            </w:r>
          </w:p>
        </w:tc>
        <w:tc>
          <w:tcPr>
            <w:tcW w:w="675" w:type="dxa"/>
            <w:noWrap w:val="0"/>
            <w:vAlign w:val="center"/>
          </w:tcPr>
          <w:p w14:paraId="3B50F7C6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单位</w:t>
            </w:r>
          </w:p>
        </w:tc>
        <w:tc>
          <w:tcPr>
            <w:tcW w:w="930" w:type="dxa"/>
            <w:noWrap w:val="0"/>
            <w:vAlign w:val="center"/>
          </w:tcPr>
          <w:p w14:paraId="2D8D7BCF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数量</w:t>
            </w:r>
          </w:p>
        </w:tc>
        <w:tc>
          <w:tcPr>
            <w:tcW w:w="915" w:type="dxa"/>
            <w:noWrap w:val="0"/>
            <w:vAlign w:val="center"/>
          </w:tcPr>
          <w:p w14:paraId="379D25B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单价</w:t>
            </w:r>
          </w:p>
          <w:p w14:paraId="574EA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（元）</w:t>
            </w:r>
          </w:p>
        </w:tc>
        <w:tc>
          <w:tcPr>
            <w:tcW w:w="960" w:type="dxa"/>
            <w:noWrap w:val="0"/>
            <w:vAlign w:val="center"/>
          </w:tcPr>
          <w:p w14:paraId="5E2538C0">
            <w:pPr>
              <w:widowControl/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总价</w:t>
            </w:r>
          </w:p>
          <w:p w14:paraId="550C619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（元）</w:t>
            </w:r>
          </w:p>
        </w:tc>
        <w:tc>
          <w:tcPr>
            <w:tcW w:w="831" w:type="dxa"/>
            <w:noWrap w:val="0"/>
            <w:vAlign w:val="center"/>
          </w:tcPr>
          <w:p w14:paraId="30E5447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是否属于进口产品</w:t>
            </w:r>
          </w:p>
        </w:tc>
      </w:tr>
      <w:tr w14:paraId="48E5A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469" w:type="dxa"/>
            <w:tcBorders>
              <w:bottom w:val="single" w:color="auto" w:sz="4" w:space="0"/>
            </w:tcBorders>
            <w:noWrap w:val="0"/>
            <w:vAlign w:val="top"/>
          </w:tcPr>
          <w:p w14:paraId="4F26ACBC">
            <w:pPr>
              <w:spacing w:line="440" w:lineRule="exact"/>
              <w:rPr>
                <w:sz w:val="24"/>
              </w:rPr>
            </w:pPr>
          </w:p>
        </w:tc>
        <w:tc>
          <w:tcPr>
            <w:tcW w:w="812" w:type="dxa"/>
            <w:tcBorders>
              <w:bottom w:val="single" w:color="auto" w:sz="4" w:space="0"/>
            </w:tcBorders>
            <w:noWrap w:val="0"/>
            <w:vAlign w:val="top"/>
          </w:tcPr>
          <w:p w14:paraId="6E741BC1">
            <w:pPr>
              <w:spacing w:line="440" w:lineRule="exact"/>
              <w:rPr>
                <w:sz w:val="24"/>
              </w:rPr>
            </w:pPr>
          </w:p>
        </w:tc>
        <w:tc>
          <w:tcPr>
            <w:tcW w:w="886" w:type="dxa"/>
            <w:tcBorders>
              <w:bottom w:val="single" w:color="auto" w:sz="4" w:space="0"/>
            </w:tcBorders>
            <w:noWrap w:val="0"/>
            <w:vAlign w:val="top"/>
          </w:tcPr>
          <w:p w14:paraId="329ECE6E">
            <w:pPr>
              <w:spacing w:line="440" w:lineRule="exact"/>
              <w:rPr>
                <w:sz w:val="24"/>
              </w:rPr>
            </w:pPr>
          </w:p>
        </w:tc>
        <w:tc>
          <w:tcPr>
            <w:tcW w:w="1272" w:type="dxa"/>
            <w:tcBorders>
              <w:bottom w:val="single" w:color="auto" w:sz="4" w:space="0"/>
            </w:tcBorders>
            <w:noWrap w:val="0"/>
            <w:vAlign w:val="top"/>
          </w:tcPr>
          <w:p w14:paraId="2D7EAA96">
            <w:pPr>
              <w:spacing w:line="440" w:lineRule="exact"/>
              <w:rPr>
                <w:sz w:val="24"/>
              </w:rPr>
            </w:pPr>
          </w:p>
        </w:tc>
        <w:tc>
          <w:tcPr>
            <w:tcW w:w="1005" w:type="dxa"/>
            <w:tcBorders>
              <w:bottom w:val="single" w:color="auto" w:sz="4" w:space="0"/>
            </w:tcBorders>
            <w:noWrap w:val="0"/>
            <w:vAlign w:val="top"/>
          </w:tcPr>
          <w:p w14:paraId="06DFE844">
            <w:pPr>
              <w:spacing w:line="440" w:lineRule="exact"/>
              <w:rPr>
                <w:sz w:val="24"/>
              </w:rPr>
            </w:pPr>
          </w:p>
        </w:tc>
        <w:tc>
          <w:tcPr>
            <w:tcW w:w="746" w:type="dxa"/>
            <w:tcBorders>
              <w:bottom w:val="single" w:color="auto" w:sz="4" w:space="0"/>
            </w:tcBorders>
            <w:noWrap w:val="0"/>
            <w:vAlign w:val="top"/>
          </w:tcPr>
          <w:p w14:paraId="049D7A8F">
            <w:pPr>
              <w:spacing w:line="440" w:lineRule="exact"/>
              <w:rPr>
                <w:sz w:val="24"/>
              </w:rPr>
            </w:pPr>
          </w:p>
        </w:tc>
        <w:tc>
          <w:tcPr>
            <w:tcW w:w="675" w:type="dxa"/>
            <w:tcBorders>
              <w:bottom w:val="single" w:color="auto" w:sz="4" w:space="0"/>
            </w:tcBorders>
            <w:noWrap w:val="0"/>
            <w:vAlign w:val="top"/>
          </w:tcPr>
          <w:p w14:paraId="38F61C17">
            <w:pPr>
              <w:spacing w:line="440" w:lineRule="exact"/>
              <w:rPr>
                <w:sz w:val="24"/>
              </w:rPr>
            </w:pPr>
          </w:p>
        </w:tc>
        <w:tc>
          <w:tcPr>
            <w:tcW w:w="930" w:type="dxa"/>
            <w:tcBorders>
              <w:bottom w:val="single" w:color="auto" w:sz="4" w:space="0"/>
            </w:tcBorders>
            <w:noWrap w:val="0"/>
            <w:vAlign w:val="top"/>
          </w:tcPr>
          <w:p w14:paraId="22B8910A">
            <w:pPr>
              <w:spacing w:line="440" w:lineRule="exact"/>
              <w:rPr>
                <w:sz w:val="24"/>
              </w:rPr>
            </w:pPr>
          </w:p>
        </w:tc>
        <w:tc>
          <w:tcPr>
            <w:tcW w:w="915" w:type="dxa"/>
            <w:tcBorders>
              <w:bottom w:val="single" w:color="auto" w:sz="4" w:space="0"/>
            </w:tcBorders>
            <w:noWrap w:val="0"/>
            <w:vAlign w:val="top"/>
          </w:tcPr>
          <w:p w14:paraId="665F85D6">
            <w:pPr>
              <w:spacing w:line="440" w:lineRule="exact"/>
              <w:rPr>
                <w:sz w:val="24"/>
              </w:rPr>
            </w:pPr>
          </w:p>
        </w:tc>
        <w:tc>
          <w:tcPr>
            <w:tcW w:w="960" w:type="dxa"/>
            <w:tcBorders>
              <w:bottom w:val="single" w:color="auto" w:sz="4" w:space="0"/>
            </w:tcBorders>
            <w:noWrap w:val="0"/>
            <w:vAlign w:val="top"/>
          </w:tcPr>
          <w:p w14:paraId="48EAFAD7">
            <w:pPr>
              <w:spacing w:line="440" w:lineRule="exact"/>
              <w:rPr>
                <w:sz w:val="24"/>
              </w:rPr>
            </w:pPr>
          </w:p>
        </w:tc>
        <w:tc>
          <w:tcPr>
            <w:tcW w:w="831" w:type="dxa"/>
            <w:tcBorders>
              <w:bottom w:val="single" w:color="auto" w:sz="4" w:space="0"/>
            </w:tcBorders>
            <w:noWrap w:val="0"/>
            <w:vAlign w:val="top"/>
          </w:tcPr>
          <w:p w14:paraId="1A8E713A">
            <w:pPr>
              <w:spacing w:line="440" w:lineRule="exact"/>
              <w:rPr>
                <w:sz w:val="24"/>
              </w:rPr>
            </w:pPr>
          </w:p>
        </w:tc>
      </w:tr>
      <w:tr w14:paraId="6C7B6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469" w:type="dxa"/>
            <w:tcBorders>
              <w:bottom w:val="single" w:color="auto" w:sz="4" w:space="0"/>
            </w:tcBorders>
            <w:noWrap w:val="0"/>
            <w:vAlign w:val="top"/>
          </w:tcPr>
          <w:p w14:paraId="43C298D3">
            <w:pPr>
              <w:spacing w:line="440" w:lineRule="exact"/>
              <w:rPr>
                <w:sz w:val="24"/>
              </w:rPr>
            </w:pPr>
          </w:p>
        </w:tc>
        <w:tc>
          <w:tcPr>
            <w:tcW w:w="812" w:type="dxa"/>
            <w:tcBorders>
              <w:bottom w:val="single" w:color="auto" w:sz="4" w:space="0"/>
            </w:tcBorders>
            <w:noWrap w:val="0"/>
            <w:vAlign w:val="top"/>
          </w:tcPr>
          <w:p w14:paraId="09F953B0">
            <w:pPr>
              <w:spacing w:line="440" w:lineRule="exact"/>
              <w:rPr>
                <w:sz w:val="24"/>
              </w:rPr>
            </w:pPr>
          </w:p>
        </w:tc>
        <w:tc>
          <w:tcPr>
            <w:tcW w:w="886" w:type="dxa"/>
            <w:tcBorders>
              <w:bottom w:val="single" w:color="auto" w:sz="4" w:space="0"/>
            </w:tcBorders>
            <w:noWrap w:val="0"/>
            <w:vAlign w:val="top"/>
          </w:tcPr>
          <w:p w14:paraId="0CE2781B">
            <w:pPr>
              <w:spacing w:line="440" w:lineRule="exact"/>
              <w:rPr>
                <w:sz w:val="24"/>
              </w:rPr>
            </w:pPr>
          </w:p>
        </w:tc>
        <w:tc>
          <w:tcPr>
            <w:tcW w:w="1272" w:type="dxa"/>
            <w:tcBorders>
              <w:bottom w:val="single" w:color="auto" w:sz="4" w:space="0"/>
            </w:tcBorders>
            <w:noWrap w:val="0"/>
            <w:vAlign w:val="top"/>
          </w:tcPr>
          <w:p w14:paraId="075185FD">
            <w:pPr>
              <w:spacing w:line="440" w:lineRule="exact"/>
              <w:rPr>
                <w:sz w:val="24"/>
              </w:rPr>
            </w:pPr>
          </w:p>
        </w:tc>
        <w:tc>
          <w:tcPr>
            <w:tcW w:w="1005" w:type="dxa"/>
            <w:tcBorders>
              <w:bottom w:val="single" w:color="auto" w:sz="4" w:space="0"/>
            </w:tcBorders>
            <w:noWrap w:val="0"/>
            <w:vAlign w:val="top"/>
          </w:tcPr>
          <w:p w14:paraId="6B299399">
            <w:pPr>
              <w:spacing w:line="440" w:lineRule="exact"/>
              <w:rPr>
                <w:sz w:val="24"/>
              </w:rPr>
            </w:pPr>
          </w:p>
        </w:tc>
        <w:tc>
          <w:tcPr>
            <w:tcW w:w="746" w:type="dxa"/>
            <w:tcBorders>
              <w:bottom w:val="single" w:color="auto" w:sz="4" w:space="0"/>
            </w:tcBorders>
            <w:noWrap w:val="0"/>
            <w:vAlign w:val="top"/>
          </w:tcPr>
          <w:p w14:paraId="21DEB241">
            <w:pPr>
              <w:spacing w:line="440" w:lineRule="exact"/>
              <w:rPr>
                <w:sz w:val="24"/>
              </w:rPr>
            </w:pPr>
          </w:p>
        </w:tc>
        <w:tc>
          <w:tcPr>
            <w:tcW w:w="675" w:type="dxa"/>
            <w:tcBorders>
              <w:bottom w:val="single" w:color="auto" w:sz="4" w:space="0"/>
            </w:tcBorders>
            <w:noWrap w:val="0"/>
            <w:vAlign w:val="top"/>
          </w:tcPr>
          <w:p w14:paraId="1ABBFE36">
            <w:pPr>
              <w:spacing w:line="440" w:lineRule="exact"/>
              <w:rPr>
                <w:sz w:val="24"/>
              </w:rPr>
            </w:pPr>
          </w:p>
        </w:tc>
        <w:tc>
          <w:tcPr>
            <w:tcW w:w="930" w:type="dxa"/>
            <w:tcBorders>
              <w:bottom w:val="single" w:color="auto" w:sz="4" w:space="0"/>
            </w:tcBorders>
            <w:noWrap w:val="0"/>
            <w:vAlign w:val="top"/>
          </w:tcPr>
          <w:p w14:paraId="3E3607E2">
            <w:pPr>
              <w:spacing w:line="440" w:lineRule="exact"/>
              <w:rPr>
                <w:sz w:val="24"/>
              </w:rPr>
            </w:pPr>
          </w:p>
        </w:tc>
        <w:tc>
          <w:tcPr>
            <w:tcW w:w="915" w:type="dxa"/>
            <w:tcBorders>
              <w:bottom w:val="single" w:color="auto" w:sz="4" w:space="0"/>
            </w:tcBorders>
            <w:noWrap w:val="0"/>
            <w:vAlign w:val="top"/>
          </w:tcPr>
          <w:p w14:paraId="7DBF5ED9">
            <w:pPr>
              <w:spacing w:line="440" w:lineRule="exact"/>
              <w:rPr>
                <w:sz w:val="24"/>
              </w:rPr>
            </w:pPr>
          </w:p>
        </w:tc>
        <w:tc>
          <w:tcPr>
            <w:tcW w:w="960" w:type="dxa"/>
            <w:tcBorders>
              <w:bottom w:val="single" w:color="auto" w:sz="4" w:space="0"/>
            </w:tcBorders>
            <w:noWrap w:val="0"/>
            <w:vAlign w:val="top"/>
          </w:tcPr>
          <w:p w14:paraId="3DB25C3C">
            <w:pPr>
              <w:spacing w:line="440" w:lineRule="exact"/>
              <w:rPr>
                <w:sz w:val="24"/>
              </w:rPr>
            </w:pPr>
          </w:p>
        </w:tc>
        <w:tc>
          <w:tcPr>
            <w:tcW w:w="831" w:type="dxa"/>
            <w:tcBorders>
              <w:bottom w:val="single" w:color="auto" w:sz="4" w:space="0"/>
            </w:tcBorders>
            <w:noWrap w:val="0"/>
            <w:vAlign w:val="top"/>
          </w:tcPr>
          <w:p w14:paraId="7D9310FC">
            <w:pPr>
              <w:spacing w:line="440" w:lineRule="exact"/>
              <w:rPr>
                <w:sz w:val="24"/>
              </w:rPr>
            </w:pPr>
          </w:p>
        </w:tc>
      </w:tr>
      <w:tr w14:paraId="5AEC3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9501" w:type="dxa"/>
            <w:gridSpan w:val="11"/>
            <w:tcBorders>
              <w:bottom w:val="single" w:color="auto" w:sz="4" w:space="0"/>
            </w:tcBorders>
            <w:noWrap w:val="0"/>
            <w:vAlign w:val="top"/>
          </w:tcPr>
          <w:p w14:paraId="1DDC0094">
            <w:pPr>
              <w:spacing w:line="4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报价合计（大写）：</w:t>
            </w:r>
            <w:r>
              <w:rPr>
                <w:sz w:val="24"/>
                <w:szCs w:val="24"/>
                <w:u w:val="single"/>
              </w:rPr>
              <w:t xml:space="preserve">              </w:t>
            </w:r>
            <w:r>
              <w:rPr>
                <w:sz w:val="24"/>
                <w:szCs w:val="24"/>
              </w:rPr>
              <w:t xml:space="preserve"> 元 ，小写：</w:t>
            </w:r>
            <w:r>
              <w:rPr>
                <w:sz w:val="24"/>
                <w:szCs w:val="24"/>
                <w:u w:val="single"/>
              </w:rPr>
              <w:t xml:space="preserve">          </w:t>
            </w:r>
            <w:r>
              <w:rPr>
                <w:sz w:val="24"/>
                <w:szCs w:val="24"/>
              </w:rPr>
              <w:t>元</w:t>
            </w:r>
          </w:p>
        </w:tc>
      </w:tr>
    </w:tbl>
    <w:p w14:paraId="56BD79E7">
      <w:pPr>
        <w:widowControl/>
        <w:ind w:firstLine="600" w:firstLineChars="250"/>
        <w:jc w:val="left"/>
        <w:rPr>
          <w:bCs/>
          <w:sz w:val="24"/>
        </w:rPr>
      </w:pPr>
    </w:p>
    <w:p w14:paraId="002E76A5">
      <w:pPr>
        <w:spacing w:line="360" w:lineRule="auto"/>
        <w:ind w:left="2" w:leftChars="1" w:firstLine="420" w:firstLineChars="20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t>注：</w:t>
      </w:r>
      <w:r>
        <w:rPr>
          <w:rFonts w:ascii="宋体" w:hAnsi="宋体"/>
          <w:color w:val="000000"/>
          <w:szCs w:val="21"/>
        </w:rPr>
        <w:t>1.报价应包括货物运输、保险、代理、安装调试、培训、税费、系统集成费用和</w:t>
      </w:r>
      <w:r>
        <w:rPr>
          <w:rFonts w:hint="eastAsia" w:ascii="宋体" w:hAnsi="宋体"/>
          <w:color w:val="000000"/>
          <w:szCs w:val="21"/>
          <w:lang w:eastAsia="zh-CN"/>
        </w:rPr>
        <w:t>采购</w:t>
      </w:r>
      <w:r>
        <w:rPr>
          <w:rFonts w:ascii="宋体" w:hAnsi="宋体"/>
          <w:color w:val="000000"/>
          <w:szCs w:val="21"/>
        </w:rPr>
        <w:t xml:space="preserve">文件规定的其它费用等完成本项目的所有费用； </w:t>
      </w:r>
    </w:p>
    <w:p w14:paraId="590390F7">
      <w:pPr>
        <w:spacing w:line="360" w:lineRule="auto"/>
        <w:ind w:firstLine="840" w:firstLineChars="40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2.“</w:t>
      </w:r>
      <w:r>
        <w:rPr>
          <w:rFonts w:hint="eastAsia" w:ascii="宋体" w:hAnsi="宋体"/>
          <w:color w:val="000000"/>
          <w:szCs w:val="21"/>
          <w:lang w:eastAsia="zh-CN"/>
        </w:rPr>
        <w:t>报价明细表</w:t>
      </w:r>
      <w:r>
        <w:rPr>
          <w:rFonts w:ascii="宋体" w:hAnsi="宋体"/>
          <w:color w:val="000000"/>
          <w:szCs w:val="21"/>
        </w:rPr>
        <w:t xml:space="preserve">”以包为单位填写； </w:t>
      </w:r>
    </w:p>
    <w:p w14:paraId="47A1B743">
      <w:pPr>
        <w:spacing w:line="360" w:lineRule="auto"/>
        <w:ind w:firstLine="840" w:firstLineChars="400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3</w:t>
      </w:r>
      <w:r>
        <w:rPr>
          <w:rFonts w:ascii="宋体" w:hAnsi="宋体"/>
          <w:color w:val="000000"/>
          <w:szCs w:val="21"/>
        </w:rPr>
        <w:t>.“</w:t>
      </w:r>
      <w:r>
        <w:rPr>
          <w:rFonts w:hint="eastAsia" w:ascii="宋体" w:hAnsi="宋体"/>
          <w:color w:val="000000"/>
          <w:szCs w:val="21"/>
          <w:lang w:eastAsia="zh-CN"/>
        </w:rPr>
        <w:t>报价明细表</w:t>
      </w:r>
      <w:r>
        <w:rPr>
          <w:rFonts w:ascii="宋体" w:hAnsi="宋体"/>
          <w:color w:val="000000"/>
          <w:szCs w:val="21"/>
        </w:rPr>
        <w:t>”中要求填写的细项须完整填写，否则，</w:t>
      </w:r>
      <w:r>
        <w:rPr>
          <w:rFonts w:hint="eastAsia" w:ascii="宋体" w:hAnsi="宋体"/>
          <w:color w:val="000000"/>
          <w:szCs w:val="21"/>
          <w:lang w:eastAsia="zh-CN"/>
        </w:rPr>
        <w:t>评审</w:t>
      </w:r>
      <w:r>
        <w:rPr>
          <w:rFonts w:ascii="宋体" w:hAnsi="宋体"/>
          <w:color w:val="000000"/>
          <w:szCs w:val="21"/>
        </w:rPr>
        <w:t>小组认定后，作无效投标处理，请广大供应商特别注意；</w:t>
      </w:r>
    </w:p>
    <w:p w14:paraId="40188A58">
      <w:pPr>
        <w:spacing w:line="360" w:lineRule="auto"/>
        <w:ind w:firstLine="808" w:firstLineChars="400"/>
        <w:jc w:val="left"/>
        <w:rPr>
          <w:rFonts w:ascii="宋体" w:hAnsi="宋体"/>
          <w:color w:val="000000"/>
          <w:spacing w:val="-4"/>
          <w:szCs w:val="21"/>
        </w:rPr>
      </w:pPr>
      <w:r>
        <w:rPr>
          <w:rFonts w:hint="eastAsia" w:ascii="宋体" w:hAnsi="宋体"/>
          <w:color w:val="000000"/>
          <w:spacing w:val="-4"/>
          <w:szCs w:val="21"/>
          <w:lang w:val="en-US" w:eastAsia="zh-CN"/>
        </w:rPr>
        <w:t>4</w:t>
      </w:r>
      <w:r>
        <w:rPr>
          <w:rFonts w:ascii="宋体" w:hAnsi="宋体"/>
          <w:color w:val="000000"/>
          <w:spacing w:val="-4"/>
          <w:szCs w:val="21"/>
        </w:rPr>
        <w:t>.响应文件中其他部分与“</w:t>
      </w:r>
      <w:r>
        <w:rPr>
          <w:rFonts w:hint="eastAsia" w:ascii="宋体" w:hAnsi="宋体"/>
          <w:color w:val="000000"/>
          <w:szCs w:val="21"/>
          <w:lang w:eastAsia="zh-CN"/>
        </w:rPr>
        <w:t>报价明细表</w:t>
      </w:r>
      <w:r>
        <w:rPr>
          <w:rFonts w:ascii="宋体" w:hAnsi="宋体"/>
          <w:color w:val="000000"/>
          <w:spacing w:val="-4"/>
          <w:szCs w:val="21"/>
        </w:rPr>
        <w:t>”中表述不一致的，以“</w:t>
      </w:r>
      <w:r>
        <w:rPr>
          <w:rFonts w:hint="eastAsia" w:ascii="宋体" w:hAnsi="宋体"/>
          <w:color w:val="000000"/>
          <w:szCs w:val="21"/>
          <w:lang w:eastAsia="zh-CN"/>
        </w:rPr>
        <w:t>报价明细表</w:t>
      </w:r>
      <w:r>
        <w:rPr>
          <w:rFonts w:ascii="宋体" w:hAnsi="宋体"/>
          <w:color w:val="000000"/>
          <w:spacing w:val="-4"/>
          <w:szCs w:val="21"/>
        </w:rPr>
        <w:t>”为准。</w:t>
      </w:r>
    </w:p>
    <w:p w14:paraId="3B23E629">
      <w:pPr>
        <w:spacing w:line="360" w:lineRule="auto"/>
        <w:ind w:firstLine="840" w:firstLineChars="400"/>
        <w:jc w:val="left"/>
        <w:rPr>
          <w:rFonts w:hint="eastAsia" w:ascii="宋体" w:hAnsi="宋体" w:eastAsia="宋体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★5</w:t>
      </w:r>
      <w:r>
        <w:rPr>
          <w:rFonts w:ascii="宋体" w:hAnsi="宋体"/>
          <w:color w:val="000000"/>
          <w:szCs w:val="21"/>
        </w:rPr>
        <w:t>.</w:t>
      </w:r>
      <w:r>
        <w:rPr>
          <w:rFonts w:hint="eastAsia" w:ascii="宋体" w:hAnsi="宋体"/>
          <w:color w:val="000000"/>
          <w:szCs w:val="21"/>
          <w:lang w:eastAsia="zh-CN"/>
        </w:rPr>
        <w:t>本表应当按照采购文件</w:t>
      </w:r>
      <w:r>
        <w:rPr>
          <w:rFonts w:hint="eastAsia" w:ascii="宋体" w:hAnsi="宋体"/>
          <w:color w:val="000000"/>
          <w:szCs w:val="21"/>
          <w:lang w:val="en-US" w:eastAsia="zh-CN"/>
        </w:rPr>
        <w:t>3.2“技术要求”中提供的标的清单逐项填写，如有缺项、漏项</w:t>
      </w:r>
      <w:r>
        <w:rPr>
          <w:rFonts w:ascii="宋体" w:hAnsi="宋体"/>
          <w:color w:val="000000"/>
          <w:szCs w:val="21"/>
        </w:rPr>
        <w:t>作无效投标处理</w:t>
      </w:r>
      <w:r>
        <w:rPr>
          <w:rFonts w:hint="eastAsia" w:ascii="宋体" w:hAnsi="宋体"/>
          <w:color w:val="000000"/>
          <w:szCs w:val="21"/>
          <w:lang w:eastAsia="zh-CN"/>
        </w:rPr>
        <w:t>。</w:t>
      </w:r>
    </w:p>
    <w:p w14:paraId="75DE3DFC">
      <w:pPr>
        <w:spacing w:line="360" w:lineRule="auto"/>
        <w:ind w:firstLine="840" w:firstLineChars="400"/>
        <w:jc w:val="left"/>
        <w:rPr>
          <w:rFonts w:ascii="宋体" w:hAnsi="宋体"/>
          <w:color w:val="000000"/>
          <w:kern w:val="0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6.</w:t>
      </w:r>
      <w:r>
        <w:rPr>
          <w:rFonts w:ascii="宋体" w:hAnsi="宋体"/>
          <w:color w:val="000000"/>
          <w:szCs w:val="21"/>
        </w:rPr>
        <w:t>该报价为供应商在其响应文件中的投标报价，仅为供应商的首轮报价，且该报价不能超过</w:t>
      </w:r>
      <w:r>
        <w:rPr>
          <w:rFonts w:hint="eastAsia" w:ascii="宋体" w:hAnsi="宋体"/>
          <w:color w:val="000000"/>
          <w:kern w:val="0"/>
          <w:szCs w:val="21"/>
        </w:rPr>
        <w:t>采购预算或最高限价</w:t>
      </w:r>
      <w:r>
        <w:rPr>
          <w:rFonts w:ascii="宋体" w:hAnsi="宋体"/>
          <w:color w:val="000000"/>
          <w:kern w:val="0"/>
          <w:szCs w:val="21"/>
        </w:rPr>
        <w:t>，否则，其响应文件作无效投标处理。</w:t>
      </w:r>
    </w:p>
    <w:p w14:paraId="42859E97">
      <w:pPr>
        <w:pStyle w:val="2"/>
      </w:pPr>
    </w:p>
    <w:p w14:paraId="7DF08282">
      <w:pPr>
        <w:spacing w:line="220" w:lineRule="atLeast"/>
        <w:jc w:val="left"/>
        <w:rPr>
          <w:rFonts w:hint="eastAsia" w:eastAsia="宋体"/>
          <w:kern w:val="0"/>
          <w:sz w:val="24"/>
          <w:lang w:eastAsia="zh-CN"/>
        </w:rPr>
      </w:pPr>
    </w:p>
    <w:p w14:paraId="02BABCEE">
      <w:pPr>
        <w:widowControl/>
        <w:ind w:firstLine="800"/>
        <w:jc w:val="left"/>
        <w:rPr>
          <w:sz w:val="20"/>
          <w:szCs w:val="20"/>
        </w:rPr>
      </w:pPr>
    </w:p>
    <w:p w14:paraId="00814D23">
      <w:pPr>
        <w:spacing w:line="440" w:lineRule="exact"/>
        <w:ind w:firstLine="480" w:firstLineChars="200"/>
        <w:jc w:val="center"/>
        <w:rPr>
          <w:sz w:val="24"/>
        </w:rPr>
      </w:pPr>
      <w:r>
        <w:rPr>
          <w:sz w:val="24"/>
        </w:rPr>
        <w:t>供应商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盖章或电子</w:t>
      </w:r>
      <w:r>
        <w:rPr>
          <w:sz w:val="24"/>
          <w:szCs w:val="24"/>
        </w:rPr>
        <w:t>签章）</w:t>
      </w:r>
      <w:r>
        <w:rPr>
          <w:sz w:val="24"/>
        </w:rPr>
        <w:t>：</w:t>
      </w:r>
      <w:r>
        <w:rPr>
          <w:sz w:val="24"/>
          <w:u w:val="single"/>
        </w:rPr>
        <w:t xml:space="preserve">                          </w:t>
      </w:r>
    </w:p>
    <w:p w14:paraId="79A275BB">
      <w:pPr>
        <w:spacing w:line="440" w:lineRule="exact"/>
        <w:ind w:firstLine="600" w:firstLineChars="250"/>
        <w:jc w:val="right"/>
        <w:rPr>
          <w:sz w:val="24"/>
        </w:rPr>
      </w:pPr>
      <w:r>
        <w:rPr>
          <w:vanish/>
          <w:sz w:val="24"/>
        </w:rPr>
        <w:cr/>
      </w:r>
      <w:r>
        <w:rPr>
          <w:vanish/>
          <w:sz w:val="24"/>
        </w:rPr>
        <w:t>.次的报价均不能高于上一轮次报价，否则，其投标</w:t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vanish/>
          <w:sz w:val="24"/>
        </w:rPr>
        <w:pgNum/>
      </w:r>
      <w:r>
        <w:rPr>
          <w:sz w:val="24"/>
        </w:rPr>
        <w:t>日期：</w:t>
      </w:r>
      <w:r>
        <w:rPr>
          <w:sz w:val="24"/>
          <w:u w:val="single"/>
        </w:rPr>
        <w:t xml:space="preserve">     </w:t>
      </w:r>
      <w:r>
        <w:rPr>
          <w:sz w:val="24"/>
        </w:rPr>
        <w:t>年</w:t>
      </w:r>
      <w:r>
        <w:rPr>
          <w:sz w:val="24"/>
          <w:u w:val="single"/>
        </w:rPr>
        <w:t xml:space="preserve">   </w:t>
      </w:r>
      <w:r>
        <w:rPr>
          <w:sz w:val="24"/>
        </w:rPr>
        <w:t>月</w:t>
      </w:r>
      <w:r>
        <w:rPr>
          <w:sz w:val="24"/>
          <w:u w:val="single"/>
        </w:rPr>
        <w:t xml:space="preserve">   </w:t>
      </w:r>
      <w:r>
        <w:rPr>
          <w:sz w:val="24"/>
        </w:rPr>
        <w:t>日</w:t>
      </w:r>
    </w:p>
    <w:p w14:paraId="450EA6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YzQwNGE1ZWY4NzljODNiZjcxOGYwZjEzM2NlNWYifQ=="/>
  </w:docVars>
  <w:rsids>
    <w:rsidRoot w:val="66747F59"/>
    <w:rsid w:val="07B432C3"/>
    <w:rsid w:val="0D8679BC"/>
    <w:rsid w:val="1C6D0E4A"/>
    <w:rsid w:val="1C737C74"/>
    <w:rsid w:val="229A4981"/>
    <w:rsid w:val="2FB100C8"/>
    <w:rsid w:val="355937CF"/>
    <w:rsid w:val="4CC4660B"/>
    <w:rsid w:val="56CC61A6"/>
    <w:rsid w:val="66747F59"/>
    <w:rsid w:val="6B45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kern w:val="0"/>
      <w:sz w:val="2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367</Words>
  <Characters>375</Characters>
  <Lines>0</Lines>
  <Paragraphs>0</Paragraphs>
  <TotalTime>1</TotalTime>
  <ScaleCrop>false</ScaleCrop>
  <LinksUpToDate>false</LinksUpToDate>
  <CharactersWithSpaces>499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2023-01-09T01:17:00Z</dcterms:created>
  <dc:creator>余昶春</dc:creator>
  <cp:lastModifiedBy>余昶春</cp:lastModifiedBy>
  <dcterms:modified xsi:type="dcterms:W3CDTF">2025-12-03T07:49:33Z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37936CD30DE6496883E2642D10CD8971</vt:lpwstr>
  </property>
  <property fmtid="{D5CDD505-2E9C-101B-9397-08002B2CF9AE}" pid="4" name="KSOTemplateDocerSaveRecord">
    <vt:lpwstr>eyJoZGlkIjoiOTY1ZmFkZmI1YzRlYmJkOGQ0ZjIzOTI5ZjlmNmRiYjUiLCJ1c2VySWQiOiI0OTk4MjY3MzkifQ==</vt:lpwstr>
  </property>
</Properties>
</file>