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版本号：N511526202600002720260410001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珙县渔政智能监测系统建设(二次)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N5115262026000027</w:t>
      </w:r>
    </w:p>
    <w:p>
      <w:pPr>
        <w:pStyle w:val="null3"/>
        <w:jc w:val="left"/>
        <w:outlineLvl w:val="2"/>
      </w:pPr>
      <w:r>
        <w:rPr>
          <w:rFonts w:ascii="仿宋_GB2312" w:hAnsi="仿宋_GB2312" w:cs="仿宋_GB2312" w:eastAsia="仿宋_GB2312"/>
          <w:sz w:val="28"/>
          <w:b/>
        </w:rPr>
        <w:t>珙县农业农村局</w:t>
      </w:r>
    </w:p>
    <w:p>
      <w:pPr>
        <w:pStyle w:val="null3"/>
        <w:jc w:val="center"/>
        <w:outlineLvl w:val="2"/>
      </w:pPr>
      <w:r>
        <w:rPr>
          <w:rFonts w:ascii="仿宋_GB2312" w:hAnsi="仿宋_GB2312" w:cs="仿宋_GB2312" w:eastAsia="仿宋_GB2312"/>
          <w:sz w:val="28"/>
          <w:b/>
        </w:rPr>
        <w:t>宜宾市政府采购中心珙县分中心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宜宾市政府采购中心珙县分中心</w:t>
      </w:r>
      <w:r>
        <w:rPr>
          <w:rFonts w:ascii="仿宋_GB2312" w:hAnsi="仿宋_GB2312" w:cs="仿宋_GB2312" w:eastAsia="仿宋_GB2312"/>
        </w:rPr>
        <w:t xml:space="preserve"> （以下简称“代理机构”）受 </w:t>
      </w:r>
      <w:r>
        <w:rPr>
          <w:rFonts w:ascii="仿宋_GB2312" w:hAnsi="仿宋_GB2312" w:cs="仿宋_GB2312" w:eastAsia="仿宋_GB2312"/>
        </w:rPr>
        <w:t>珙县农业农村局</w:t>
      </w:r>
      <w:r>
        <w:rPr>
          <w:rFonts w:ascii="仿宋_GB2312" w:hAnsi="仿宋_GB2312" w:cs="仿宋_GB2312" w:eastAsia="仿宋_GB2312"/>
        </w:rPr>
        <w:t xml:space="preserve"> 委托，拟对 </w:t>
      </w:r>
      <w:r>
        <w:rPr>
          <w:rFonts w:ascii="仿宋_GB2312" w:hAnsi="仿宋_GB2312" w:cs="仿宋_GB2312" w:eastAsia="仿宋_GB2312"/>
        </w:rPr>
        <w:t>珙县渔政智能监测系统建设(二次)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宜宾市珙县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N5115262026000027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珙县渔政智能监测系统建设(二次)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进一步落实党中央、国务院有关决策部署，扎实推进长江“十年禁渔”落地见效，加强保护长江流域水生生物资源、保护生物多样性、促进生态渔业可持续发展和生态文明保护和修复，围绕智能执法巡查、事件预警、执法调度、现场处置，事件回溯，业务归档全流程智能监管，同时着手推进禁渔宣传、数据共建共享，联合公安、渔政、市政、综合行政执法局，打造捕鱼、运输、贩卖、营销及捕鱼工具和不合规钓鱼设备源头整治，坚决清除涉渔违法违规行为。珙县农业农村局拟对渔政智能监测系统建设进行采购，通过开展渔政执法智能监控系统的建设，利用高清视频监控、AI人工智能、大数据分析等高新技术和手段，在重点水域增设智能化视频监控设施，实现重点水域全时段在线监管，有效提高监控技术水平，增强执法监管能力，补齐禁捕水域线长面广、执法监管力量不足等短板，建立“统一规范、统一接口”渔政执法智能监控系统，实现信息资源共建共享。</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珙县农业农村局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珙县巡场镇芙蓉大道64号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19162630917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宜宾市政府采购中心珙县分中心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四川省宜宾市珙县四川省宜宾市珙县巡场镇金河新区综合办公楼七楼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08314012623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采购包1：2,800,000.00元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交款时间：成交通知书发放后，政府采购合同签订前。供应商未按照谈判文件的规定交纳履约保证金，且又无正当理由的，将视为放弃成交。</w:t>
              <w:br/>
              <w:t>注：(1)提供保函的担保机构必须是依法成立的具有相关资质和偿付能力的担保机构。</w:t>
              <w:br/>
              <w:t>(2)履约保证金退还时间及方式：供应商完成合同约定的所有内容并经采购人最终验收合格后14日内，由采购人一次性无息退还至成交供应商。</w:t>
              <w:br/>
              <w:t>(3)履约保证金不予退还情形：①成交供应商不履行与采购人订立的合同的，履约保证金不予退还，给采购人造成的损失超过履约保证金数额的，还应当对超过部分予以赔偿。②项目验收结果不合格的，履约保证金将不予退还。③其他违反国家相关法律法规的情形。</w:t>
              <w:br/>
              <w:t>(4)履约保证金不予退还的，将按照有关规定上缴国库。逾期退还履约保证金的，将依法承担法律责任，并赔偿供应商损失。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珙县农业农村局</w:t>
      </w:r>
      <w:r>
        <w:rPr>
          <w:rFonts w:ascii="仿宋_GB2312" w:hAnsi="仿宋_GB2312" w:cs="仿宋_GB2312" w:eastAsia="仿宋_GB2312"/>
        </w:rPr>
        <w:t xml:space="preserve"> 和 </w:t>
      </w:r>
      <w:r>
        <w:rPr>
          <w:rFonts w:ascii="仿宋_GB2312" w:hAnsi="仿宋_GB2312" w:cs="仿宋_GB2312" w:eastAsia="仿宋_GB2312"/>
        </w:rPr>
        <w:t>宜宾市政府采购中心珙县分中心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珙县农业农村局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宜宾市政府采购中心珙县分中心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成交供应商完成所有软硬件设备安装调试且提交验收申请后</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80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成交供应商三年运维期满且提交验收申请后</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20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号)及谈判文件相关规定组织验收。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包括采购内容、具体技术参数指标(技术服务要求)、商务条件、售后服务等涉及本项目质量的所有内容。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交的产品设备不符合标准及合同规定之情形者，采购人应做出详尽的现场记录，或由采购双方签署备忘录，此现场记录或备忘录可用作补充、缺失和整改的有效证据，由此产生的时间延误与有关费用由中标人承担，验收期限相应顺延； 2.如验收合格，双方签署验收报告； 3.项目验收结果合格的，成交供应商凭《验收报告》办理相关手续；验收不合格且拒不整改的，将不予支付采购资金，还可能上报本项目同级财政部门按照政府采购法律法规等有关规定给予行政处罚。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成交供应商的响应文件及承诺与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号)及谈判文件相关规定组织验收。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珙县农业农村局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宜宾市政府采购中心珙县分中心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宜宾市政府采购中心珙县分中心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联系人：赵先生</w:t>
      </w:r>
    </w:p>
    <w:p>
      <w:pPr>
        <w:pStyle w:val="null3"/>
        <w:jc w:val="left"/>
      </w:pPr>
      <w:r>
        <w:rPr>
          <w:rFonts w:ascii="仿宋_GB2312" w:hAnsi="仿宋_GB2312" w:cs="仿宋_GB2312" w:eastAsia="仿宋_GB2312"/>
        </w:rPr>
        <w:t>联系电话：19162630917</w:t>
      </w:r>
    </w:p>
    <w:p>
      <w:pPr>
        <w:pStyle w:val="null3"/>
        <w:jc w:val="left"/>
      </w:pPr>
      <w:r>
        <w:rPr>
          <w:rFonts w:ascii="仿宋_GB2312" w:hAnsi="仿宋_GB2312" w:cs="仿宋_GB2312" w:eastAsia="仿宋_GB2312"/>
        </w:rPr>
        <w:t>地址：珙县巡场镇芙蓉大道64号</w:t>
      </w:r>
    </w:p>
    <w:p>
      <w:pPr>
        <w:pStyle w:val="null3"/>
        <w:jc w:val="left"/>
      </w:pPr>
      <w:r>
        <w:rPr>
          <w:rFonts w:ascii="仿宋_GB2312" w:hAnsi="仿宋_GB2312" w:cs="仿宋_GB2312" w:eastAsia="仿宋_GB2312"/>
        </w:rPr>
        <w:t>邮编：644500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2,800,000.00</w:t>
      </w:r>
    </w:p>
    <w:p>
      <w:pPr>
        <w:pStyle w:val="null3"/>
        <w:jc w:val="left"/>
      </w:pPr>
      <w:r>
        <w:rPr>
          <w:rFonts w:ascii="仿宋_GB2312" w:hAnsi="仿宋_GB2312" w:cs="仿宋_GB2312" w:eastAsia="仿宋_GB2312"/>
        </w:rPr>
        <w:t>采购包最高限价（元）: 2,776,190.00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A02010104 服务器</w:t>
            </w:r>
          </w:p>
        </w:tc>
        <w:tc>
          <w:tcPr>
            <w:tcW w:type="dxa" w:w="821"/>
          </w:tcPr>
          <w:p>
            <w:pPr>
              <w:pStyle w:val="null3"/>
              <w:jc w:val="left"/>
            </w:pPr>
            <w:r>
              <w:rPr>
                <w:rFonts w:ascii="仿宋_GB2312" w:hAnsi="仿宋_GB2312" w:cs="仿宋_GB2312" w:eastAsia="仿宋_GB2312"/>
              </w:rPr>
              <w:t>珙县渔政智能监测系统建设</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2,776,190.00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珙县渔政智能监测系统建设</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2,776,190.00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珙县渔政智能监测系统建设</w:t>
            </w:r>
          </w:p>
        </w:tc>
        <w:tc>
          <w:tcPr>
            <w:tcW w:type="dxa" w:w="2492"/>
          </w:tcPr>
          <w:p>
            <w:pPr>
              <w:pStyle w:val="null3"/>
              <w:jc w:val="left"/>
            </w:pPr>
            <w:r>
              <w:rPr>
                <w:rFonts w:ascii="仿宋_GB2312" w:hAnsi="仿宋_GB2312" w:cs="仿宋_GB2312" w:eastAsia="仿宋_GB2312"/>
              </w:rPr>
              <w:t>1KM热成像双光谱中载云台</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珙县渔政智能监测系统建设</w:t>
            </w:r>
          </w:p>
        </w:tc>
        <w:tc>
          <w:tcPr>
            <w:tcW w:type="dxa" w:w="2492"/>
          </w:tcPr>
          <w:p>
            <w:pPr>
              <w:pStyle w:val="null3"/>
              <w:jc w:val="left"/>
            </w:pPr>
            <w:r>
              <w:rPr>
                <w:rFonts w:ascii="仿宋_GB2312" w:hAnsi="仿宋_GB2312" w:cs="仿宋_GB2312" w:eastAsia="仿宋_GB2312"/>
              </w:rPr>
              <w:t>GPU服务器 (深度学 习服务器)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珙县渔政智能监测系统建设</w:t>
            </w:r>
          </w:p>
        </w:tc>
        <w:tc>
          <w:tcPr>
            <w:tcW w:type="dxa" w:w="2492"/>
          </w:tcPr>
          <w:p>
            <w:pPr>
              <w:pStyle w:val="null3"/>
              <w:jc w:val="left"/>
            </w:pPr>
            <w:r>
              <w:rPr>
                <w:rFonts w:ascii="仿宋_GB2312" w:hAnsi="仿宋_GB2312" w:cs="仿宋_GB2312" w:eastAsia="仿宋_GB2312"/>
              </w:rPr>
              <w:t>Web应用服务器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珙县渔政智能监测系统建设</w:t>
            </w:r>
          </w:p>
        </w:tc>
        <w:tc>
          <w:tcPr>
            <w:tcW w:type="dxa" w:w="2492"/>
          </w:tcPr>
          <w:p>
            <w:pPr>
              <w:pStyle w:val="null3"/>
              <w:jc w:val="left"/>
            </w:pPr>
            <w:r>
              <w:rPr>
                <w:rFonts w:ascii="仿宋_GB2312" w:hAnsi="仿宋_GB2312" w:cs="仿宋_GB2312" w:eastAsia="仿宋_GB2312"/>
              </w:rPr>
              <w:t>数据存储服务器(含硬盘)</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珙县渔政智能监测系统建设</w:t>
            </w:r>
          </w:p>
        </w:tc>
        <w:tc>
          <w:tcPr>
            <w:tcW w:type="dxa" w:w="2492"/>
          </w:tcPr>
          <w:p>
            <w:pPr>
              <w:pStyle w:val="null3"/>
              <w:jc w:val="left"/>
            </w:pPr>
            <w:r>
              <w:rPr>
                <w:rFonts w:ascii="仿宋_GB2312" w:hAnsi="仿宋_GB2312" w:cs="仿宋_GB2312" w:eastAsia="仿宋_GB2312"/>
              </w:rPr>
              <w:t>UPS电池柜</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珙县渔政智能监测系统建设</w:t>
            </w:r>
          </w:p>
        </w:tc>
        <w:tc>
          <w:tcPr>
            <w:tcW w:type="dxa" w:w="2492"/>
          </w:tcPr>
          <w:p>
            <w:pPr>
              <w:pStyle w:val="null3"/>
              <w:jc w:val="left"/>
            </w:pPr>
            <w:r>
              <w:rPr>
                <w:rFonts w:ascii="仿宋_GB2312" w:hAnsi="仿宋_GB2312" w:cs="仿宋_GB2312" w:eastAsia="仿宋_GB2312"/>
              </w:rPr>
              <w:t>标准机柜</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标的名称：珙县渔政智能监测系统建设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标的清单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70"/>
              <w:gridCol w:w="940"/>
              <w:gridCol w:w="378"/>
              <w:gridCol w:w="378"/>
              <w:gridCol w:w="803"/>
              <w:gridCol w:w="688"/>
              <w:gridCol w:w="688"/>
              <w:gridCol w:w="699"/>
              <w:gridCol w:w="550"/>
            </w:tblGrid>
            <w:tr>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标的</w:t>
                  </w:r>
                  <w:r>
                    <w:rPr>
                      <w:rFonts w:ascii="仿宋_GB2312" w:hAnsi="仿宋_GB2312" w:cs="仿宋_GB2312" w:eastAsia="仿宋_GB2312"/>
                      <w:sz w:val="21"/>
                      <w:b/>
                    </w:rPr>
                    <w:t>名称</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是否为核心产品</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是否为强制节能产品</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是否为优先节能产品</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是否为环境标志产品</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所属行业</w:t>
                  </w:r>
                </w:p>
              </w:tc>
            </w:tr>
            <w:tr>
              <w:tc>
                <w:tcPr>
                  <w:tcW w:type="dxa" w:w="559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一、前端重点水域监控系统</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1KM热成像双光谱中载云台</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热成像双光谱球机</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智能警戒防盗摄像机</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8米立杆</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室外防水箱</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远程遥控智能物联网防雷器</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接入网关</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IP网络音柱</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559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二、智慧渔政综合管理监控软件</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p>
                  <w:pPr>
                    <w:pStyle w:val="null3"/>
                    <w:jc w:val="center"/>
                  </w:pP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智慧渔政综合管理监控软件</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软件和信息技术服务业</w:t>
                  </w:r>
                </w:p>
              </w:tc>
            </w:tr>
            <w:tr>
              <w:tc>
                <w:tcPr>
                  <w:tcW w:type="dxa" w:w="559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三、指挥中心建设清单</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网络广播主机</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IP网络寻呼话筒</w:t>
                  </w:r>
                  <w:r>
                    <w:rPr>
                      <w:rFonts w:ascii="仿宋_GB2312" w:hAnsi="仿宋_GB2312" w:cs="仿宋_GB2312" w:eastAsia="仿宋_GB2312"/>
                      <w:sz w:val="21"/>
                    </w:rPr>
                    <w:t>(</w:t>
                  </w:r>
                  <w:r>
                    <w:rPr>
                      <w:rFonts w:ascii="仿宋_GB2312" w:hAnsi="仿宋_GB2312" w:cs="仿宋_GB2312" w:eastAsia="仿宋_GB2312"/>
                      <w:sz w:val="21"/>
                    </w:rPr>
                    <w:t>远程广播话筒</w:t>
                  </w: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控制键盘</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视频综合编解码接入一体机</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559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四、数据中心建设</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GPU服务器</w:t>
                  </w:r>
                </w:p>
                <w:p>
                  <w:pPr>
                    <w:pStyle w:val="null3"/>
                    <w:jc w:val="center"/>
                  </w:pPr>
                  <w:r>
                    <w:rPr>
                      <w:rFonts w:ascii="仿宋_GB2312" w:hAnsi="仿宋_GB2312" w:cs="仿宋_GB2312" w:eastAsia="仿宋_GB2312"/>
                      <w:sz w:val="21"/>
                    </w:rPr>
                    <w:t>(深度学</w:t>
                  </w:r>
                </w:p>
                <w:p>
                  <w:pPr>
                    <w:pStyle w:val="null3"/>
                    <w:jc w:val="center"/>
                  </w:pPr>
                  <w:r>
                    <w:rPr>
                      <w:rFonts w:ascii="仿宋_GB2312" w:hAnsi="仿宋_GB2312" w:cs="仿宋_GB2312" w:eastAsia="仿宋_GB2312"/>
                      <w:sz w:val="21"/>
                    </w:rPr>
                    <w:t>习服务器</w:t>
                  </w:r>
                  <w:r>
                    <w:rPr>
                      <w:rFonts w:ascii="仿宋_GB2312" w:hAnsi="仿宋_GB2312" w:cs="仿宋_GB2312" w:eastAsia="仿宋_GB2312"/>
                      <w:sz w:val="21"/>
                    </w:rPr>
                    <w:t>)</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Web应用服务器</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数据存储</w:t>
                  </w:r>
                  <w:r>
                    <w:rPr>
                      <w:rFonts w:ascii="仿宋_GB2312" w:hAnsi="仿宋_GB2312" w:cs="仿宋_GB2312" w:eastAsia="仿宋_GB2312"/>
                      <w:sz w:val="21"/>
                    </w:rPr>
                    <w:t>服务器</w:t>
                  </w:r>
                  <w:r>
                    <w:rPr>
                      <w:rFonts w:ascii="仿宋_GB2312" w:hAnsi="仿宋_GB2312" w:cs="仿宋_GB2312" w:eastAsia="仿宋_GB2312"/>
                      <w:sz w:val="21"/>
                    </w:rPr>
                    <w:t>(</w:t>
                  </w:r>
                  <w:r>
                    <w:rPr>
                      <w:rFonts w:ascii="仿宋_GB2312" w:hAnsi="仿宋_GB2312" w:cs="仿宋_GB2312" w:eastAsia="仿宋_GB2312"/>
                      <w:sz w:val="21"/>
                    </w:rPr>
                    <w:t>含硬盘</w:t>
                  </w: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防火墙</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核心交换机</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接入交换机</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电源管理主机</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UPS电池柜</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蓄电池</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标准机柜</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559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五、链路建设、租赁及</w:t>
                  </w:r>
                  <w:r>
                    <w:rPr>
                      <w:rFonts w:ascii="仿宋_GB2312" w:hAnsi="仿宋_GB2312" w:cs="仿宋_GB2312" w:eastAsia="仿宋_GB2312"/>
                      <w:sz w:val="21"/>
                      <w:b/>
                    </w:rPr>
                    <w:t>运营</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链路租赁</w:t>
                  </w:r>
                  <w:r>
                    <w:rPr>
                      <w:rFonts w:ascii="仿宋_GB2312" w:hAnsi="仿宋_GB2312" w:cs="仿宋_GB2312" w:eastAsia="仿宋_GB2312"/>
                      <w:sz w:val="21"/>
                    </w:rPr>
                    <w:t>1</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信息传输业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链路租赁</w:t>
                  </w:r>
                  <w:r>
                    <w:rPr>
                      <w:rFonts w:ascii="仿宋_GB2312" w:hAnsi="仿宋_GB2312" w:cs="仿宋_GB2312" w:eastAsia="仿宋_GB2312"/>
                      <w:sz w:val="21"/>
                    </w:rPr>
                    <w:t>2</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信息传输业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硬件设备维护</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软件和信息技术服务业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网络系统维护</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软件和信息技术服务业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服务器系统维护服务</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软件和信息技术服务业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平台迭代升级</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软件和信息技术服务业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算法迭代更新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软件和信息技术服务业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软件升级服务</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软件和信息技术服务业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备品备件服务</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其他未列明行业</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供电</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其他未列明行业</w:t>
                  </w:r>
                </w:p>
              </w:tc>
            </w:tr>
            <w:tr>
              <w:tc>
                <w:tcPr>
                  <w:tcW w:type="dxa" w:w="559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rFonts w:ascii="仿宋_GB2312" w:hAnsi="仿宋_GB2312" w:cs="仿宋_GB2312" w:eastAsia="仿宋_GB2312"/>
                      <w:sz w:val="19"/>
                      <w:b/>
                    </w:rPr>
                    <w:t>备注：</w:t>
                  </w:r>
                  <w:r>
                    <w:rPr>
                      <w:rFonts w:ascii="仿宋_GB2312" w:hAnsi="仿宋_GB2312" w:cs="仿宋_GB2312" w:eastAsia="仿宋_GB2312"/>
                      <w:sz w:val="19"/>
                      <w:b/>
                    </w:rPr>
                    <w:t>1.</w:t>
                  </w:r>
                  <w:r>
                    <w:rPr>
                      <w:rFonts w:ascii="仿宋_GB2312" w:hAnsi="仿宋_GB2312" w:cs="仿宋_GB2312" w:eastAsia="仿宋_GB2312"/>
                      <w:sz w:val="19"/>
                      <w:b/>
                    </w:rPr>
                    <w:t>谈判文件第三章</w:t>
                  </w:r>
                  <w:r>
                    <w:rPr>
                      <w:rFonts w:ascii="仿宋_GB2312" w:hAnsi="仿宋_GB2312" w:cs="仿宋_GB2312" w:eastAsia="仿宋_GB2312"/>
                      <w:sz w:val="19"/>
                      <w:b/>
                    </w:rPr>
                    <w:t>“3.1.采购内容”中“标的名称”及“所属行业”无法准确填写，若供应商涉及填报中小企业声明函，中小企业</w:t>
                  </w:r>
                  <w:r>
                    <w:rPr>
                      <w:rFonts w:ascii="仿宋_GB2312" w:hAnsi="仿宋_GB2312" w:cs="仿宋_GB2312" w:eastAsia="仿宋_GB2312"/>
                      <w:sz w:val="19"/>
                      <w:b/>
                    </w:rPr>
                    <w:t>声明</w:t>
                  </w:r>
                  <w:r>
                    <w:rPr>
                      <w:rFonts w:ascii="仿宋_GB2312" w:hAnsi="仿宋_GB2312" w:cs="仿宋_GB2312" w:eastAsia="仿宋_GB2312"/>
                      <w:sz w:val="19"/>
                      <w:b/>
                    </w:rPr>
                    <w:t>函中“标的名称”及“所属行业”则以本表中所载明的“标的名称”及“所属行业”进行填报。为避免不必要的错误请各潜在供应商仔细阅读中小企业</w:t>
                  </w:r>
                  <w:r>
                    <w:rPr>
                      <w:rFonts w:ascii="仿宋_GB2312" w:hAnsi="仿宋_GB2312" w:cs="仿宋_GB2312" w:eastAsia="仿宋_GB2312"/>
                      <w:sz w:val="19"/>
                      <w:b/>
                    </w:rPr>
                    <w:t>声明</w:t>
                  </w:r>
                  <w:r>
                    <w:rPr>
                      <w:rFonts w:ascii="仿宋_GB2312" w:hAnsi="仿宋_GB2312" w:cs="仿宋_GB2312" w:eastAsia="仿宋_GB2312"/>
                      <w:sz w:val="19"/>
                      <w:b/>
                    </w:rPr>
                    <w:t>函填报要求。</w:t>
                  </w:r>
                </w:p>
                <w:p>
                  <w:pPr>
                    <w:pStyle w:val="null3"/>
                    <w:ind w:firstLine="422"/>
                    <w:jc w:val="left"/>
                  </w:pPr>
                  <w:r>
                    <w:rPr>
                      <w:rFonts w:ascii="仿宋_GB2312" w:hAnsi="仿宋_GB2312" w:cs="仿宋_GB2312" w:eastAsia="仿宋_GB2312"/>
                      <w:sz w:val="21"/>
                      <w:b/>
                    </w:rPr>
                    <w:t>2.具体点位表详见附件《珙县农业农村局智慧渔政项目前端监控点位表》。</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30"/>
              <w:gridCol w:w="592"/>
              <w:gridCol w:w="4016"/>
              <w:gridCol w:w="330"/>
              <w:gridCol w:w="330"/>
            </w:tblGrid>
            <w:tr>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b/>
                    </w:rPr>
                    <w:t>序号</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b/>
                    </w:rPr>
                    <w:t>标的名称</w:t>
                  </w:r>
                </w:p>
              </w:tc>
              <w:tc>
                <w:tcPr>
                  <w:tcW w:type="dxa" w:w="4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b/>
                    </w:rPr>
                    <w:t>技术参数要求</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b/>
                    </w:rPr>
                    <w:t>数量</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b/>
                    </w:rPr>
                    <w:t>单位</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b/>
                    </w:rPr>
                    <w:t>一、前端重点水域监控系统</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1KM热成像双光谱中载云台</w:t>
                  </w:r>
                </w:p>
              </w:tc>
              <w:tc>
                <w:tcPr>
                  <w:tcW w:type="dxa" w:w="4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1.热成像探测器分辨率≥384*288；</w:t>
                  </w:r>
                  <w:r>
                    <w:br/>
                  </w:r>
                  <w:r>
                    <w:rPr>
                      <w:rFonts w:ascii="仿宋_GB2312" w:hAnsi="仿宋_GB2312" w:cs="仿宋_GB2312" w:eastAsia="仿宋_GB2312"/>
                      <w:sz w:val="20"/>
                    </w:rPr>
                    <w:t>2.波长范围：8~14μm；</w:t>
                  </w:r>
                  <w:r>
                    <w:br/>
                  </w:r>
                  <w:r>
                    <w:rPr>
                      <w:rFonts w:ascii="仿宋_GB2312" w:hAnsi="仿宋_GB2312" w:cs="仿宋_GB2312" w:eastAsia="仿宋_GB2312"/>
                      <w:sz w:val="20"/>
                    </w:rPr>
                    <w:t>3.热成像镜头焦距≥50mm；</w:t>
                  </w:r>
                  <w:r>
                    <w:br/>
                  </w:r>
                  <w:r>
                    <w:rPr>
                      <w:rFonts w:ascii="仿宋_GB2312" w:hAnsi="仿宋_GB2312" w:cs="仿宋_GB2312" w:eastAsia="仿宋_GB2312"/>
                      <w:sz w:val="20"/>
                    </w:rPr>
                    <w:t>4.灵敏度≤40mK；</w:t>
                  </w:r>
                  <w:r>
                    <w:br/>
                  </w:r>
                  <w:r>
                    <w:rPr>
                      <w:rFonts w:ascii="仿宋_GB2312" w:hAnsi="仿宋_GB2312" w:cs="仿宋_GB2312" w:eastAsia="仿宋_GB2312"/>
                      <w:sz w:val="20"/>
                    </w:rPr>
                    <w:t>5.支持白热、黑热、聚变、彩虹等18种伪彩可调；</w:t>
                  </w:r>
                  <w:r>
                    <w:br/>
                  </w:r>
                  <w:r>
                    <w:rPr>
                      <w:rFonts w:ascii="仿宋_GB2312" w:hAnsi="仿宋_GB2312" w:cs="仿宋_GB2312" w:eastAsia="仿宋_GB2312"/>
                      <w:sz w:val="20"/>
                    </w:rPr>
                    <w:t>6.可见光像素≥400万，最大焦距≥240mm；</w:t>
                  </w:r>
                  <w:r>
                    <w:br/>
                  </w:r>
                  <w:r>
                    <w:rPr>
                      <w:rFonts w:ascii="仿宋_GB2312" w:hAnsi="仿宋_GB2312" w:cs="仿宋_GB2312" w:eastAsia="仿宋_GB2312"/>
                      <w:sz w:val="20"/>
                    </w:rPr>
                    <w:t>7.支持光学透雾和光学防抖；</w:t>
                  </w:r>
                  <w:r>
                    <w:br/>
                  </w:r>
                  <w:r>
                    <w:rPr>
                      <w:rFonts w:ascii="仿宋_GB2312" w:hAnsi="仿宋_GB2312" w:cs="仿宋_GB2312" w:eastAsia="仿宋_GB2312"/>
                      <w:sz w:val="20"/>
                    </w:rPr>
                    <w:t>8.激光补光距离≥800米；</w:t>
                  </w:r>
                  <w:r>
                    <w:br/>
                  </w:r>
                  <w:r>
                    <w:rPr>
                      <w:rFonts w:ascii="仿宋_GB2312" w:hAnsi="仿宋_GB2312" w:cs="仿宋_GB2312" w:eastAsia="仿宋_GB2312"/>
                      <w:sz w:val="20"/>
                    </w:rPr>
                    <w:t>9.人员最远报警距离(以1.8米*0.5米为准)：≥500米；</w:t>
                  </w:r>
                  <w:r>
                    <w:br/>
                  </w:r>
                  <w:r>
                    <w:rPr>
                      <w:rFonts w:ascii="仿宋_GB2312" w:hAnsi="仿宋_GB2312" w:cs="仿宋_GB2312" w:eastAsia="仿宋_GB2312"/>
                      <w:sz w:val="20"/>
                    </w:rPr>
                    <w:t>10.车辆最远报警距离(以4米*1.4米为准)：≥1000米；</w:t>
                  </w:r>
                  <w:r>
                    <w:br/>
                  </w:r>
                  <w:r>
                    <w:rPr>
                      <w:rFonts w:ascii="仿宋_GB2312" w:hAnsi="仿宋_GB2312" w:cs="仿宋_GB2312" w:eastAsia="仿宋_GB2312"/>
                      <w:sz w:val="20"/>
                    </w:rPr>
                    <w:t xml:space="preserve">11.船只最远报警距离(以10米*5 米为准)：≥1000米； </w:t>
                  </w:r>
                  <w:r>
                    <w:br/>
                  </w:r>
                  <w:r>
                    <w:rPr>
                      <w:rFonts w:ascii="仿宋_GB2312" w:hAnsi="仿宋_GB2312" w:cs="仿宋_GB2312" w:eastAsia="仿宋_GB2312"/>
                      <w:sz w:val="20"/>
                    </w:rPr>
                    <w:t>12.支持水平0~360°连续旋转，垂直旋转范围不低于-45~60°；</w:t>
                  </w:r>
                  <w:r>
                    <w:br/>
                  </w:r>
                  <w:r>
                    <w:rPr>
                      <w:rFonts w:ascii="仿宋_GB2312" w:hAnsi="仿宋_GB2312" w:cs="仿宋_GB2312" w:eastAsia="仿宋_GB2312"/>
                      <w:sz w:val="20"/>
                    </w:rPr>
                    <w:t xml:space="preserve">13.内置≥1个RJ45、≥2路报警输入、≥1路报警输出； </w:t>
                  </w:r>
                  <w:r>
                    <w:br/>
                  </w:r>
                  <w:r>
                    <w:rPr>
                      <w:rFonts w:ascii="仿宋_GB2312" w:hAnsi="仿宋_GB2312" w:cs="仿宋_GB2312" w:eastAsia="仿宋_GB2312"/>
                      <w:sz w:val="20"/>
                    </w:rPr>
                    <w:t>14工作温度：-40℃~+70℃，防护等级≥IP66；</w:t>
                  </w:r>
                </w:p>
                <w:p>
                  <w:pPr>
                    <w:pStyle w:val="null3"/>
                    <w:spacing w:before="105" w:after="105"/>
                    <w:jc w:val="left"/>
                  </w:pPr>
                  <w:r>
                    <w:rPr>
                      <w:rFonts w:ascii="仿宋_GB2312" w:hAnsi="仿宋_GB2312" w:cs="仿宋_GB2312" w:eastAsia="仿宋_GB2312"/>
                      <w:sz w:val="20"/>
                    </w:rPr>
                    <w:t>15.可根据温度变化自动调整聚焦；支持目标热源细节凸显，并可对指定热源细节进行增强显示</w:t>
                  </w:r>
                  <w:r>
                    <w:rPr>
                      <w:rFonts w:ascii="仿宋_GB2312" w:hAnsi="仿宋_GB2312" w:cs="仿宋_GB2312" w:eastAsia="仿宋_GB2312"/>
                      <w:sz w:val="20"/>
                    </w:rPr>
                    <w:t>；</w:t>
                  </w:r>
                </w:p>
                <w:p>
                  <w:pPr>
                    <w:pStyle w:val="null3"/>
                    <w:spacing w:before="105" w:after="105"/>
                    <w:jc w:val="left"/>
                  </w:pPr>
                  <w:r>
                    <w:rPr>
                      <w:rFonts w:ascii="仿宋_GB2312" w:hAnsi="仿宋_GB2312" w:cs="仿宋_GB2312" w:eastAsia="仿宋_GB2312"/>
                      <w:sz w:val="20"/>
                    </w:rPr>
                    <w:t>16.可外接空间感知模块，并可显示经纬度、海拔高度、方位角坐标等信息；</w:t>
                  </w:r>
                  <w:r>
                    <w:rPr>
                      <w:rFonts w:ascii="仿宋_GB2312" w:hAnsi="仿宋_GB2312" w:cs="仿宋_GB2312" w:eastAsia="仿宋_GB2312"/>
                      <w:sz w:val="20"/>
                    </w:rPr>
                    <w:t>；</w:t>
                  </w:r>
                </w:p>
                <w:p>
                  <w:pPr>
                    <w:pStyle w:val="null3"/>
                    <w:spacing w:before="105" w:after="105"/>
                    <w:jc w:val="left"/>
                  </w:pPr>
                  <w:r>
                    <w:rPr>
                      <w:rFonts w:ascii="仿宋_GB2312" w:hAnsi="仿宋_GB2312" w:cs="仿宋_GB2312" w:eastAsia="仿宋_GB2312"/>
                      <w:sz w:val="20"/>
                    </w:rPr>
                    <w:t>17.设备外接雷达设备后，可自动船只识别、持续跟踪并保持船只目标处于画面中央位置；</w:t>
                  </w:r>
                  <w:r>
                    <w:rPr>
                      <w:rFonts w:ascii="仿宋_GB2312" w:hAnsi="仿宋_GB2312" w:cs="仿宋_GB2312" w:eastAsia="仿宋_GB2312"/>
                      <w:sz w:val="20"/>
                    </w:rPr>
                    <w:t>；</w:t>
                  </w:r>
                </w:p>
                <w:p>
                  <w:pPr>
                    <w:pStyle w:val="null3"/>
                    <w:spacing w:before="105" w:after="105"/>
                    <w:jc w:val="left"/>
                  </w:pPr>
                  <w:r>
                    <w:rPr>
                      <w:rFonts w:ascii="仿宋_GB2312" w:hAnsi="仿宋_GB2312" w:cs="仿宋_GB2312" w:eastAsia="仿宋_GB2312"/>
                      <w:sz w:val="20"/>
                    </w:rPr>
                    <w:t>18.可对监控画面中出现的船只进行检测、跟踪，并将船只类型信息在热成像监控画面上进行显示；</w:t>
                  </w:r>
                </w:p>
                <w:p>
                  <w:pPr>
                    <w:pStyle w:val="null3"/>
                    <w:spacing w:before="105" w:after="105"/>
                    <w:jc w:val="left"/>
                  </w:pP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供应商应在响应文件中单独</w:t>
                  </w:r>
                  <w:r>
                    <w:rPr>
                      <w:rFonts w:ascii="仿宋_GB2312" w:hAnsi="仿宋_GB2312" w:cs="仿宋_GB2312" w:eastAsia="仿宋_GB2312"/>
                      <w:sz w:val="20"/>
                    </w:rPr>
                    <w:t>提供</w:t>
                  </w:r>
                  <w:r>
                    <w:rPr>
                      <w:rFonts w:ascii="仿宋_GB2312" w:hAnsi="仿宋_GB2312" w:cs="仿宋_GB2312" w:eastAsia="仿宋_GB2312"/>
                      <w:sz w:val="20"/>
                    </w:rPr>
                    <w:t>承诺</w:t>
                  </w:r>
                  <w:r>
                    <w:rPr>
                      <w:rFonts w:ascii="仿宋_GB2312" w:hAnsi="仿宋_GB2312" w:cs="仿宋_GB2312" w:eastAsia="仿宋_GB2312"/>
                      <w:sz w:val="20"/>
                    </w:rPr>
                    <w:t>函</w:t>
                  </w:r>
                  <w:r>
                    <w:rPr>
                      <w:rFonts w:ascii="仿宋_GB2312" w:hAnsi="仿宋_GB2312" w:cs="仿宋_GB2312" w:eastAsia="仿宋_GB2312"/>
                      <w:sz w:val="20"/>
                    </w:rPr>
                    <w:t>，</w:t>
                  </w:r>
                  <w:r>
                    <w:rPr>
                      <w:rFonts w:ascii="仿宋_GB2312" w:hAnsi="仿宋_GB2312" w:cs="仿宋_GB2312" w:eastAsia="仿宋_GB2312"/>
                      <w:sz w:val="20"/>
                    </w:rPr>
                    <w:t>承诺</w:t>
                  </w:r>
                  <w:r>
                    <w:rPr>
                      <w:rFonts w:ascii="仿宋_GB2312" w:hAnsi="仿宋_GB2312" w:cs="仿宋_GB2312" w:eastAsia="仿宋_GB2312"/>
                      <w:sz w:val="20"/>
                    </w:rPr>
                    <w:t>对</w:t>
                  </w:r>
                  <w:r>
                    <w:rPr>
                      <w:rFonts w:ascii="仿宋_GB2312" w:hAnsi="仿宋_GB2312" w:cs="仿宋_GB2312" w:eastAsia="仿宋_GB2312"/>
                      <w:sz w:val="20"/>
                    </w:rPr>
                    <w:t>第</w:t>
                  </w: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项</w:t>
                  </w:r>
                  <w:r>
                    <w:rPr>
                      <w:rFonts w:ascii="仿宋_GB2312" w:hAnsi="仿宋_GB2312" w:cs="仿宋_GB2312" w:eastAsia="仿宋_GB2312"/>
                      <w:sz w:val="20"/>
                    </w:rPr>
                    <w:t>参数，</w:t>
                  </w:r>
                  <w:r>
                    <w:rPr>
                      <w:rFonts w:ascii="仿宋_GB2312" w:hAnsi="仿宋_GB2312" w:cs="仿宋_GB2312" w:eastAsia="仿宋_GB2312"/>
                      <w:sz w:val="20"/>
                    </w:rPr>
                    <w:t>供货时向采购人提供第三方检测机构出具的带有</w:t>
                  </w:r>
                  <w:r>
                    <w:rPr>
                      <w:rFonts w:ascii="仿宋_GB2312" w:hAnsi="仿宋_GB2312" w:cs="仿宋_GB2312" w:eastAsia="仿宋_GB2312"/>
                      <w:sz w:val="20"/>
                    </w:rPr>
                    <w:t>CMA标识的检测报告复印件予以佐证,检测依据符合GA/T 1127-2025</w:t>
                  </w:r>
                  <w:r>
                    <w:rPr>
                      <w:rFonts w:ascii="仿宋_GB2312" w:hAnsi="仿宋_GB2312" w:cs="仿宋_GB2312" w:eastAsia="仿宋_GB2312"/>
                      <w:sz w:val="20"/>
                    </w:rPr>
                    <w:t>；</w:t>
                  </w:r>
                </w:p>
                <w:p>
                  <w:pPr>
                    <w:pStyle w:val="null3"/>
                    <w:spacing w:before="105" w:after="105"/>
                    <w:jc w:val="left"/>
                  </w:pPr>
                  <w:r>
                    <w:rPr>
                      <w:rFonts w:ascii="仿宋_GB2312" w:hAnsi="仿宋_GB2312" w:cs="仿宋_GB2312" w:eastAsia="仿宋_GB2312"/>
                      <w:sz w:val="20"/>
                      <w:b/>
                    </w:rPr>
                    <w:t>2</w:t>
                  </w:r>
                  <w:r>
                    <w:rPr>
                      <w:rFonts w:ascii="仿宋_GB2312" w:hAnsi="仿宋_GB2312" w:cs="仿宋_GB2312" w:eastAsia="仿宋_GB2312"/>
                      <w:sz w:val="20"/>
                      <w:b/>
                    </w:rPr>
                    <w:t>0</w:t>
                  </w:r>
                  <w:r>
                    <w:rPr>
                      <w:rFonts w:ascii="仿宋_GB2312" w:hAnsi="仿宋_GB2312" w:cs="仿宋_GB2312" w:eastAsia="仿宋_GB2312"/>
                      <w:sz w:val="20"/>
                      <w:b/>
                    </w:rPr>
                    <w:t>.</w:t>
                  </w:r>
                  <w:r>
                    <w:rPr>
                      <w:rFonts w:ascii="仿宋_GB2312" w:hAnsi="仿宋_GB2312" w:cs="仿宋_GB2312" w:eastAsia="仿宋_GB2312"/>
                      <w:sz w:val="20"/>
                    </w:rPr>
                    <w:t>供应商应在响应文件中单独</w:t>
                  </w:r>
                  <w:r>
                    <w:rPr>
                      <w:rFonts w:ascii="仿宋_GB2312" w:hAnsi="仿宋_GB2312" w:cs="仿宋_GB2312" w:eastAsia="仿宋_GB2312"/>
                      <w:sz w:val="20"/>
                    </w:rPr>
                    <w:t>提供承诺函，</w:t>
                  </w:r>
                  <w:r>
                    <w:rPr>
                      <w:rFonts w:ascii="仿宋_GB2312" w:hAnsi="仿宋_GB2312" w:cs="仿宋_GB2312" w:eastAsia="仿宋_GB2312"/>
                      <w:sz w:val="20"/>
                    </w:rPr>
                    <w:t>承诺</w:t>
                  </w:r>
                  <w:r>
                    <w:rPr>
                      <w:rFonts w:ascii="仿宋_GB2312" w:hAnsi="仿宋_GB2312" w:cs="仿宋_GB2312" w:eastAsia="仿宋_GB2312"/>
                      <w:sz w:val="20"/>
                    </w:rPr>
                    <w:t>对第</w:t>
                  </w: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项参数，</w:t>
                  </w:r>
                  <w:r>
                    <w:rPr>
                      <w:rFonts w:ascii="仿宋_GB2312" w:hAnsi="仿宋_GB2312" w:cs="仿宋_GB2312" w:eastAsia="仿宋_GB2312"/>
                      <w:sz w:val="20"/>
                    </w:rPr>
                    <w:t>供货时向采购人提供第三方检测机构出具的带有</w:t>
                  </w:r>
                  <w:r>
                    <w:rPr>
                      <w:rFonts w:ascii="仿宋_GB2312" w:hAnsi="仿宋_GB2312" w:cs="仿宋_GB2312" w:eastAsia="仿宋_GB2312"/>
                      <w:sz w:val="20"/>
                    </w:rPr>
                    <w:t>CMA标识的检测报告复印件予以佐证,检测依据符合GA/T 1</w:t>
                  </w:r>
                  <w:r>
                    <w:rPr>
                      <w:rFonts w:ascii="仿宋_GB2312" w:hAnsi="仿宋_GB2312" w:cs="仿宋_GB2312" w:eastAsia="仿宋_GB2312"/>
                      <w:sz w:val="20"/>
                    </w:rPr>
                    <w:t>70</w:t>
                  </w:r>
                  <w:r>
                    <w:rPr>
                      <w:rFonts w:ascii="仿宋_GB2312" w:hAnsi="仿宋_GB2312" w:cs="仿宋_GB2312" w:eastAsia="仿宋_GB2312"/>
                      <w:sz w:val="20"/>
                    </w:rPr>
                    <w:t>8</w:t>
                  </w:r>
                  <w:r>
                    <w:rPr>
                      <w:rFonts w:ascii="仿宋_GB2312" w:hAnsi="仿宋_GB2312" w:cs="仿宋_GB2312" w:eastAsia="仿宋_GB2312"/>
                      <w:sz w:val="20"/>
                    </w:rPr>
                    <w:t>-202</w:t>
                  </w:r>
                  <w:r>
                    <w:rPr>
                      <w:rFonts w:ascii="仿宋_GB2312" w:hAnsi="仿宋_GB2312" w:cs="仿宋_GB2312" w:eastAsia="仿宋_GB2312"/>
                      <w:sz w:val="20"/>
                    </w:rPr>
                    <w:t>0</w:t>
                  </w:r>
                  <w:r>
                    <w:rPr>
                      <w:rFonts w:ascii="仿宋_GB2312" w:hAnsi="仿宋_GB2312" w:cs="仿宋_GB2312" w:eastAsia="仿宋_GB2312"/>
                      <w:sz w:val="20"/>
                    </w:rPr>
                    <w:t>；</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2</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热成像双光谱球机</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 xml:space="preserve">1.热成像探测器分辨率≥384*288； </w:t>
                  </w:r>
                  <w:r>
                    <w:br/>
                  </w:r>
                  <w:r>
                    <w:rPr>
                      <w:rFonts w:ascii="仿宋_GB2312" w:hAnsi="仿宋_GB2312" w:cs="仿宋_GB2312" w:eastAsia="仿宋_GB2312"/>
                      <w:sz w:val="20"/>
                    </w:rPr>
                    <w:t xml:space="preserve">2.波长范围：8~14μm； </w:t>
                  </w:r>
                  <w:r>
                    <w:br/>
                  </w:r>
                  <w:r>
                    <w:rPr>
                      <w:rFonts w:ascii="仿宋_GB2312" w:hAnsi="仿宋_GB2312" w:cs="仿宋_GB2312" w:eastAsia="仿宋_GB2312"/>
                      <w:sz w:val="20"/>
                    </w:rPr>
                    <w:t xml:space="preserve">3.热成像镜头焦距≥25mm； </w:t>
                  </w:r>
                  <w:r>
                    <w:br/>
                  </w:r>
                  <w:r>
                    <w:rPr>
                      <w:rFonts w:ascii="仿宋_GB2312" w:hAnsi="仿宋_GB2312" w:cs="仿宋_GB2312" w:eastAsia="仿宋_GB2312"/>
                      <w:sz w:val="20"/>
                    </w:rPr>
                    <w:t xml:space="preserve">4.灵敏度≤40mK； </w:t>
                  </w:r>
                  <w:r>
                    <w:br/>
                  </w:r>
                  <w:r>
                    <w:rPr>
                      <w:rFonts w:ascii="仿宋_GB2312" w:hAnsi="仿宋_GB2312" w:cs="仿宋_GB2312" w:eastAsia="仿宋_GB2312"/>
                      <w:sz w:val="20"/>
                    </w:rPr>
                    <w:t xml:space="preserve">5.支持白热、黑热、聚变、彩虹等18种伪彩可调； </w:t>
                  </w:r>
                  <w:r>
                    <w:br/>
                  </w:r>
                  <w:r>
                    <w:rPr>
                      <w:rFonts w:ascii="仿宋_GB2312" w:hAnsi="仿宋_GB2312" w:cs="仿宋_GB2312" w:eastAsia="仿宋_GB2312"/>
                      <w:sz w:val="20"/>
                    </w:rPr>
                    <w:t>6.可见光像素≥400万，最大焦距≥240mm；</w:t>
                  </w:r>
                  <w:r>
                    <w:br/>
                  </w:r>
                  <w:r>
                    <w:rPr>
                      <w:rFonts w:ascii="仿宋_GB2312" w:hAnsi="仿宋_GB2312" w:cs="仿宋_GB2312" w:eastAsia="仿宋_GB2312"/>
                      <w:sz w:val="20"/>
                    </w:rPr>
                    <w:t xml:space="preserve">7.支持电子透雾和电子防抖； </w:t>
                  </w:r>
                  <w:r>
                    <w:br/>
                  </w:r>
                  <w:r>
                    <w:rPr>
                      <w:rFonts w:ascii="仿宋_GB2312" w:hAnsi="仿宋_GB2312" w:cs="仿宋_GB2312" w:eastAsia="仿宋_GB2312"/>
                      <w:sz w:val="20"/>
                    </w:rPr>
                    <w:t>8.支持红外补光，最大补光距离≥150米；</w:t>
                  </w:r>
                </w:p>
                <w:p>
                  <w:pPr>
                    <w:pStyle w:val="null3"/>
                    <w:spacing w:before="105" w:after="105"/>
                    <w:jc w:val="both"/>
                  </w:pPr>
                  <w:r>
                    <w:rPr>
                      <w:rFonts w:ascii="仿宋_GB2312" w:hAnsi="仿宋_GB2312" w:cs="仿宋_GB2312" w:eastAsia="仿宋_GB2312"/>
                      <w:sz w:val="20"/>
                    </w:rPr>
                    <w:t xml:space="preserve">9.人员最远报警距离(以1.8米*0.5米为准)：≥250米； </w:t>
                  </w:r>
                  <w:r>
                    <w:br/>
                  </w:r>
                  <w:r>
                    <w:rPr>
                      <w:rFonts w:ascii="仿宋_GB2312" w:hAnsi="仿宋_GB2312" w:cs="仿宋_GB2312" w:eastAsia="仿宋_GB2312"/>
                      <w:sz w:val="20"/>
                    </w:rPr>
                    <w:t xml:space="preserve">10.车辆最远报警距离(以4米*1.4米为准)：≥500米； </w:t>
                  </w:r>
                  <w:r>
                    <w:br/>
                  </w:r>
                  <w:r>
                    <w:rPr>
                      <w:rFonts w:ascii="仿宋_GB2312" w:hAnsi="仿宋_GB2312" w:cs="仿宋_GB2312" w:eastAsia="仿宋_GB2312"/>
                      <w:sz w:val="20"/>
                    </w:rPr>
                    <w:t xml:space="preserve">11.船只最远报警距离(以10米*5米为准)：≥500米； </w:t>
                  </w:r>
                  <w:r>
                    <w:br/>
                  </w:r>
                  <w:r>
                    <w:rPr>
                      <w:rFonts w:ascii="仿宋_GB2312" w:hAnsi="仿宋_GB2312" w:cs="仿宋_GB2312" w:eastAsia="仿宋_GB2312"/>
                      <w:sz w:val="20"/>
                    </w:rPr>
                    <w:t xml:space="preserve">12.支持水平0~360°连续旋转，垂直旋转范围不低于-20~90°； </w:t>
                  </w:r>
                  <w:r>
                    <w:br/>
                  </w:r>
                  <w:r>
                    <w:rPr>
                      <w:rFonts w:ascii="仿宋_GB2312" w:hAnsi="仿宋_GB2312" w:cs="仿宋_GB2312" w:eastAsia="仿宋_GB2312"/>
                      <w:sz w:val="20"/>
                    </w:rPr>
                    <w:t xml:space="preserve">13.内置≥1个RJ45、≥2路报警输入、≥1路报警输出； </w:t>
                  </w:r>
                  <w:r>
                    <w:br/>
                  </w:r>
                  <w:r>
                    <w:rPr>
                      <w:rFonts w:ascii="仿宋_GB2312" w:hAnsi="仿宋_GB2312" w:cs="仿宋_GB2312" w:eastAsia="仿宋_GB2312"/>
                      <w:sz w:val="20"/>
                    </w:rPr>
                    <w:t>14.工作温度：-40℃~+70℃，防护等级≥IP66;</w:t>
                  </w:r>
                </w:p>
                <w:p>
                  <w:pPr>
                    <w:pStyle w:val="null3"/>
                    <w:spacing w:before="105" w:after="105"/>
                    <w:jc w:val="both"/>
                  </w:pPr>
                  <w:r>
                    <w:rPr>
                      <w:rFonts w:ascii="仿宋_GB2312" w:hAnsi="仿宋_GB2312" w:cs="仿宋_GB2312" w:eastAsia="仿宋_GB2312"/>
                      <w:sz w:val="20"/>
                    </w:rPr>
                    <w:t>15.具备故障自诊断系统，可自动识别系统故障(包括视频图像异常、系统异常重启、云台异常、镜头运行状态异常、网络异常、智能分析异常、算法状态异常、电机状态异常等)并可通过OSD进行显示及后台输出；</w:t>
                  </w:r>
                </w:p>
                <w:p>
                  <w:pPr>
                    <w:pStyle w:val="null3"/>
                    <w:spacing w:before="105" w:after="105"/>
                    <w:jc w:val="both"/>
                  </w:pPr>
                  <w:r>
                    <w:rPr>
                      <w:rFonts w:ascii="仿宋_GB2312" w:hAnsi="仿宋_GB2312" w:cs="仿宋_GB2312" w:eastAsia="仿宋_GB2312"/>
                      <w:sz w:val="20"/>
                    </w:rPr>
                    <w:t>16.可根据温度变化自动调整聚焦；支持目标热源细节凸显，并可对指定热源细节进行增强显示；</w:t>
                  </w:r>
                </w:p>
                <w:p>
                  <w:pPr>
                    <w:pStyle w:val="null3"/>
                    <w:spacing w:before="105" w:after="105"/>
                    <w:jc w:val="both"/>
                  </w:pPr>
                  <w:r>
                    <w:rPr>
                      <w:rFonts w:ascii="仿宋_GB2312" w:hAnsi="仿宋_GB2312" w:cs="仿宋_GB2312" w:eastAsia="仿宋_GB2312"/>
                      <w:sz w:val="20"/>
                    </w:rPr>
                    <w:t>17.可对监控画面中出现的船只进行检测、跟踪，并将船只类型信息在热成像监控画面上进行显示；</w:t>
                  </w:r>
                  <w:r>
                    <w:rPr>
                      <w:rFonts w:ascii="仿宋_GB2312" w:hAnsi="仿宋_GB2312" w:cs="仿宋_GB2312" w:eastAsia="仿宋_GB2312"/>
                      <w:sz w:val="20"/>
                      <w:b/>
                    </w:rPr>
                    <w:t>(供应商应在响应文件中单独承诺供货时向采购人提供第三方检测机构出具的带有CMA标识的检测报告复印件予以佐证,检测依据符合GA/T 1708-2020)</w:t>
                  </w:r>
                </w:p>
                <w:p>
                  <w:pPr>
                    <w:pStyle w:val="null3"/>
                    <w:spacing w:before="105" w:after="105"/>
                    <w:jc w:val="both"/>
                  </w:pP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供应商应在响应文件中单独</w:t>
                  </w:r>
                  <w:r>
                    <w:rPr>
                      <w:rFonts w:ascii="仿宋_GB2312" w:hAnsi="仿宋_GB2312" w:cs="仿宋_GB2312" w:eastAsia="仿宋_GB2312"/>
                      <w:sz w:val="20"/>
                    </w:rPr>
                    <w:t>提供承诺函，</w:t>
                  </w:r>
                  <w:r>
                    <w:rPr>
                      <w:rFonts w:ascii="仿宋_GB2312" w:hAnsi="仿宋_GB2312" w:cs="仿宋_GB2312" w:eastAsia="仿宋_GB2312"/>
                      <w:sz w:val="20"/>
                    </w:rPr>
                    <w:t>承诺</w:t>
                  </w:r>
                  <w:r>
                    <w:rPr>
                      <w:rFonts w:ascii="仿宋_GB2312" w:hAnsi="仿宋_GB2312" w:cs="仿宋_GB2312" w:eastAsia="仿宋_GB2312"/>
                      <w:sz w:val="20"/>
                    </w:rPr>
                    <w:t>对第</w:t>
                  </w:r>
                  <w:r>
                    <w:rPr>
                      <w:rFonts w:ascii="仿宋_GB2312" w:hAnsi="仿宋_GB2312" w:cs="仿宋_GB2312" w:eastAsia="仿宋_GB2312"/>
                      <w:sz w:val="20"/>
                    </w:rPr>
                    <w:t>15、16项参数，</w:t>
                  </w:r>
                  <w:r>
                    <w:rPr>
                      <w:rFonts w:ascii="仿宋_GB2312" w:hAnsi="仿宋_GB2312" w:cs="仿宋_GB2312" w:eastAsia="仿宋_GB2312"/>
                      <w:sz w:val="20"/>
                    </w:rPr>
                    <w:t>供货时向采购人提供第三方检测机构出具的带有</w:t>
                  </w:r>
                  <w:r>
                    <w:rPr>
                      <w:rFonts w:ascii="仿宋_GB2312" w:hAnsi="仿宋_GB2312" w:cs="仿宋_GB2312" w:eastAsia="仿宋_GB2312"/>
                      <w:sz w:val="20"/>
                    </w:rPr>
                    <w:t>CMA标识的检测报告复印件予以佐证,检测依据符合GA/T 1127-2025</w:t>
                  </w:r>
                  <w:r>
                    <w:rPr>
                      <w:rFonts w:ascii="仿宋_GB2312" w:hAnsi="仿宋_GB2312" w:cs="仿宋_GB2312" w:eastAsia="仿宋_GB2312"/>
                      <w:sz w:val="20"/>
                    </w:rPr>
                    <w:t>；</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智能警戒防盗摄像机</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1.网络高清摄像机，视频分辨率和帧率≥2560x1440、25帧/秒，最低照度≤0.005 lx，支持≥120 dB宽动态，视频压缩标准需支持H.265和H.264；支持POE供电，支持≥50米红外补光、≥30米白光补光，防护等级≥IP66；</w:t>
                  </w:r>
                  <w:r>
                    <w:br/>
                  </w:r>
                  <w:r>
                    <w:rPr>
                      <w:rFonts w:ascii="仿宋_GB2312" w:hAnsi="仿宋_GB2312" w:cs="仿宋_GB2312" w:eastAsia="仿宋_GB2312"/>
                      <w:sz w:val="20"/>
                    </w:rPr>
                    <w:t>2.支持记录系统操作、配置操作、数据操作、事件操作、异常状态、用户管理、清空日志不低于八种类型的日志信息。可按照主类型、次类型、开始时间、结束时间搜索日志，主类型有全部类型、报警、异常、操作、信息不少于五种类型；次类型可在主类型限定范围内按功能细分搜索的日志范围；</w:t>
                  </w:r>
                  <w:r>
                    <w:br/>
                  </w:r>
                  <w:r>
                    <w:rPr>
                      <w:rFonts w:ascii="仿宋_GB2312" w:hAnsi="仿宋_GB2312" w:cs="仿宋_GB2312" w:eastAsia="仿宋_GB2312"/>
                      <w:sz w:val="20"/>
                    </w:rPr>
                    <w:t>3.字符叠加(OSD)功能支持在视频图像上叠加不少于28行字符，字符可选择项至少包括通道名称、时间、日期，字体、颜色、位置、闪烁、滚动效果可设置；</w:t>
                  </w:r>
                </w:p>
                <w:p>
                  <w:pPr>
                    <w:pStyle w:val="null3"/>
                    <w:spacing w:before="105" w:after="105"/>
                    <w:jc w:val="left"/>
                  </w:pPr>
                  <w:r>
                    <w:rPr>
                      <w:rFonts w:ascii="仿宋_GB2312" w:hAnsi="仿宋_GB2312" w:cs="仿宋_GB2312" w:eastAsia="仿宋_GB2312"/>
                      <w:sz w:val="20"/>
                    </w:rPr>
                    <w:t>4.具有≥1个网口、支持POE供电，≥1个麦克风，内置白光、红外双补光灯，支持切换，红外补光距离≥50米，白光补光距离≥30米，防护等级≥IP66。</w:t>
                  </w:r>
                </w:p>
                <w:p>
                  <w:pPr>
                    <w:pStyle w:val="null3"/>
                    <w:spacing w:before="105" w:after="105"/>
                    <w:jc w:val="both"/>
                  </w:pPr>
                  <w:r>
                    <w:rPr>
                      <w:rFonts w:ascii="仿宋_GB2312" w:hAnsi="仿宋_GB2312" w:cs="仿宋_GB2312" w:eastAsia="仿宋_GB2312"/>
                      <w:sz w:val="20"/>
                    </w:rPr>
                    <w:t>5.内置GPU芯片，支持智能补光、白光补光、红外补光等补光模式，支持自动和手动亮度调节模式，在自动模式下可根据被摄物的距离自动调节补合灯亮度值，在手动模式下可手动设置补光灯的亮度值；补光灯在低照度下支持自动开启，白光灯补光时支持输出彩色视频图像，在白天、夜晚均可输出彩色视频图像；</w:t>
                  </w:r>
                </w:p>
                <w:p>
                  <w:pPr>
                    <w:pStyle w:val="null3"/>
                    <w:spacing w:before="105" w:after="105"/>
                    <w:jc w:val="both"/>
                  </w:pPr>
                  <w:r>
                    <w:rPr>
                      <w:rFonts w:ascii="仿宋_GB2312" w:hAnsi="仿宋_GB2312" w:cs="仿宋_GB2312" w:eastAsia="仿宋_GB2312"/>
                      <w:sz w:val="20"/>
                    </w:rPr>
                    <w:t>6.支持目标过滤功能，若智能分析类型为区域入侵、越界、进入区域、离开区域、徘徊、快速移动、停车、物品遗留、物品移除时，支持设置目标像素值范围，只检测预设像素值范围内的目标；支持智能分析屏蔽区域功能，支持在预览画面上设置≥4个多边形(不少于4-9条边)屏蔽区域，不检测预设区域内的人脸；</w:t>
                  </w:r>
                </w:p>
                <w:p>
                  <w:pPr>
                    <w:pStyle w:val="null3"/>
                    <w:spacing w:before="105" w:after="105"/>
                    <w:jc w:val="both"/>
                  </w:pPr>
                  <w:r>
                    <w:rPr>
                      <w:rFonts w:ascii="仿宋_GB2312" w:hAnsi="仿宋_GB2312" w:cs="仿宋_GB2312" w:eastAsia="仿宋_GB2312"/>
                      <w:sz w:val="20"/>
                    </w:rPr>
                    <w:t>7.支持对出现在监控场景内的两眼瞳距不小于19像素的人脸进行检验，并叠加目标提示框，支持对检测区域内不少于10个行人进行检测、框选跟踪和抓拍，支持筛选和抓拍最佳人脸图片存储及上报中心，抓拍数量及图片大小可设，支持上传全景照；</w:t>
                  </w:r>
                </w:p>
                <w:p>
                  <w:pPr>
                    <w:pStyle w:val="null3"/>
                    <w:spacing w:before="105" w:after="105"/>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color w:val="C00000"/>
                    </w:rPr>
                    <w:t>供应商应在响应文件中单独</w:t>
                  </w:r>
                  <w:r>
                    <w:rPr>
                      <w:rFonts w:ascii="仿宋_GB2312" w:hAnsi="仿宋_GB2312" w:cs="仿宋_GB2312" w:eastAsia="仿宋_GB2312"/>
                      <w:sz w:val="20"/>
                      <w:color w:val="C00000"/>
                    </w:rPr>
                    <w:t>提供承诺函，</w:t>
                  </w:r>
                  <w:r>
                    <w:rPr>
                      <w:rFonts w:ascii="仿宋_GB2312" w:hAnsi="仿宋_GB2312" w:cs="仿宋_GB2312" w:eastAsia="仿宋_GB2312"/>
                      <w:sz w:val="20"/>
                      <w:color w:val="C00000"/>
                    </w:rPr>
                    <w:t>承诺</w:t>
                  </w:r>
                  <w:r>
                    <w:rPr>
                      <w:rFonts w:ascii="仿宋_GB2312" w:hAnsi="仿宋_GB2312" w:cs="仿宋_GB2312" w:eastAsia="仿宋_GB2312"/>
                      <w:sz w:val="20"/>
                      <w:color w:val="C00000"/>
                    </w:rPr>
                    <w:t>对第</w:t>
                  </w:r>
                  <w:r>
                    <w:rPr>
                      <w:rFonts w:ascii="仿宋_GB2312" w:hAnsi="仿宋_GB2312" w:cs="仿宋_GB2312" w:eastAsia="仿宋_GB2312"/>
                      <w:sz w:val="20"/>
                      <w:color w:val="C00000"/>
                    </w:rPr>
                    <w:t>5</w:t>
                  </w:r>
                  <w:r>
                    <w:rPr>
                      <w:rFonts w:ascii="仿宋_GB2312" w:hAnsi="仿宋_GB2312" w:cs="仿宋_GB2312" w:eastAsia="仿宋_GB2312"/>
                      <w:sz w:val="20"/>
                      <w:color w:val="C00000"/>
                    </w:rPr>
                    <w:t>、</w:t>
                  </w:r>
                  <w:r>
                    <w:rPr>
                      <w:rFonts w:ascii="仿宋_GB2312" w:hAnsi="仿宋_GB2312" w:cs="仿宋_GB2312" w:eastAsia="仿宋_GB2312"/>
                      <w:sz w:val="20"/>
                      <w:color w:val="C00000"/>
                    </w:rPr>
                    <w:t>6</w:t>
                  </w:r>
                  <w:r>
                    <w:rPr>
                      <w:rFonts w:ascii="仿宋_GB2312" w:hAnsi="仿宋_GB2312" w:cs="仿宋_GB2312" w:eastAsia="仿宋_GB2312"/>
                      <w:sz w:val="20"/>
                      <w:color w:val="C00000"/>
                    </w:rPr>
                    <w:t>、</w:t>
                  </w:r>
                  <w:r>
                    <w:rPr>
                      <w:rFonts w:ascii="仿宋_GB2312" w:hAnsi="仿宋_GB2312" w:cs="仿宋_GB2312" w:eastAsia="仿宋_GB2312"/>
                      <w:sz w:val="20"/>
                      <w:color w:val="C00000"/>
                    </w:rPr>
                    <w:t>7</w:t>
                  </w:r>
                  <w:r>
                    <w:rPr>
                      <w:rFonts w:ascii="仿宋_GB2312" w:hAnsi="仿宋_GB2312" w:cs="仿宋_GB2312" w:eastAsia="仿宋_GB2312"/>
                      <w:sz w:val="20"/>
                      <w:color w:val="C00000"/>
                    </w:rPr>
                    <w:t>项参数，</w:t>
                  </w:r>
                  <w:r>
                    <w:rPr>
                      <w:rFonts w:ascii="仿宋_GB2312" w:hAnsi="仿宋_GB2312" w:cs="仿宋_GB2312" w:eastAsia="仿宋_GB2312"/>
                      <w:sz w:val="20"/>
                      <w:color w:val="C00000"/>
                    </w:rPr>
                    <w:t>供货时向采购人提供第三方检测机构出具的带有</w:t>
                  </w:r>
                  <w:r>
                    <w:rPr>
                      <w:rFonts w:ascii="仿宋_GB2312" w:hAnsi="仿宋_GB2312" w:cs="仿宋_GB2312" w:eastAsia="仿宋_GB2312"/>
                      <w:sz w:val="20"/>
                      <w:color w:val="C00000"/>
                    </w:rPr>
                    <w:t>CMA标识的检测报告复印件予以佐证,检测依据符合GA/T 1127-2025</w:t>
                  </w:r>
                  <w:r>
                    <w:rPr>
                      <w:rFonts w:ascii="仿宋_GB2312" w:hAnsi="仿宋_GB2312" w:cs="仿宋_GB2312" w:eastAsia="仿宋_GB2312"/>
                      <w:sz w:val="20"/>
                      <w:color w:val="C00000"/>
                    </w:rPr>
                    <w:t>；</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4</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8米立杆</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立杆下口径</w:t>
                  </w:r>
                  <w:r>
                    <w:rPr>
                      <w:rFonts w:ascii="仿宋_GB2312" w:hAnsi="仿宋_GB2312" w:cs="仿宋_GB2312" w:eastAsia="仿宋_GB2312"/>
                      <w:sz w:val="20"/>
                    </w:rPr>
                    <w:t>≥300mm，上口径≥180mm；横臂上口径≥180mm，下口径≥180mm；壁厚≥4mm；杆体高度≥8m热镀锌立杆；</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根</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室外防水箱</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1.定制(含插线板)尺寸(长×宽×高)：≥500mm×600mm×350mm；</w:t>
                  </w:r>
                  <w:r>
                    <w:br/>
                  </w:r>
                  <w:r>
                    <w:rPr>
                      <w:rFonts w:ascii="仿宋_GB2312" w:hAnsi="仿宋_GB2312" w:cs="仿宋_GB2312" w:eastAsia="仿宋_GB2312"/>
                      <w:sz w:val="20"/>
                    </w:rPr>
                    <w:t>2.材质：201不锈钢，用于配电安装及设备安装；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6</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远程遥控智能物联网防雷器</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1.网络、电源二合一电涌保护器，支持手机远程控制，支持GPRS,WIFI；</w:t>
                  </w:r>
                  <w:r>
                    <w:br/>
                  </w:r>
                  <w:r>
                    <w:rPr>
                      <w:rFonts w:ascii="仿宋_GB2312" w:hAnsi="仿宋_GB2312" w:cs="仿宋_GB2312" w:eastAsia="仿宋_GB2312"/>
                      <w:sz w:val="21"/>
                    </w:rPr>
                    <w:t>2.额定电压：</w:t>
                  </w:r>
                  <w:r>
                    <w:rPr>
                      <w:rFonts w:ascii="仿宋_GB2312" w:hAnsi="仿宋_GB2312" w:cs="仿宋_GB2312" w:eastAsia="仿宋_GB2312"/>
                      <w:sz w:val="20"/>
                    </w:rPr>
                    <w:t>≥</w:t>
                  </w:r>
                  <w:r>
                    <w:rPr>
                      <w:rFonts w:ascii="仿宋_GB2312" w:hAnsi="仿宋_GB2312" w:cs="仿宋_GB2312" w:eastAsia="仿宋_GB2312"/>
                      <w:sz w:val="21"/>
                    </w:rPr>
                    <w:t>AC220V；</w:t>
                  </w:r>
                  <w:r>
                    <w:br/>
                  </w:r>
                  <w:r>
                    <w:rPr>
                      <w:rFonts w:ascii="仿宋_GB2312" w:hAnsi="仿宋_GB2312" w:cs="仿宋_GB2312" w:eastAsia="仿宋_GB2312"/>
                      <w:sz w:val="21"/>
                    </w:rPr>
                    <w:t>3.额定频率：</w:t>
                  </w:r>
                  <w:r>
                    <w:rPr>
                      <w:rFonts w:ascii="仿宋_GB2312" w:hAnsi="仿宋_GB2312" w:cs="仿宋_GB2312" w:eastAsia="仿宋_GB2312"/>
                      <w:sz w:val="20"/>
                    </w:rPr>
                    <w:t>≥</w:t>
                  </w:r>
                  <w:r>
                    <w:rPr>
                      <w:rFonts w:ascii="仿宋_GB2312" w:hAnsi="仿宋_GB2312" w:cs="仿宋_GB2312" w:eastAsia="仿宋_GB2312"/>
                      <w:sz w:val="21"/>
                    </w:rPr>
                    <w:t>50HZ；</w:t>
                  </w:r>
                  <w:r>
                    <w:br/>
                  </w:r>
                  <w:r>
                    <w:rPr>
                      <w:rFonts w:ascii="仿宋_GB2312" w:hAnsi="仿宋_GB2312" w:cs="仿宋_GB2312" w:eastAsia="仿宋_GB2312"/>
                      <w:sz w:val="21"/>
                    </w:rPr>
                    <w:t>4.产品电流：10/16/20/25/32/40/50/80/100/125；</w:t>
                  </w:r>
                  <w:r>
                    <w:br/>
                  </w:r>
                  <w:r>
                    <w:rPr>
                      <w:rFonts w:ascii="仿宋_GB2312" w:hAnsi="仿宋_GB2312" w:cs="仿宋_GB2312" w:eastAsia="仿宋_GB2312"/>
                      <w:sz w:val="21"/>
                    </w:rPr>
                    <w:t>5.防护等级：</w:t>
                  </w:r>
                  <w:r>
                    <w:rPr>
                      <w:rFonts w:ascii="仿宋_GB2312" w:hAnsi="仿宋_GB2312" w:cs="仿宋_GB2312" w:eastAsia="仿宋_GB2312"/>
                      <w:sz w:val="20"/>
                    </w:rPr>
                    <w:t>≥</w:t>
                  </w:r>
                  <w:r>
                    <w:rPr>
                      <w:rFonts w:ascii="仿宋_GB2312" w:hAnsi="仿宋_GB2312" w:cs="仿宋_GB2312" w:eastAsia="仿宋_GB2312"/>
                      <w:sz w:val="21"/>
                    </w:rPr>
                    <w:t>IP20；</w:t>
                  </w:r>
                  <w:r>
                    <w:br/>
                  </w:r>
                  <w:r>
                    <w:rPr>
                      <w:rFonts w:ascii="仿宋_GB2312" w:hAnsi="仿宋_GB2312" w:cs="仿宋_GB2312" w:eastAsia="仿宋_GB2312"/>
                      <w:sz w:val="21"/>
                    </w:rPr>
                    <w:t>6.机械寿命：大于6000次；</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个</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7</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接入网关</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1.CPU双核；内存≥256MB；闪存≥128MB；</w:t>
                  </w:r>
                  <w:r>
                    <w:br/>
                  </w:r>
                  <w:r>
                    <w:rPr>
                      <w:rFonts w:ascii="仿宋_GB2312" w:hAnsi="仿宋_GB2312" w:cs="仿宋_GB2312" w:eastAsia="仿宋_GB2312"/>
                      <w:sz w:val="20"/>
                    </w:rPr>
                    <w:t>2.硬件接口以太网接口≥5个千兆以太网口；工业串行接口≥RS485x1，≥RS232x1；RS485信号：A，B，GND；RS232信号：TXD，RXD，GND/ESD保护：4KV(RS232)/15KV(RS485)；Console端口1个RJ45形式Console口；</w:t>
                  </w:r>
                  <w:r>
                    <w:br/>
                  </w:r>
                  <w:r>
                    <w:rPr>
                      <w:rFonts w:ascii="仿宋_GB2312" w:hAnsi="仿宋_GB2312" w:cs="仿宋_GB2312" w:eastAsia="仿宋_GB2312"/>
                      <w:sz w:val="20"/>
                    </w:rPr>
                    <w:t>3.天线接头:蜂窝网络：SMAx4(可接内螺纹内针延长线)；WiFi网络：RP-SMAx2(可接内螺纹内孔延长线)；</w:t>
                  </w:r>
                  <w:r>
                    <w:br/>
                  </w:r>
                  <w:r>
                    <w:rPr>
                      <w:rFonts w:ascii="仿宋_GB2312" w:hAnsi="仿宋_GB2312" w:cs="仿宋_GB2312" w:eastAsia="仿宋_GB2312"/>
                      <w:sz w:val="20"/>
                    </w:rPr>
                    <w:t>4.接地端子:支持；</w:t>
                  </w:r>
                  <w:r>
                    <w:br/>
                  </w:r>
                  <w:r>
                    <w:rPr>
                      <w:rFonts w:ascii="仿宋_GB2312" w:hAnsi="仿宋_GB2312" w:cs="仿宋_GB2312" w:eastAsia="仿宋_GB2312"/>
                      <w:sz w:val="20"/>
                    </w:rPr>
                    <w:t>5.蜂窝参数:网络参数 无线速率(理论值) 2.4G：300Mbps；5.8G：867Mbps;网络标准Wi-Fi协议：IEEE 802.11 a/b/g/n/ac;有线协议：IEEE 802.3、IEEE 802.3u工作频段802.11b/g/n: 2.412GHz~2.483Hz (中国);802.11a/n/ac:5.15GHz~5.25GHz 5.725GHz~5.85GHz(中国)；</w:t>
                  </w:r>
                  <w:r>
                    <w:br/>
                  </w:r>
                  <w:r>
                    <w:rPr>
                      <w:rFonts w:ascii="仿宋_GB2312" w:hAnsi="仿宋_GB2312" w:cs="仿宋_GB2312" w:eastAsia="仿宋_GB2312"/>
                      <w:sz w:val="20"/>
                    </w:rPr>
                    <w:t>6.网络协议；CSMA/CA，CSMA/CD，TCP/IP，DHCP，ICMP，NAT，PPPoE等；</w:t>
                  </w:r>
                  <w:r>
                    <w:br/>
                  </w:r>
                  <w:r>
                    <w:rPr>
                      <w:rFonts w:ascii="仿宋_GB2312" w:hAnsi="仿宋_GB2312" w:cs="仿宋_GB2312" w:eastAsia="仿宋_GB2312"/>
                      <w:sz w:val="20"/>
                    </w:rPr>
                    <w:t>7.无线安全；MAC地址过滤，安全功能开关；</w:t>
                  </w:r>
                  <w:r>
                    <w:br/>
                  </w:r>
                  <w:r>
                    <w:rPr>
                      <w:rFonts w:ascii="仿宋_GB2312" w:hAnsi="仿宋_GB2312" w:cs="仿宋_GB2312" w:eastAsia="仿宋_GB2312"/>
                      <w:sz w:val="20"/>
                    </w:rPr>
                    <w:t>8.支持WPA-PSK/WPA2-PSK安全机制；</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8</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IP网络音柱</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1.数字解码终端与音柱一体功能，铝合金防水防锈外壳结构；</w:t>
                  </w:r>
                </w:p>
                <w:p>
                  <w:pPr>
                    <w:pStyle w:val="null3"/>
                    <w:spacing w:before="105" w:after="105"/>
                    <w:jc w:val="left"/>
                  </w:pPr>
                  <w:r>
                    <w:rPr>
                      <w:rFonts w:ascii="仿宋_GB2312" w:hAnsi="仿宋_GB2312" w:cs="仿宋_GB2312" w:eastAsia="仿宋_GB2312"/>
                      <w:sz w:val="20"/>
                    </w:rPr>
                    <w:t>2.白色铝合金材料外壳，防水、防锈、防雷击；</w:t>
                  </w:r>
                </w:p>
                <w:p>
                  <w:pPr>
                    <w:pStyle w:val="null3"/>
                    <w:spacing w:before="105" w:after="105"/>
                    <w:jc w:val="left"/>
                  </w:pPr>
                  <w:r>
                    <w:rPr>
                      <w:rFonts w:ascii="仿宋_GB2312" w:hAnsi="仿宋_GB2312" w:cs="仿宋_GB2312" w:eastAsia="仿宋_GB2312"/>
                      <w:sz w:val="20"/>
                    </w:rPr>
                    <w:t>3.全频高保真扬声器，音质达到CD级(音频文件位速为8-320kbps自适应)；</w:t>
                  </w:r>
                </w:p>
                <w:p>
                  <w:pPr>
                    <w:pStyle w:val="null3"/>
                    <w:spacing w:before="105" w:after="105"/>
                    <w:jc w:val="left"/>
                  </w:pPr>
                  <w:r>
                    <w:rPr>
                      <w:rFonts w:ascii="仿宋_GB2312" w:hAnsi="仿宋_GB2312" w:cs="仿宋_GB2312" w:eastAsia="仿宋_GB2312"/>
                      <w:sz w:val="20"/>
                    </w:rPr>
                    <w:t>4.输出功率≥120W；</w:t>
                  </w:r>
                </w:p>
                <w:p>
                  <w:pPr>
                    <w:pStyle w:val="null3"/>
                    <w:spacing w:before="105" w:after="105"/>
                    <w:jc w:val="left"/>
                  </w:pPr>
                  <w:r>
                    <w:rPr>
                      <w:rFonts w:ascii="仿宋_GB2312" w:hAnsi="仿宋_GB2312" w:cs="仿宋_GB2312" w:eastAsia="仿宋_GB2312"/>
                      <w:sz w:val="20"/>
                    </w:rPr>
                    <w:t>5.支持静态IP地址和DHCP两种方式，网络配置IP地址，支持终端地址自动搜索，配置方便；</w:t>
                  </w:r>
                </w:p>
                <w:p>
                  <w:pPr>
                    <w:pStyle w:val="null3"/>
                    <w:spacing w:before="105" w:after="105"/>
                    <w:jc w:val="left"/>
                  </w:pPr>
                  <w:r>
                    <w:rPr>
                      <w:rFonts w:ascii="仿宋_GB2312" w:hAnsi="仿宋_GB2312" w:cs="仿宋_GB2312" w:eastAsia="仿宋_GB2312"/>
                      <w:sz w:val="20"/>
                    </w:rPr>
                    <w:t>6.可接收播放来自系统服务器、终端的各种节目内容；</w:t>
                  </w:r>
                </w:p>
                <w:p>
                  <w:pPr>
                    <w:pStyle w:val="null3"/>
                    <w:spacing w:before="105" w:after="105"/>
                    <w:jc w:val="left"/>
                  </w:pPr>
                  <w:r>
                    <w:rPr>
                      <w:rFonts w:ascii="仿宋_GB2312" w:hAnsi="仿宋_GB2312" w:cs="仿宋_GB2312" w:eastAsia="仿宋_GB2312"/>
                      <w:sz w:val="20"/>
                    </w:rPr>
                    <w:t>7.支持网络升级，维护方便；</w:t>
                  </w:r>
                </w:p>
                <w:p>
                  <w:pPr>
                    <w:pStyle w:val="null3"/>
                    <w:spacing w:before="105" w:after="105"/>
                    <w:jc w:val="left"/>
                  </w:pPr>
                  <w:r>
                    <w:rPr>
                      <w:rFonts w:ascii="仿宋_GB2312" w:hAnsi="仿宋_GB2312" w:cs="仿宋_GB2312" w:eastAsia="仿宋_GB2312"/>
                      <w:sz w:val="20"/>
                    </w:rPr>
                    <w:t>8.网络接口：标准RJ45；</w:t>
                  </w:r>
                </w:p>
                <w:p>
                  <w:pPr>
                    <w:pStyle w:val="null3"/>
                    <w:spacing w:before="105" w:after="105"/>
                    <w:jc w:val="left"/>
                  </w:pPr>
                  <w:r>
                    <w:rPr>
                      <w:rFonts w:ascii="仿宋_GB2312" w:hAnsi="仿宋_GB2312" w:cs="仿宋_GB2312" w:eastAsia="仿宋_GB2312"/>
                      <w:sz w:val="20"/>
                    </w:rPr>
                    <w:t>9.电源：AC 220V/50Hz；音频位率：8Kbps～320Kbps自适应；频率响应：20Hz～20KHz；</w:t>
                  </w:r>
                </w:p>
                <w:p>
                  <w:pPr>
                    <w:pStyle w:val="null3"/>
                    <w:spacing w:before="105" w:after="105"/>
                    <w:jc w:val="left"/>
                  </w:pPr>
                  <w:r>
                    <w:rPr>
                      <w:rFonts w:ascii="仿宋_GB2312" w:hAnsi="仿宋_GB2312" w:cs="仿宋_GB2312" w:eastAsia="仿宋_GB2312"/>
                      <w:sz w:val="20"/>
                    </w:rPr>
                    <w:t>10.信噪比：≥90dB；采样率：8K～48KHz；音频格式：MP3；总谐波失真：≤10%；</w:t>
                  </w:r>
                </w:p>
                <w:p>
                  <w:pPr>
                    <w:pStyle w:val="null3"/>
                    <w:spacing w:before="105" w:after="105"/>
                    <w:jc w:val="left"/>
                  </w:pPr>
                  <w:r>
                    <w:rPr>
                      <w:rFonts w:ascii="仿宋_GB2312" w:hAnsi="仿宋_GB2312" w:cs="仿宋_GB2312" w:eastAsia="仿宋_GB2312"/>
                      <w:sz w:val="20"/>
                    </w:rPr>
                    <w:t>11.传输速率：10/100Mbps；支持协议：ARP、UDP、TCP/IP、ICMP、IGMP(组播)；</w:t>
                  </w:r>
                </w:p>
                <w:p>
                  <w:pPr>
                    <w:pStyle w:val="null3"/>
                    <w:spacing w:before="105" w:after="105"/>
                    <w:jc w:val="left"/>
                  </w:pPr>
                  <w:r>
                    <w:rPr>
                      <w:rFonts w:ascii="仿宋_GB2312" w:hAnsi="仿宋_GB2312" w:cs="仿宋_GB2312" w:eastAsia="仿宋_GB2312"/>
                      <w:sz w:val="20"/>
                    </w:rPr>
                    <w:t>12.网络通讯协议TCP/IP、UDP、ARP、ICMP、IGMP；</w:t>
                  </w:r>
                </w:p>
                <w:p>
                  <w:pPr>
                    <w:pStyle w:val="null3"/>
                    <w:spacing w:before="105" w:after="105"/>
                    <w:jc w:val="left"/>
                  </w:pPr>
                  <w:r>
                    <w:rPr>
                      <w:rFonts w:ascii="仿宋_GB2312" w:hAnsi="仿宋_GB2312" w:cs="仿宋_GB2312" w:eastAsia="仿宋_GB2312"/>
                      <w:sz w:val="20"/>
                    </w:rPr>
                    <w:t>13.网络芯片速率10/100Mbps；</w:t>
                  </w:r>
                </w:p>
                <w:p>
                  <w:pPr>
                    <w:pStyle w:val="null3"/>
                    <w:spacing w:before="105" w:after="105"/>
                    <w:jc w:val="left"/>
                  </w:pPr>
                  <w:r>
                    <w:rPr>
                      <w:rFonts w:ascii="仿宋_GB2312" w:hAnsi="仿宋_GB2312" w:cs="仿宋_GB2312" w:eastAsia="仿宋_GB2312"/>
                      <w:sz w:val="20"/>
                    </w:rPr>
                    <w:t>14.音频编码 MP3/PCM/ADPCM/G711.a/G711.u/G729；</w:t>
                  </w:r>
                </w:p>
                <w:p>
                  <w:pPr>
                    <w:pStyle w:val="null3"/>
                    <w:spacing w:before="105" w:after="105"/>
                    <w:jc w:val="left"/>
                  </w:pPr>
                  <w:r>
                    <w:rPr>
                      <w:rFonts w:ascii="仿宋_GB2312" w:hAnsi="仿宋_GB2312" w:cs="仿宋_GB2312" w:eastAsia="仿宋_GB2312"/>
                      <w:sz w:val="20"/>
                    </w:rPr>
                    <w:t>15.音频采样、位率8kHz～44.1kHz，16bit，8kbps～320kbps；信噪比、频响 AUX1:≥84dB AUX2:≥84dB MIC:≥80dB，60Hz～18KHz；输出功率130W(定压100V)；</w:t>
                  </w:r>
                </w:p>
                <w:p>
                  <w:pPr>
                    <w:pStyle w:val="null3"/>
                    <w:spacing w:before="105" w:after="105"/>
                    <w:jc w:val="left"/>
                  </w:pPr>
                  <w:r>
                    <w:rPr>
                      <w:rFonts w:ascii="仿宋_GB2312" w:hAnsi="仿宋_GB2312" w:cs="仿宋_GB2312" w:eastAsia="仿宋_GB2312"/>
                      <w:sz w:val="20"/>
                    </w:rPr>
                    <w:t>16.接口1路话筒输入，1路线路输入，1路线路输出，1路报警输入，1路报警输出；</w:t>
                  </w:r>
                </w:p>
                <w:p>
                  <w:pPr>
                    <w:pStyle w:val="null3"/>
                    <w:spacing w:before="105" w:after="105"/>
                    <w:jc w:val="left"/>
                  </w:pPr>
                  <w:r>
                    <w:rPr>
                      <w:rFonts w:ascii="仿宋_GB2312" w:hAnsi="仿宋_GB2312" w:cs="仿宋_GB2312" w:eastAsia="仿宋_GB2312"/>
                      <w:sz w:val="20"/>
                    </w:rPr>
                    <w:t>17.工作温度、湿度：-10℃～+50℃，≤90%RH(无结霜)；</w:t>
                  </w:r>
                </w:p>
                <w:p>
                  <w:pPr>
                    <w:pStyle w:val="null3"/>
                    <w:spacing w:before="105" w:after="105"/>
                    <w:jc w:val="both"/>
                  </w:pPr>
                  <w:r>
                    <w:rPr>
                      <w:rFonts w:ascii="仿宋_GB2312" w:hAnsi="仿宋_GB2312" w:cs="仿宋_GB2312" w:eastAsia="仿宋_GB2312"/>
                      <w:sz w:val="20"/>
                    </w:rPr>
                    <w:t>18.支持远程平台批量统一管理及本地WEB单机灵活配置，支持本地保存≥60个定时任务，内置≥1GB存储空间；</w:t>
                  </w:r>
                </w:p>
                <w:p>
                  <w:pPr>
                    <w:pStyle w:val="null3"/>
                    <w:spacing w:before="105" w:after="105"/>
                    <w:jc w:val="both"/>
                  </w:pPr>
                  <w:r>
                    <w:rPr>
                      <w:rFonts w:ascii="仿宋_GB2312" w:hAnsi="仿宋_GB2312" w:cs="仿宋_GB2312" w:eastAsia="仿宋_GB2312"/>
                      <w:sz w:val="20"/>
                    </w:rPr>
                    <w:t>19.支持安全启动、用户登录锁定机制及密码复杂度提示，支持安全审计日志事后可追溯；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台</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b/>
                    </w:rPr>
                    <w:t>二、</w:t>
                  </w:r>
                  <w:r>
                    <w:rPr>
                      <w:rFonts w:ascii="仿宋_GB2312" w:hAnsi="仿宋_GB2312" w:cs="仿宋_GB2312" w:eastAsia="仿宋_GB2312"/>
                      <w:sz w:val="21"/>
                      <w:b/>
                    </w:rPr>
                    <w:t>智慧渔政综合管理监控软件</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1</w:t>
                  </w:r>
                </w:p>
              </w:tc>
              <w:tc>
                <w:tcPr>
                  <w:tcW w:type="dxa" w:w="5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智慧渔政综合管理监控软件</w:t>
                  </w:r>
                </w:p>
              </w:tc>
              <w:tc>
                <w:tcPr>
                  <w:tcW w:type="dxa" w:w="4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一、基础模块：</w:t>
                  </w:r>
                  <w:r>
                    <w:br/>
                  </w:r>
                  <w:r>
                    <w:rPr>
                      <w:rFonts w:ascii="仿宋_GB2312" w:hAnsi="仿宋_GB2312" w:cs="仿宋_GB2312" w:eastAsia="仿宋_GB2312"/>
                      <w:sz w:val="21"/>
                    </w:rPr>
                    <w:t>1.核心业务版块快捷入口，点击各模块可快速进入相应的系统界面进行业务处理；</w:t>
                  </w:r>
                  <w:r>
                    <w:br/>
                  </w:r>
                  <w:r>
                    <w:rPr>
                      <w:rFonts w:ascii="仿宋_GB2312" w:hAnsi="仿宋_GB2312" w:cs="仿宋_GB2312" w:eastAsia="仿宋_GB2312"/>
                      <w:sz w:val="21"/>
                    </w:rPr>
                    <w:t>2.工作台支持自定义模块展示，可灵活设置排版、布局；</w:t>
                  </w:r>
                  <w:r>
                    <w:br/>
                  </w:r>
                  <w:r>
                    <w:rPr>
                      <w:rFonts w:ascii="仿宋_GB2312" w:hAnsi="仿宋_GB2312" w:cs="仿宋_GB2312" w:eastAsia="仿宋_GB2312"/>
                      <w:sz w:val="21"/>
                    </w:rPr>
                    <w:t>3.可自定义模块图标、名称、简介。</w:t>
                  </w:r>
                  <w:r>
                    <w:br/>
                  </w:r>
                  <w:r>
                    <w:rPr>
                      <w:rFonts w:ascii="仿宋_GB2312" w:hAnsi="仿宋_GB2312" w:cs="仿宋_GB2312" w:eastAsia="仿宋_GB2312"/>
                      <w:sz w:val="21"/>
                    </w:rPr>
                    <w:t>4.通讯录实现所辖区域组织机构和人员信息的统一管理和在线及时更新；</w:t>
                  </w:r>
                  <w:r>
                    <w:br/>
                  </w:r>
                  <w:r>
                    <w:rPr>
                      <w:rFonts w:ascii="仿宋_GB2312" w:hAnsi="仿宋_GB2312" w:cs="仿宋_GB2312" w:eastAsia="仿宋_GB2312"/>
                      <w:sz w:val="21"/>
                    </w:rPr>
                    <w:t>5.建立公共通讯录、个人通讯录；</w:t>
                  </w:r>
                  <w:r>
                    <w:br/>
                  </w:r>
                  <w:r>
                    <w:rPr>
                      <w:rFonts w:ascii="仿宋_GB2312" w:hAnsi="仿宋_GB2312" w:cs="仿宋_GB2312" w:eastAsia="仿宋_GB2312"/>
                      <w:sz w:val="21"/>
                    </w:rPr>
                    <w:t>6.提供人员信息的快速查询功能，结合通信调度系统实现快速人员调度；</w:t>
                  </w:r>
                  <w:r>
                    <w:br/>
                  </w:r>
                  <w:r>
                    <w:rPr>
                      <w:rFonts w:ascii="仿宋_GB2312" w:hAnsi="仿宋_GB2312" w:cs="仿宋_GB2312" w:eastAsia="仿宋_GB2312"/>
                      <w:sz w:val="21"/>
                    </w:rPr>
                    <w:t>7.提供人员分组功能，可根据突发事件特点快速检索到相关领导和人员。为日常值守工作和突发事件处置的快速联动提供最准确的信息。</w:t>
                  </w:r>
                  <w:r>
                    <w:br/>
                  </w:r>
                  <w:r>
                    <w:rPr>
                      <w:rFonts w:ascii="仿宋_GB2312" w:hAnsi="仿宋_GB2312" w:cs="仿宋_GB2312" w:eastAsia="仿宋_GB2312"/>
                      <w:sz w:val="21"/>
                    </w:rPr>
                    <w:t>8.实现用户管理。记录用户登录账号、用户姓名、所属角色、所属部门、手机号码、账号状态；</w:t>
                  </w:r>
                  <w:r>
                    <w:br/>
                  </w:r>
                  <w:r>
                    <w:rPr>
                      <w:rFonts w:ascii="仿宋_GB2312" w:hAnsi="仿宋_GB2312" w:cs="仿宋_GB2312" w:eastAsia="仿宋_GB2312"/>
                      <w:sz w:val="21"/>
                    </w:rPr>
                    <w:t>9.可根据登录账号、用户姓名、所属角色、所属部门、账号状态进行搜索；</w:t>
                  </w:r>
                  <w:r>
                    <w:br/>
                  </w:r>
                  <w:r>
                    <w:rPr>
                      <w:rFonts w:ascii="仿宋_GB2312" w:hAnsi="仿宋_GB2312" w:cs="仿宋_GB2312" w:eastAsia="仿宋_GB2312"/>
                      <w:sz w:val="21"/>
                    </w:rPr>
                    <w:t>10.支持用户的添加、注销、启用/禁用用户；</w:t>
                  </w:r>
                  <w:r>
                    <w:br/>
                  </w:r>
                  <w:r>
                    <w:rPr>
                      <w:rFonts w:ascii="仿宋_GB2312" w:hAnsi="仿宋_GB2312" w:cs="仿宋_GB2312" w:eastAsia="仿宋_GB2312"/>
                      <w:sz w:val="21"/>
                    </w:rPr>
                    <w:t>11.支持设置用户密码安全等级，针对密码最低强度及有效期进行调整，并支持用户密码重置；</w:t>
                  </w:r>
                  <w:r>
                    <w:br/>
                  </w:r>
                  <w:r>
                    <w:rPr>
                      <w:rFonts w:ascii="仿宋_GB2312" w:hAnsi="仿宋_GB2312" w:cs="仿宋_GB2312" w:eastAsia="仿宋_GB2312"/>
                      <w:sz w:val="21"/>
                    </w:rPr>
                    <w:t>12.针对系统用户，进行统一的部门及权限管理；</w:t>
                  </w:r>
                  <w:r>
                    <w:br/>
                  </w:r>
                  <w:r>
                    <w:rPr>
                      <w:rFonts w:ascii="仿宋_GB2312" w:hAnsi="仿宋_GB2312" w:cs="仿宋_GB2312" w:eastAsia="仿宋_GB2312"/>
                      <w:sz w:val="21"/>
                    </w:rPr>
                    <w:t>13.支持新增、编辑、启用/禁用、导入/导出用户；</w:t>
                  </w:r>
                  <w:r>
                    <w:br/>
                  </w:r>
                  <w:r>
                    <w:rPr>
                      <w:rFonts w:ascii="仿宋_GB2312" w:hAnsi="仿宋_GB2312" w:cs="仿宋_GB2312" w:eastAsia="仿宋_GB2312"/>
                      <w:sz w:val="21"/>
                    </w:rPr>
                    <w:t>14.对系统用户进行统一管理，支持添加、修改、删除、导出部门信息；</w:t>
                  </w:r>
                  <w:r>
                    <w:br/>
                  </w:r>
                  <w:r>
                    <w:rPr>
                      <w:rFonts w:ascii="仿宋_GB2312" w:hAnsi="仿宋_GB2312" w:cs="仿宋_GB2312" w:eastAsia="仿宋_GB2312"/>
                      <w:sz w:val="21"/>
                    </w:rPr>
                    <w:t>15.用户精细权限设置，可以为每个用户设置对每个摄像头的查看权限；可以为每个用户设置摄像头的数据权限；</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2</w:t>
                  </w:r>
                </w:p>
              </w:tc>
              <w:tc>
                <w:tcPr>
                  <w:tcW w:type="dxa" w:w="592"/>
                  <w:vMerge/>
                  <w:tcBorders>
                    <w:top w:val="single" w:color="000000" w:sz="4"/>
                    <w:left w:val="none" w:color="000000" w:sz="4"/>
                    <w:bottom w:val="single" w:color="000000" w:sz="4"/>
                    <w:right w:val="single" w:color="000000" w:sz="4"/>
                  </w:tcBorders>
                </w:tcP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二、视频统一接入模块：</w:t>
                  </w:r>
                  <w:r>
                    <w:br/>
                  </w:r>
                  <w:r>
                    <w:rPr>
                      <w:rFonts w:ascii="仿宋_GB2312" w:hAnsi="仿宋_GB2312" w:cs="仿宋_GB2312" w:eastAsia="仿宋_GB2312"/>
                      <w:sz w:val="21"/>
                    </w:rPr>
                    <w:t>1.支持画面以4:3,16:9或者全屏展示；</w:t>
                  </w:r>
                  <w:r>
                    <w:br/>
                  </w:r>
                  <w:r>
                    <w:rPr>
                      <w:rFonts w:ascii="仿宋_GB2312" w:hAnsi="仿宋_GB2312" w:cs="仿宋_GB2312" w:eastAsia="仿宋_GB2312"/>
                      <w:sz w:val="21"/>
                    </w:rPr>
                    <w:t>2.系统支持视频画面的预览并对摄像头视频进行控制，包含对画面抓图、录像、电子放大、3d 放大、八向控制、缩小放大；</w:t>
                  </w:r>
                  <w:r>
                    <w:br/>
                  </w:r>
                  <w:r>
                    <w:rPr>
                      <w:rFonts w:ascii="仿宋_GB2312" w:hAnsi="仿宋_GB2312" w:cs="仿宋_GB2312" w:eastAsia="仿宋_GB2312"/>
                      <w:sz w:val="21"/>
                    </w:rPr>
                    <w:t>3.支持国标接入的摄像头；</w:t>
                  </w:r>
                  <w:r>
                    <w:br/>
                  </w:r>
                  <w:r>
                    <w:rPr>
                      <w:rFonts w:ascii="仿宋_GB2312" w:hAnsi="仿宋_GB2312" w:cs="仿宋_GB2312" w:eastAsia="仿宋_GB2312"/>
                      <w:sz w:val="21"/>
                    </w:rPr>
                    <w:t>4.系统支持人工上报功能，指挥中心工作人员在查看监控过程中发现异常情况，可进行录像上报至指挥平台进行处理；</w:t>
                  </w:r>
                  <w:r>
                    <w:br/>
                  </w:r>
                  <w:r>
                    <w:rPr>
                      <w:rFonts w:ascii="仿宋_GB2312" w:hAnsi="仿宋_GB2312" w:cs="仿宋_GB2312" w:eastAsia="仿宋_GB2312"/>
                      <w:sz w:val="21"/>
                    </w:rPr>
                    <w:t>5.系统支持云台控制功能，包含对云台远程控制，水平扫描；支持四向转动：上、下、左、右；</w:t>
                  </w:r>
                  <w:r>
                    <w:br/>
                  </w:r>
                  <w:r>
                    <w:rPr>
                      <w:rFonts w:ascii="仿宋_GB2312" w:hAnsi="仿宋_GB2312" w:cs="仿宋_GB2312" w:eastAsia="仿宋_GB2312"/>
                      <w:sz w:val="21"/>
                    </w:rPr>
                    <w:t>6.支持焦距放大缩小；设置、修改或快速选择预置点；</w:t>
                  </w:r>
                  <w:r>
                    <w:br/>
                  </w:r>
                  <w:r>
                    <w:rPr>
                      <w:rFonts w:ascii="仿宋_GB2312" w:hAnsi="仿宋_GB2312" w:cs="仿宋_GB2312" w:eastAsia="仿宋_GB2312"/>
                      <w:sz w:val="21"/>
                    </w:rPr>
                    <w:t>7.设置、修改或快速选择云台巡航；实现对视频云台制定查看、删除巡航计划。</w:t>
                  </w:r>
                  <w:r>
                    <w:br/>
                  </w:r>
                  <w:r>
                    <w:rPr>
                      <w:rFonts w:ascii="仿宋_GB2312" w:hAnsi="仿宋_GB2312" w:cs="仿宋_GB2312" w:eastAsia="仿宋_GB2312"/>
                      <w:sz w:val="21"/>
                    </w:rPr>
                    <w:t>8.系统支持对用户制定的视频监控设备及视频网关通过web界面形式进行接入，接入信息主要包括：设备名称、品牌型号、IP地址与端口、监控地点、所属部门、监控内容、视频源类型、摄像头类别、设备方向、预置点信息、摄像头坐标；</w:t>
                  </w:r>
                  <w:r>
                    <w:br/>
                  </w:r>
                  <w:r>
                    <w:rPr>
                      <w:rFonts w:ascii="仿宋_GB2312" w:hAnsi="仿宋_GB2312" w:cs="仿宋_GB2312" w:eastAsia="仿宋_GB2312"/>
                      <w:sz w:val="21"/>
                    </w:rPr>
                    <w:t>9.支持GB/T</w:t>
                  </w:r>
                  <w:r>
                    <w:rPr>
                      <w:rFonts w:ascii="仿宋_GB2312" w:hAnsi="仿宋_GB2312" w:cs="仿宋_GB2312" w:eastAsia="仿宋_GB2312"/>
                      <w:sz w:val="24"/>
                    </w:rPr>
                    <w:t xml:space="preserve"> </w:t>
                  </w:r>
                  <w:r>
                    <w:rPr>
                      <w:rFonts w:ascii="仿宋_GB2312" w:hAnsi="仿宋_GB2312" w:cs="仿宋_GB2312" w:eastAsia="仿宋_GB2312"/>
                      <w:sz w:val="21"/>
                    </w:rPr>
                    <w:t>28181-2022、SDK协议设备的接入，支持设备的接入,接入流程简洁，操作简便;</w:t>
                  </w:r>
                  <w:r>
                    <w:br/>
                  </w:r>
                  <w:r>
                    <w:rPr>
                      <w:rFonts w:ascii="仿宋_GB2312" w:hAnsi="仿宋_GB2312" w:cs="仿宋_GB2312" w:eastAsia="仿宋_GB2312"/>
                      <w:sz w:val="21"/>
                    </w:rPr>
                    <w:t>10.支持IP地址增加接入设备;支持接入不低于1000路视频镜头;</w:t>
                  </w:r>
                  <w:r>
                    <w:br/>
                  </w:r>
                  <w:r>
                    <w:rPr>
                      <w:rFonts w:ascii="仿宋_GB2312" w:hAnsi="仿宋_GB2312" w:cs="仿宋_GB2312" w:eastAsia="仿宋_GB2312"/>
                      <w:sz w:val="21"/>
                    </w:rPr>
                    <w:t>11.可以实现统一的视频监控API接口系统。系统应按照GB/T 28181-2022规范对所有接入视频监控以服务形式并根据用户角色、部门、业务系统的使用权限，由各业务系统主动调用，可调用服务主要包括监控视频服务、云台控制服务；</w:t>
                  </w:r>
                </w:p>
                <w:p>
                  <w:pPr>
                    <w:pStyle w:val="null3"/>
                    <w:spacing w:before="105" w:after="105"/>
                    <w:jc w:val="left"/>
                  </w:pPr>
                  <w:r>
                    <w:rPr>
                      <w:rFonts w:ascii="仿宋_GB2312" w:hAnsi="仿宋_GB2312" w:cs="仿宋_GB2312" w:eastAsia="仿宋_GB2312"/>
                      <w:sz w:val="21"/>
                    </w:rPr>
                    <w:t>12.监控视频服务实现基于 B/S 的视频流无插件安装、直接调用监控视频，适用于各类浏览器；</w:t>
                  </w:r>
                  <w:r>
                    <w:br/>
                  </w:r>
                  <w:r>
                    <w:rPr>
                      <w:rFonts w:ascii="仿宋_GB2312" w:hAnsi="仿宋_GB2312" w:cs="仿宋_GB2312" w:eastAsia="仿宋_GB2312"/>
                      <w:sz w:val="21"/>
                    </w:rPr>
                    <w:t>13.云台控制服务实现通过视频画面直接进行云台控制功能；</w:t>
                  </w:r>
                </w:p>
                <w:p>
                  <w:pPr>
                    <w:pStyle w:val="null3"/>
                    <w:spacing w:before="105" w:after="105"/>
                    <w:jc w:val="both"/>
                  </w:pPr>
                  <w:r>
                    <w:rPr>
                      <w:rFonts w:ascii="仿宋_GB2312" w:hAnsi="仿宋_GB2312" w:cs="仿宋_GB2312" w:eastAsia="仿宋_GB2312"/>
                      <w:sz w:val="21"/>
                    </w:rPr>
                    <w:t>14.支持实时预览时在视频画面中叠加显示报警区域。</w:t>
                  </w:r>
                  <w:r>
                    <w:rPr>
                      <w:rFonts w:ascii="仿宋_GB2312" w:hAnsi="仿宋_GB2312" w:cs="仿宋_GB2312" w:eastAsia="仿宋_GB2312"/>
                      <w:sz w:val="20"/>
                    </w:rPr>
                    <w:t>(</w:t>
                  </w:r>
                  <w:r>
                    <w:rPr>
                      <w:rFonts w:ascii="仿宋_GB2312" w:hAnsi="仿宋_GB2312" w:cs="仿宋_GB2312" w:eastAsia="仿宋_GB2312"/>
                      <w:sz w:val="20"/>
                      <w:b/>
                    </w:rPr>
                    <w:t>供应商应在响应文件中单独</w:t>
                  </w:r>
                  <w:r>
                    <w:rPr>
                      <w:rFonts w:ascii="仿宋_GB2312" w:hAnsi="仿宋_GB2312" w:cs="仿宋_GB2312" w:eastAsia="仿宋_GB2312"/>
                      <w:sz w:val="20"/>
                      <w:b/>
                    </w:rPr>
                    <w:t>提供承诺函</w:t>
                  </w:r>
                  <w:r>
                    <w:rPr>
                      <w:rFonts w:ascii="仿宋_GB2312" w:hAnsi="仿宋_GB2312" w:cs="仿宋_GB2312" w:eastAsia="仿宋_GB2312"/>
                      <w:sz w:val="20"/>
                      <w:b/>
                    </w:rPr>
                    <w:t>，</w:t>
                  </w:r>
                  <w:r>
                    <w:rPr>
                      <w:rFonts w:ascii="仿宋_GB2312" w:hAnsi="仿宋_GB2312" w:cs="仿宋_GB2312" w:eastAsia="仿宋_GB2312"/>
                      <w:sz w:val="20"/>
                      <w:b/>
                    </w:rPr>
                    <w:t>承诺供货时向采购人提供第三方检测机构出具的带有</w:t>
                  </w:r>
                  <w:r>
                    <w:rPr>
                      <w:rFonts w:ascii="仿宋_GB2312" w:hAnsi="仿宋_GB2312" w:cs="仿宋_GB2312" w:eastAsia="仿宋_GB2312"/>
                      <w:sz w:val="20"/>
                      <w:b/>
                    </w:rPr>
                    <w:t>CMA标识的检测报告复印件予以佐证,检测依据符合GB/T 25000.51-2016)</w:t>
                  </w:r>
                </w:p>
                <w:p>
                  <w:pPr>
                    <w:pStyle w:val="null3"/>
                    <w:spacing w:before="105" w:after="105"/>
                    <w:jc w:val="both"/>
                  </w:pPr>
                  <w:r>
                    <w:rPr>
                      <w:rFonts w:ascii="仿宋_GB2312" w:hAnsi="仿宋_GB2312" w:cs="仿宋_GB2312" w:eastAsia="仿宋_GB2312"/>
                      <w:sz w:val="21"/>
                    </w:rPr>
                    <w:t>15.可自定义监控报警区域，区域大小可调整，报警区域至少可分为三级。报警级别不得低于三种，分别对应监控画面的三种不同颜色区域。</w:t>
                  </w:r>
                  <w:r>
                    <w:rPr>
                      <w:rFonts w:ascii="仿宋_GB2312" w:hAnsi="仿宋_GB2312" w:cs="仿宋_GB2312" w:eastAsia="仿宋_GB2312"/>
                      <w:sz w:val="20"/>
                    </w:rPr>
                    <w:t>(</w:t>
                  </w:r>
                  <w:r>
                    <w:rPr>
                      <w:rFonts w:ascii="仿宋_GB2312" w:hAnsi="仿宋_GB2312" w:cs="仿宋_GB2312" w:eastAsia="仿宋_GB2312"/>
                      <w:sz w:val="20"/>
                      <w:b/>
                    </w:rPr>
                    <w:t>供应商应在响应文件中单独</w:t>
                  </w:r>
                  <w:r>
                    <w:rPr>
                      <w:rFonts w:ascii="仿宋_GB2312" w:hAnsi="仿宋_GB2312" w:cs="仿宋_GB2312" w:eastAsia="仿宋_GB2312"/>
                      <w:sz w:val="20"/>
                      <w:b/>
                    </w:rPr>
                    <w:t>提供承诺函，</w:t>
                  </w:r>
                  <w:r>
                    <w:rPr>
                      <w:rFonts w:ascii="仿宋_GB2312" w:hAnsi="仿宋_GB2312" w:cs="仿宋_GB2312" w:eastAsia="仿宋_GB2312"/>
                      <w:sz w:val="20"/>
                      <w:b/>
                    </w:rPr>
                    <w:t>承诺供货时向采购人提供第三方检测机构出具的带有</w:t>
                  </w:r>
                  <w:r>
                    <w:rPr>
                      <w:rFonts w:ascii="仿宋_GB2312" w:hAnsi="仿宋_GB2312" w:cs="仿宋_GB2312" w:eastAsia="仿宋_GB2312"/>
                      <w:sz w:val="20"/>
                      <w:b/>
                    </w:rPr>
                    <w:t>CMA标识的检测报告复印件予以佐证,检测依据符合GB/T 25000.51-2016)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3</w:t>
                  </w:r>
                </w:p>
              </w:tc>
              <w:tc>
                <w:tcPr>
                  <w:tcW w:type="dxa" w:w="592"/>
                  <w:vMerge/>
                  <w:tcBorders>
                    <w:top w:val="single" w:color="000000" w:sz="4"/>
                    <w:left w:val="none" w:color="000000" w:sz="4"/>
                    <w:bottom w:val="single" w:color="000000" w:sz="4"/>
                    <w:right w:val="single" w:color="000000" w:sz="4"/>
                  </w:tcBorders>
                </w:tcP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三、多级指挥中心：</w:t>
                  </w:r>
                  <w:r>
                    <w:br/>
                  </w:r>
                  <w:r>
                    <w:rPr>
                      <w:rFonts w:ascii="仿宋_GB2312" w:hAnsi="仿宋_GB2312" w:cs="仿宋_GB2312" w:eastAsia="仿宋_GB2312"/>
                      <w:sz w:val="21"/>
                    </w:rPr>
                    <w:t>1.搭建智慧渔政公共平台，对横向纵向数据和信息资源监测、收集、整理、汇总，以实现省市区的联动指挥调度及综合动态监管；</w:t>
                  </w:r>
                  <w:r>
                    <w:br/>
                  </w:r>
                  <w:r>
                    <w:rPr>
                      <w:rFonts w:ascii="仿宋_GB2312" w:hAnsi="仿宋_GB2312" w:cs="仿宋_GB2312" w:eastAsia="仿宋_GB2312"/>
                      <w:sz w:val="21"/>
                    </w:rPr>
                    <w:t>2.支持市级人员通过平台对各区县执法过程进行监管督查。查看执法办案过程；</w:t>
                  </w:r>
                  <w:r>
                    <w:br/>
                  </w:r>
                  <w:r>
                    <w:rPr>
                      <w:rFonts w:ascii="仿宋_GB2312" w:hAnsi="仿宋_GB2312" w:cs="仿宋_GB2312" w:eastAsia="仿宋_GB2312"/>
                      <w:sz w:val="21"/>
                    </w:rPr>
                    <w:t>3.通过平台对区县AI预警事件进行查看，掌握各区县的违规类型，并针对性提出合理化建议</w:t>
                  </w:r>
                  <w:r>
                    <w:br/>
                  </w:r>
                  <w:r>
                    <w:rPr>
                      <w:rFonts w:ascii="仿宋_GB2312" w:hAnsi="仿宋_GB2312" w:cs="仿宋_GB2312" w:eastAsia="仿宋_GB2312"/>
                      <w:sz w:val="21"/>
                    </w:rPr>
                    <w:t>4.通过一张图展示各监控点位的分布及各区县网格化管理划分机制；</w:t>
                  </w:r>
                  <w:r>
                    <w:br/>
                  </w:r>
                  <w:r>
                    <w:rPr>
                      <w:rFonts w:ascii="仿宋_GB2312" w:hAnsi="仿宋_GB2312" w:cs="仿宋_GB2312" w:eastAsia="仿宋_GB2312"/>
                      <w:sz w:val="21"/>
                    </w:rPr>
                    <w:t>5.支持查看AI主动预警的事件详细情况及当前实况画面；</w:t>
                  </w:r>
                  <w:r>
                    <w:br/>
                  </w:r>
                  <w:r>
                    <w:rPr>
                      <w:rFonts w:ascii="仿宋_GB2312" w:hAnsi="仿宋_GB2312" w:cs="仿宋_GB2312" w:eastAsia="仿宋_GB2312"/>
                      <w:sz w:val="21"/>
                    </w:rPr>
                    <w:t>6.指挥中心工作人员可快速查找内部组织人员或外部协调部门、机构的联络方式，有效提供指挥中心工作人员的处置效率；</w:t>
                  </w:r>
                  <w:r>
                    <w:br/>
                  </w:r>
                  <w:r>
                    <w:rPr>
                      <w:rFonts w:ascii="仿宋_GB2312" w:hAnsi="仿宋_GB2312" w:cs="仿宋_GB2312" w:eastAsia="仿宋_GB2312"/>
                      <w:sz w:val="21"/>
                    </w:rPr>
                    <w:t>7.指挥中心工作人员可对事件发现附近范围的监控进行实况查看、录像回放；</w:t>
                  </w:r>
                  <w:r>
                    <w:br/>
                  </w:r>
                  <w:r>
                    <w:rPr>
                      <w:rFonts w:ascii="仿宋_GB2312" w:hAnsi="仿宋_GB2312" w:cs="仿宋_GB2312" w:eastAsia="仿宋_GB2312"/>
                      <w:sz w:val="21"/>
                    </w:rPr>
                    <w:t>8.网格区域凸显，网格区域进行网格化管理，一张图展示所辖区域的网格化范围及人员(可配合网格化管理模块使用)；</w:t>
                  </w:r>
                  <w:r>
                    <w:br/>
                  </w:r>
                  <w:r>
                    <w:rPr>
                      <w:rFonts w:ascii="仿宋_GB2312" w:hAnsi="仿宋_GB2312" w:cs="仿宋_GB2312" w:eastAsia="仿宋_GB2312"/>
                      <w:sz w:val="21"/>
                    </w:rPr>
                    <w:t>9.热力图可呈现今日、本周、本月的事件发生的趋势分析；</w:t>
                  </w:r>
                  <w:r>
                    <w:br/>
                  </w:r>
                  <w:r>
                    <w:rPr>
                      <w:rFonts w:ascii="仿宋_GB2312" w:hAnsi="仿宋_GB2312" w:cs="仿宋_GB2312" w:eastAsia="仿宋_GB2312"/>
                      <w:sz w:val="21"/>
                    </w:rPr>
                    <w:t>10.摄像头监控范围可根据地图的缩放比例进行放大缩小；</w:t>
                  </w:r>
                  <w:r>
                    <w:br/>
                  </w:r>
                  <w:r>
                    <w:rPr>
                      <w:rFonts w:ascii="仿宋_GB2312" w:hAnsi="仿宋_GB2312" w:cs="仿宋_GB2312" w:eastAsia="仿宋_GB2312"/>
                      <w:sz w:val="21"/>
                    </w:rPr>
                    <w:t>11.APP端可查看当前时间系统内执法人员的实时位置。</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具有统计分析功能，如报警数据筛选、报警数据分类统计、误报数据筛选、误报数据统计分析。</w:t>
                  </w:r>
                  <w:r>
                    <w:rPr>
                      <w:rFonts w:ascii="仿宋_GB2312" w:hAnsi="仿宋_GB2312" w:cs="仿宋_GB2312" w:eastAsia="仿宋_GB2312"/>
                      <w:sz w:val="20"/>
                    </w:rPr>
                    <w:t>(</w:t>
                  </w:r>
                  <w:r>
                    <w:rPr>
                      <w:rFonts w:ascii="仿宋_GB2312" w:hAnsi="仿宋_GB2312" w:cs="仿宋_GB2312" w:eastAsia="仿宋_GB2312"/>
                      <w:sz w:val="20"/>
                      <w:b/>
                    </w:rPr>
                    <w:t>供应商应在响应文件中单独</w:t>
                  </w:r>
                  <w:r>
                    <w:rPr>
                      <w:rFonts w:ascii="仿宋_GB2312" w:hAnsi="仿宋_GB2312" w:cs="仿宋_GB2312" w:eastAsia="仿宋_GB2312"/>
                      <w:sz w:val="20"/>
                      <w:b/>
                    </w:rPr>
                    <w:t>提供承诺函，</w:t>
                  </w:r>
                  <w:r>
                    <w:rPr>
                      <w:rFonts w:ascii="仿宋_GB2312" w:hAnsi="仿宋_GB2312" w:cs="仿宋_GB2312" w:eastAsia="仿宋_GB2312"/>
                      <w:sz w:val="20"/>
                      <w:b/>
                    </w:rPr>
                    <w:t>承诺供货时向采购人提供第三方检测机构出具的带有</w:t>
                  </w:r>
                  <w:r>
                    <w:rPr>
                      <w:rFonts w:ascii="仿宋_GB2312" w:hAnsi="仿宋_GB2312" w:cs="仿宋_GB2312" w:eastAsia="仿宋_GB2312"/>
                      <w:sz w:val="20"/>
                      <w:b/>
                    </w:rPr>
                    <w:t>CMA标识的检测报告复印件予以佐证,检测依据符合GB/T 25000.51-2016)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4</w:t>
                  </w:r>
                </w:p>
              </w:tc>
              <w:tc>
                <w:tcPr>
                  <w:tcW w:type="dxa" w:w="592"/>
                  <w:vMerge/>
                  <w:tcBorders>
                    <w:top w:val="single" w:color="000000" w:sz="4"/>
                    <w:left w:val="none" w:color="000000" w:sz="4"/>
                    <w:bottom w:val="single" w:color="000000" w:sz="4"/>
                    <w:right w:val="single" w:color="000000" w:sz="4"/>
                  </w:tcBorders>
                </w:tcP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四、渔政一张图：</w:t>
                  </w:r>
                  <w:r>
                    <w:br/>
                  </w:r>
                  <w:r>
                    <w:rPr>
                      <w:rFonts w:ascii="仿宋_GB2312" w:hAnsi="仿宋_GB2312" w:cs="仿宋_GB2312" w:eastAsia="仿宋_GB2312"/>
                      <w:sz w:val="21"/>
                    </w:rPr>
                    <w:t>构建一张网、一张图、一平台的多维智能感知数据系统，对接下级各渔政执法平台，实现数据上下级共享，数据可视化呈现，数据归类，为领导决策提供数据研判分析；</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5</w:t>
                  </w:r>
                </w:p>
              </w:tc>
              <w:tc>
                <w:tcPr>
                  <w:tcW w:type="dxa" w:w="592"/>
                  <w:vMerge/>
                  <w:tcBorders>
                    <w:top w:val="single" w:color="000000" w:sz="4"/>
                    <w:left w:val="none" w:color="000000" w:sz="4"/>
                    <w:bottom w:val="single" w:color="000000" w:sz="4"/>
                    <w:right w:val="single" w:color="000000" w:sz="4"/>
                  </w:tcBorders>
                </w:tcP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五、实况监控中心：</w:t>
                  </w:r>
                  <w:r>
                    <w:br/>
                  </w:r>
                  <w:r>
                    <w:rPr>
                      <w:rFonts w:ascii="仿宋_GB2312" w:hAnsi="仿宋_GB2312" w:cs="仿宋_GB2312" w:eastAsia="仿宋_GB2312"/>
                      <w:sz w:val="21"/>
                    </w:rPr>
                    <w:t>1.汇聚各区县系统内监控资源和其他系统监控资源；</w:t>
                  </w:r>
                  <w:r>
                    <w:br/>
                  </w:r>
                  <w:r>
                    <w:rPr>
                      <w:rFonts w:ascii="仿宋_GB2312" w:hAnsi="仿宋_GB2312" w:cs="仿宋_GB2312" w:eastAsia="仿宋_GB2312"/>
                      <w:sz w:val="21"/>
                    </w:rPr>
                    <w:t>2.支持视频画面分组查看；</w:t>
                  </w:r>
                  <w:r>
                    <w:br/>
                  </w:r>
                  <w:r>
                    <w:rPr>
                      <w:rFonts w:ascii="仿宋_GB2312" w:hAnsi="仿宋_GB2312" w:cs="仿宋_GB2312" w:eastAsia="仿宋_GB2312"/>
                      <w:sz w:val="21"/>
                    </w:rPr>
                    <w:t>3.支持切换画面为1、4、9；</w:t>
                  </w:r>
                  <w:r>
                    <w:br/>
                  </w:r>
                  <w:r>
                    <w:rPr>
                      <w:rFonts w:ascii="仿宋_GB2312" w:hAnsi="仿宋_GB2312" w:cs="仿宋_GB2312" w:eastAsia="仿宋_GB2312"/>
                      <w:sz w:val="21"/>
                    </w:rPr>
                    <w:t>4.支持查看接入资源的实时视频；</w:t>
                  </w:r>
                  <w:r>
                    <w:br/>
                  </w:r>
                  <w:r>
                    <w:rPr>
                      <w:rFonts w:ascii="仿宋_GB2312" w:hAnsi="仿宋_GB2312" w:cs="仿宋_GB2312" w:eastAsia="仿宋_GB2312"/>
                      <w:sz w:val="21"/>
                    </w:rPr>
                    <w:t>5.支持查看摄像头的状态(正常、异常)；</w:t>
                  </w:r>
                  <w:r>
                    <w:br/>
                  </w:r>
                  <w:r>
                    <w:rPr>
                      <w:rFonts w:ascii="仿宋_GB2312" w:hAnsi="仿宋_GB2312" w:cs="仿宋_GB2312" w:eastAsia="仿宋_GB2312"/>
                      <w:sz w:val="21"/>
                    </w:rPr>
                    <w:t>6.支持云台控制、放大缩小控制功能；</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6</w:t>
                  </w:r>
                </w:p>
              </w:tc>
              <w:tc>
                <w:tcPr>
                  <w:tcW w:type="dxa" w:w="592"/>
                  <w:vMerge/>
                  <w:tcBorders>
                    <w:top w:val="single" w:color="000000" w:sz="4"/>
                    <w:left w:val="none" w:color="000000" w:sz="4"/>
                    <w:bottom w:val="single" w:color="000000" w:sz="4"/>
                    <w:right w:val="single" w:color="000000" w:sz="4"/>
                  </w:tcBorders>
                </w:tcP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六、工单管理</w:t>
                  </w:r>
                  <w:r>
                    <w:br/>
                  </w:r>
                  <w:r>
                    <w:rPr>
                      <w:rFonts w:ascii="仿宋_GB2312" w:hAnsi="仿宋_GB2312" w:cs="仿宋_GB2312" w:eastAsia="仿宋_GB2312"/>
                      <w:sz w:val="21"/>
                    </w:rPr>
                    <w:t>1.工单执行的过程进行、工单处理人员、关联事件名称、下发时间、工单内容可查询并查看详情;</w:t>
                  </w:r>
                  <w:r>
                    <w:br/>
                  </w:r>
                  <w:r>
                    <w:rPr>
                      <w:rFonts w:ascii="仿宋_GB2312" w:hAnsi="仿宋_GB2312" w:cs="仿宋_GB2312" w:eastAsia="仿宋_GB2312"/>
                      <w:sz w:val="21"/>
                    </w:rPr>
                    <w:t>2.支持工单的处理状态、时间、工单处理频率维度对处理人员进行排名；</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7</w:t>
                  </w:r>
                </w:p>
              </w:tc>
              <w:tc>
                <w:tcPr>
                  <w:tcW w:type="dxa" w:w="592"/>
                  <w:vMerge/>
                  <w:tcBorders>
                    <w:top w:val="single" w:color="000000" w:sz="4"/>
                    <w:left w:val="none" w:color="000000" w:sz="4"/>
                    <w:bottom w:val="single" w:color="000000" w:sz="4"/>
                    <w:right w:val="single" w:color="000000" w:sz="4"/>
                  </w:tcBorders>
                </w:tcP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七、数据中心：</w:t>
                  </w:r>
                  <w:r>
                    <w:br/>
                  </w:r>
                  <w:r>
                    <w:rPr>
                      <w:rFonts w:ascii="仿宋_GB2312" w:hAnsi="仿宋_GB2312" w:cs="仿宋_GB2312" w:eastAsia="仿宋_GB2312"/>
                      <w:sz w:val="21"/>
                    </w:rPr>
                    <w:t>1.支持根据时间范围统计预警事件占比、预警事件趋势、预警事件分布、点位报警占比、点位报警排名、反馈事件占比；</w:t>
                  </w:r>
                  <w:r>
                    <w:br/>
                  </w:r>
                  <w:r>
                    <w:rPr>
                      <w:rFonts w:ascii="仿宋_GB2312" w:hAnsi="仿宋_GB2312" w:cs="仿宋_GB2312" w:eastAsia="仿宋_GB2312"/>
                      <w:sz w:val="21"/>
                    </w:rPr>
                    <w:t>2.支持按摄像头点位、区县、区域统计预警事件趋势、事件分布、点位报警占比；</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8</w:t>
                  </w:r>
                </w:p>
              </w:tc>
              <w:tc>
                <w:tcPr>
                  <w:tcW w:type="dxa" w:w="592"/>
                  <w:vMerge/>
                  <w:tcBorders>
                    <w:top w:val="single" w:color="000000" w:sz="4"/>
                    <w:left w:val="none" w:color="000000" w:sz="4"/>
                    <w:bottom w:val="single" w:color="000000" w:sz="4"/>
                    <w:right w:val="single" w:color="000000" w:sz="4"/>
                  </w:tcBorders>
                </w:tcP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八、在线培训：</w:t>
                  </w:r>
                  <w:r>
                    <w:br/>
                  </w:r>
                  <w:r>
                    <w:rPr>
                      <w:rFonts w:ascii="仿宋_GB2312" w:hAnsi="仿宋_GB2312" w:cs="仿宋_GB2312" w:eastAsia="仿宋_GB2312"/>
                      <w:sz w:val="21"/>
                    </w:rPr>
                    <w:t>1.支持市渔政管理部门人员在后台统一发布政策法规、行业知识培训资料并下发至对应区县移动端；</w:t>
                  </w:r>
                  <w:r>
                    <w:br/>
                  </w:r>
                  <w:r>
                    <w:rPr>
                      <w:rFonts w:ascii="仿宋_GB2312" w:hAnsi="仿宋_GB2312" w:cs="仿宋_GB2312" w:eastAsia="仿宋_GB2312"/>
                      <w:sz w:val="21"/>
                    </w:rPr>
                    <w:t>2.支持多模式文件发布，例如：文本、图片、超链接、视频、PPT；</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9</w:t>
                  </w:r>
                </w:p>
              </w:tc>
              <w:tc>
                <w:tcPr>
                  <w:tcW w:type="dxa" w:w="592"/>
                  <w:vMerge/>
                  <w:tcBorders>
                    <w:top w:val="single" w:color="000000" w:sz="4"/>
                    <w:left w:val="none" w:color="000000" w:sz="4"/>
                    <w:bottom w:val="single" w:color="000000" w:sz="4"/>
                    <w:right w:val="single" w:color="000000" w:sz="4"/>
                  </w:tcBorders>
                </w:tcP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九、通知公告：</w:t>
                  </w:r>
                  <w:r>
                    <w:br/>
                  </w:r>
                  <w:r>
                    <w:rPr>
                      <w:rFonts w:ascii="仿宋_GB2312" w:hAnsi="仿宋_GB2312" w:cs="仿宋_GB2312" w:eastAsia="仿宋_GB2312"/>
                      <w:sz w:val="21"/>
                    </w:rPr>
                    <w:t>1.支持市级管理部门对相关文件通知公告的传送和记录，通知公告实时送达至各区县部门，方便各区县部门及时查看并响应；</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10</w:t>
                  </w:r>
                </w:p>
              </w:tc>
              <w:tc>
                <w:tcPr>
                  <w:tcW w:type="dxa" w:w="592"/>
                  <w:vMerge/>
                  <w:tcBorders>
                    <w:top w:val="single" w:color="000000" w:sz="4"/>
                    <w:left w:val="none" w:color="000000" w:sz="4"/>
                    <w:bottom w:val="single" w:color="000000" w:sz="4"/>
                    <w:right w:val="single" w:color="000000" w:sz="4"/>
                  </w:tcBorders>
                </w:tcP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十、事件管理：</w:t>
                  </w:r>
                  <w:r>
                    <w:br/>
                  </w:r>
                  <w:r>
                    <w:rPr>
                      <w:rFonts w:ascii="仿宋_GB2312" w:hAnsi="仿宋_GB2312" w:cs="仿宋_GB2312" w:eastAsia="仿宋_GB2312"/>
                      <w:sz w:val="21"/>
                    </w:rPr>
                    <w:t>1.支持用户对所有上报事件(人工上报、AI主动上报、物联网上报)进行统一汇总查看；</w:t>
                  </w:r>
                  <w:r>
                    <w:br/>
                  </w:r>
                  <w:r>
                    <w:rPr>
                      <w:rFonts w:ascii="仿宋_GB2312" w:hAnsi="仿宋_GB2312" w:cs="仿宋_GB2312" w:eastAsia="仿宋_GB2312"/>
                      <w:sz w:val="21"/>
                    </w:rPr>
                    <w:t>2.支持按上报时间、类型、处理人员、响应人员、区县进行搜索查看，实现对事件处理全过程记录查看。</w:t>
                  </w:r>
                </w:p>
                <w:p>
                  <w:pPr>
                    <w:pStyle w:val="null3"/>
                    <w:spacing w:before="105" w:after="105"/>
                    <w:jc w:val="left"/>
                  </w:pPr>
                  <w:r>
                    <w:rPr>
                      <w:rFonts w:ascii="仿宋_GB2312" w:hAnsi="仿宋_GB2312" w:cs="仿宋_GB2312" w:eastAsia="仿宋_GB2312"/>
                      <w:sz w:val="21"/>
                    </w:rPr>
                    <w:t>3.对AI视频报警事件产生的数据内容具有检索功能，包括报警事件现场的抓图、报警事件监控管理人员的处置意见、报警时的现场短视频等。系统有历史报警记录，并可获取持续时长至少30秒的报警当时录像。</w:t>
                  </w:r>
                  <w:r>
                    <w:rPr>
                      <w:rFonts w:ascii="仿宋_GB2312" w:hAnsi="仿宋_GB2312" w:cs="仿宋_GB2312" w:eastAsia="仿宋_GB2312"/>
                      <w:sz w:val="20"/>
                    </w:rPr>
                    <w:t>(</w:t>
                  </w:r>
                  <w:r>
                    <w:rPr>
                      <w:rFonts w:ascii="仿宋_GB2312" w:hAnsi="仿宋_GB2312" w:cs="仿宋_GB2312" w:eastAsia="仿宋_GB2312"/>
                      <w:sz w:val="20"/>
                      <w:b/>
                    </w:rPr>
                    <w:t>供应商应在响应文件中单独</w:t>
                  </w:r>
                  <w:r>
                    <w:rPr>
                      <w:rFonts w:ascii="仿宋_GB2312" w:hAnsi="仿宋_GB2312" w:cs="仿宋_GB2312" w:eastAsia="仿宋_GB2312"/>
                      <w:sz w:val="20"/>
                      <w:b/>
                    </w:rPr>
                    <w:t>提供承诺函，</w:t>
                  </w:r>
                  <w:r>
                    <w:rPr>
                      <w:rFonts w:ascii="仿宋_GB2312" w:hAnsi="仿宋_GB2312" w:cs="仿宋_GB2312" w:eastAsia="仿宋_GB2312"/>
                      <w:sz w:val="20"/>
                      <w:b/>
                    </w:rPr>
                    <w:t>承诺供货时向采购人提供第三方检测机构出具的带有</w:t>
                  </w:r>
                  <w:r>
                    <w:rPr>
                      <w:rFonts w:ascii="仿宋_GB2312" w:hAnsi="仿宋_GB2312" w:cs="仿宋_GB2312" w:eastAsia="仿宋_GB2312"/>
                      <w:sz w:val="20"/>
                      <w:b/>
                    </w:rPr>
                    <w:t>CMA标识的检测报告复印件予以佐证,检测依据符合GB/T 25000.51-2016)</w:t>
                  </w:r>
                </w:p>
                <w:p>
                  <w:pPr>
                    <w:pStyle w:val="null3"/>
                    <w:spacing w:before="105" w:after="105"/>
                    <w:jc w:val="left"/>
                  </w:pPr>
                  <w:r>
                    <w:rPr>
                      <w:rFonts w:ascii="仿宋_GB2312" w:hAnsi="仿宋_GB2312" w:cs="仿宋_GB2312" w:eastAsia="仿宋_GB2312"/>
                      <w:sz w:val="21"/>
                    </w:rPr>
                    <w:t>4.提供设备运行状态监控及报警，包括摄像头在线离线、系统异常报警功能。</w:t>
                  </w:r>
                  <w:r>
                    <w:rPr>
                      <w:rFonts w:ascii="仿宋_GB2312" w:hAnsi="仿宋_GB2312" w:cs="仿宋_GB2312" w:eastAsia="仿宋_GB2312"/>
                      <w:sz w:val="20"/>
                      <w:b/>
                    </w:rPr>
                    <w:t>(供应商应在响应文件中单独</w:t>
                  </w:r>
                  <w:r>
                    <w:rPr>
                      <w:rFonts w:ascii="仿宋_GB2312" w:hAnsi="仿宋_GB2312" w:cs="仿宋_GB2312" w:eastAsia="仿宋_GB2312"/>
                      <w:sz w:val="20"/>
                      <w:b/>
                    </w:rPr>
                    <w:t>提供承诺函，</w:t>
                  </w:r>
                  <w:r>
                    <w:rPr>
                      <w:rFonts w:ascii="仿宋_GB2312" w:hAnsi="仿宋_GB2312" w:cs="仿宋_GB2312" w:eastAsia="仿宋_GB2312"/>
                      <w:sz w:val="20"/>
                      <w:b/>
                    </w:rPr>
                    <w:t>承诺供货时向采购人提供第三方检测机构出具的带有</w:t>
                  </w:r>
                  <w:r>
                    <w:rPr>
                      <w:rFonts w:ascii="仿宋_GB2312" w:hAnsi="仿宋_GB2312" w:cs="仿宋_GB2312" w:eastAsia="仿宋_GB2312"/>
                      <w:sz w:val="20"/>
                      <w:b/>
                    </w:rPr>
                    <w:t>CMA标识的检测报告复印件予以佐证,检测依据符合GB/T 25000.51-2016)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11</w:t>
                  </w:r>
                </w:p>
              </w:tc>
              <w:tc>
                <w:tcPr>
                  <w:tcW w:type="dxa" w:w="592"/>
                  <w:vMerge/>
                  <w:tcBorders>
                    <w:top w:val="single" w:color="000000" w:sz="4"/>
                    <w:left w:val="none" w:color="000000" w:sz="4"/>
                    <w:bottom w:val="single" w:color="000000" w:sz="4"/>
                    <w:right w:val="single" w:color="000000" w:sz="4"/>
                  </w:tcBorders>
                </w:tcP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十一、设备管理：</w:t>
                  </w:r>
                  <w:r>
                    <w:br/>
                  </w:r>
                  <w:r>
                    <w:rPr>
                      <w:rFonts w:ascii="仿宋_GB2312" w:hAnsi="仿宋_GB2312" w:cs="仿宋_GB2312" w:eastAsia="仿宋_GB2312"/>
                      <w:sz w:val="21"/>
                    </w:rPr>
                    <w:t>1.支持所有区县摄像头异常、正常状态查看；</w:t>
                  </w:r>
                  <w:r>
                    <w:br/>
                  </w:r>
                  <w:r>
                    <w:rPr>
                      <w:rFonts w:ascii="仿宋_GB2312" w:hAnsi="仿宋_GB2312" w:cs="仿宋_GB2312" w:eastAsia="仿宋_GB2312"/>
                      <w:sz w:val="21"/>
                    </w:rPr>
                    <w:t>2.支持按摄像头结构树/右侧摄像头内容或者摄像头列表至少2种方式进行展示；</w:t>
                  </w:r>
                  <w:r>
                    <w:br/>
                  </w:r>
                  <w:r>
                    <w:rPr>
                      <w:rFonts w:ascii="仿宋_GB2312" w:hAnsi="仿宋_GB2312" w:cs="仿宋_GB2312" w:eastAsia="仿宋_GB2312"/>
                      <w:sz w:val="21"/>
                    </w:rPr>
                    <w:t>3.支持查看摄像头实况，并进行四向控制、放大缩小控制；</w:t>
                  </w:r>
                  <w:r>
                    <w:br/>
                  </w:r>
                  <w:r>
                    <w:rPr>
                      <w:rFonts w:ascii="仿宋_GB2312" w:hAnsi="仿宋_GB2312" w:cs="仿宋_GB2312" w:eastAsia="仿宋_GB2312"/>
                      <w:sz w:val="21"/>
                    </w:rPr>
                    <w:t>4.支持根据区县名称、区域、摄像头名称进行搜索；</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12</w:t>
                  </w:r>
                </w:p>
              </w:tc>
              <w:tc>
                <w:tcPr>
                  <w:tcW w:type="dxa" w:w="592"/>
                  <w:vMerge/>
                  <w:tcBorders>
                    <w:top w:val="single" w:color="000000" w:sz="4"/>
                    <w:left w:val="none" w:color="000000" w:sz="4"/>
                    <w:bottom w:val="single" w:color="000000" w:sz="4"/>
                    <w:right w:val="single" w:color="000000" w:sz="4"/>
                  </w:tcBorders>
                </w:tcP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十二、移动端</w:t>
                  </w:r>
                  <w:r>
                    <w:rPr>
                      <w:rFonts w:ascii="仿宋_GB2312" w:hAnsi="仿宋_GB2312" w:cs="仿宋_GB2312" w:eastAsia="仿宋_GB2312"/>
                      <w:sz w:val="21"/>
                    </w:rPr>
                    <w:t>APP：</w:t>
                  </w:r>
                  <w:r>
                    <w:br/>
                  </w:r>
                  <w:r>
                    <w:rPr>
                      <w:rFonts w:ascii="仿宋_GB2312" w:hAnsi="仿宋_GB2312" w:cs="仿宋_GB2312" w:eastAsia="仿宋_GB2312"/>
                      <w:sz w:val="21"/>
                    </w:rPr>
                    <w:t>1.当前用户需要处理的工单、任务信息，不同用户权限、角色所处理的事务各不相同；</w:t>
                  </w:r>
                  <w:r>
                    <w:br/>
                  </w:r>
                  <w:r>
                    <w:rPr>
                      <w:rFonts w:ascii="仿宋_GB2312" w:hAnsi="仿宋_GB2312" w:cs="仿宋_GB2312" w:eastAsia="仿宋_GB2312"/>
                      <w:sz w:val="21"/>
                    </w:rPr>
                    <w:t>2.当前用户在巡检过程中，所反馈的报警记录；</w:t>
                  </w:r>
                  <w:r>
                    <w:br/>
                  </w:r>
                  <w:r>
                    <w:rPr>
                      <w:rFonts w:ascii="仿宋_GB2312" w:hAnsi="仿宋_GB2312" w:cs="仿宋_GB2312" w:eastAsia="仿宋_GB2312"/>
                      <w:sz w:val="21"/>
                    </w:rPr>
                    <w:t>3.当前用户在巡检过程中，如有发现问题，可快速上报，支持内容，支持视频、图片</w:t>
                  </w:r>
                  <w:r>
                    <w:br/>
                  </w:r>
                  <w:r>
                    <w:rPr>
                      <w:rFonts w:ascii="仿宋_GB2312" w:hAnsi="仿宋_GB2312" w:cs="仿宋_GB2312" w:eastAsia="仿宋_GB2312"/>
                      <w:sz w:val="21"/>
                    </w:rPr>
                    <w:t>4.系统可根据用户权限、角色显示不同的工单信息；支持处理人员现场对下发的工单任务进行反馈，反馈内容可为文字、视频、图片、实时位置；支持管理人员、处理人员对历史工单的处理过程进行查看；APP支持实时上传处理人员坐标并在指挥中心展示。</w:t>
                  </w:r>
                  <w:r>
                    <w:br/>
                  </w:r>
                  <w:r>
                    <w:rPr>
                      <w:rFonts w:ascii="仿宋_GB2312" w:hAnsi="仿宋_GB2312" w:cs="仿宋_GB2312" w:eastAsia="仿宋_GB2312"/>
                      <w:sz w:val="21"/>
                    </w:rPr>
                    <w:t>5.系统可根据用户权限、角色显示不同的事件信息，相关经办人员可实时查看事件的处理进度；</w:t>
                  </w:r>
                  <w:r>
                    <w:br/>
                  </w:r>
                  <w:r>
                    <w:rPr>
                      <w:rFonts w:ascii="仿宋_GB2312" w:hAnsi="仿宋_GB2312" w:cs="仿宋_GB2312" w:eastAsia="仿宋_GB2312"/>
                      <w:sz w:val="21"/>
                    </w:rPr>
                    <w:t>管理人员对所有事件处理流程有查看权限；</w:t>
                  </w:r>
                  <w:r>
                    <w:br/>
                  </w:r>
                  <w:r>
                    <w:rPr>
                      <w:rFonts w:ascii="仿宋_GB2312" w:hAnsi="仿宋_GB2312" w:cs="仿宋_GB2312" w:eastAsia="仿宋_GB2312"/>
                      <w:sz w:val="21"/>
                    </w:rPr>
                    <w:t>6.支持接收并查看管理部门下发的通知公告；</w:t>
                  </w:r>
                  <w:r>
                    <w:br/>
                  </w:r>
                  <w:r>
                    <w:rPr>
                      <w:rFonts w:ascii="仿宋_GB2312" w:hAnsi="仿宋_GB2312" w:cs="仿宋_GB2312" w:eastAsia="仿宋_GB2312"/>
                      <w:sz w:val="21"/>
                    </w:rPr>
                    <w:t>7.支持用户通过移动端查看所管辖区域的监控视频，并支持四向控制，缩大放小控制；</w:t>
                  </w:r>
                  <w:r>
                    <w:br/>
                  </w:r>
                  <w:r>
                    <w:rPr>
                      <w:rFonts w:ascii="仿宋_GB2312" w:hAnsi="仿宋_GB2312" w:cs="仿宋_GB2312" w:eastAsia="仿宋_GB2312"/>
                      <w:sz w:val="21"/>
                    </w:rPr>
                    <w:t>8.模块可展示系统定时推送的事件通知、工单任务通知、巡查任务通知。</w:t>
                  </w:r>
                  <w:r>
                    <w:br/>
                  </w:r>
                  <w:r>
                    <w:rPr>
                      <w:rFonts w:ascii="仿宋_GB2312" w:hAnsi="仿宋_GB2312" w:cs="仿宋_GB2312" w:eastAsia="仿宋_GB2312"/>
                      <w:sz w:val="21"/>
                    </w:rPr>
                    <w:t>9.支持当前用户的基本信息展示；支持对个人信息进行编辑、修改密码、更换头像；</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b/>
                    </w:rPr>
                    <w:t>三、指挥中心建设清单</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1</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网络广播主机</w:t>
                  </w:r>
                </w:p>
              </w:tc>
              <w:tc>
                <w:tcPr>
                  <w:tcW w:type="dxa" w:w="4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1.采用专业机架式工控机箱体设计，采用钢结构，具有防磁、防尘、防冲击能力；</w:t>
                  </w:r>
                </w:p>
                <w:p>
                  <w:pPr>
                    <w:pStyle w:val="null3"/>
                    <w:spacing w:before="105" w:after="105"/>
                    <w:jc w:val="left"/>
                  </w:pPr>
                  <w:r>
                    <w:rPr>
                      <w:rFonts w:ascii="仿宋_GB2312" w:hAnsi="仿宋_GB2312" w:cs="仿宋_GB2312" w:eastAsia="仿宋_GB2312"/>
                      <w:sz w:val="20"/>
                    </w:rPr>
                    <w:t>2.采用≥17寸工业级加固触摸屏，简单便捷易操作；</w:t>
                  </w:r>
                </w:p>
                <w:p>
                  <w:pPr>
                    <w:pStyle w:val="null3"/>
                    <w:spacing w:before="105" w:after="105"/>
                    <w:jc w:val="left"/>
                  </w:pPr>
                  <w:r>
                    <w:rPr>
                      <w:rFonts w:ascii="仿宋_GB2312" w:hAnsi="仿宋_GB2312" w:cs="仿宋_GB2312" w:eastAsia="仿宋_GB2312"/>
                      <w:sz w:val="20"/>
                    </w:rPr>
                    <w:t>3.采用≥4GB+120G大容量、工业级主板，服务器处理速度快，运行性能强；</w:t>
                  </w:r>
                </w:p>
                <w:p>
                  <w:pPr>
                    <w:pStyle w:val="null3"/>
                    <w:spacing w:before="105" w:after="105"/>
                    <w:jc w:val="left"/>
                  </w:pPr>
                  <w:r>
                    <w:rPr>
                      <w:rFonts w:ascii="仿宋_GB2312" w:hAnsi="仿宋_GB2312" w:cs="仿宋_GB2312" w:eastAsia="仿宋_GB2312"/>
                      <w:sz w:val="20"/>
                    </w:rPr>
                    <w:t>4.支持中英文切换，可通过服务软件管理调度所有终端；</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2</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IP网络寻呼话筒(远程广播话筒)</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1.采用专业寻呼主机外形，配备≥4英寸触摸显示屏，分辨率≥480*480；</w:t>
                  </w:r>
                  <w:r>
                    <w:br/>
                  </w:r>
                  <w:r>
                    <w:rPr>
                      <w:rFonts w:ascii="仿宋_GB2312" w:hAnsi="仿宋_GB2312" w:cs="仿宋_GB2312" w:eastAsia="仿宋_GB2312"/>
                      <w:sz w:val="20"/>
                    </w:rPr>
                    <w:t>2.内置≥3W扬声器，可实现远程对讲、监听、全区分区广播、定时播放背景音乐；</w:t>
                  </w:r>
                  <w:r>
                    <w:br/>
                  </w:r>
                  <w:r>
                    <w:rPr>
                      <w:rFonts w:ascii="仿宋_GB2312" w:hAnsi="仿宋_GB2312" w:cs="仿宋_GB2312" w:eastAsia="仿宋_GB2312"/>
                      <w:sz w:val="20"/>
                    </w:rPr>
                    <w:t>3.支持无服务器情况下的脱机对讲(发起和接收)；</w:t>
                  </w:r>
                  <w:r>
                    <w:br/>
                  </w:r>
                  <w:r>
                    <w:rPr>
                      <w:rFonts w:ascii="仿宋_GB2312" w:hAnsi="仿宋_GB2312" w:cs="仿宋_GB2312" w:eastAsia="仿宋_GB2312"/>
                      <w:sz w:val="20"/>
                    </w:rPr>
                    <w:t>4.支持麦克风、U盘、手机音源外部音源输入，通过本设备发送到前端终端；</w:t>
                  </w:r>
                  <w:r>
                    <w:br/>
                  </w:r>
                  <w:r>
                    <w:rPr>
                      <w:rFonts w:ascii="仿宋_GB2312" w:hAnsi="仿宋_GB2312" w:cs="仿宋_GB2312" w:eastAsia="仿宋_GB2312"/>
                      <w:sz w:val="20"/>
                    </w:rPr>
                    <w:t>5.内置数字音频处理器，提升音频音效；</w:t>
                  </w:r>
                  <w:r>
                    <w:br/>
                  </w:r>
                  <w:r>
                    <w:rPr>
                      <w:rFonts w:ascii="仿宋_GB2312" w:hAnsi="仿宋_GB2312" w:cs="仿宋_GB2312" w:eastAsia="仿宋_GB2312"/>
                      <w:sz w:val="20"/>
                    </w:rPr>
                    <w:t>6.内置flash存储，支持存储、管理音频文件；</w:t>
                  </w:r>
                  <w:r>
                    <w:br/>
                  </w:r>
                  <w:r>
                    <w:rPr>
                      <w:rFonts w:ascii="仿宋_GB2312" w:hAnsi="仿宋_GB2312" w:cs="仿宋_GB2312" w:eastAsia="仿宋_GB2312"/>
                      <w:sz w:val="20"/>
                    </w:rPr>
                    <w:t>7.支持在任务进程中随意增加/删减任务终端；</w:t>
                  </w:r>
                  <w:r>
                    <w:br/>
                  </w:r>
                  <w:r>
                    <w:rPr>
                      <w:rFonts w:ascii="仿宋_GB2312" w:hAnsi="仿宋_GB2312" w:cs="仿宋_GB2312" w:eastAsia="仿宋_GB2312"/>
                      <w:sz w:val="20"/>
                    </w:rPr>
                    <w:t>8.手机app支持设备管理、任务通知、作息表、TTS合成、手机教室、APP远程升级功能等功能；</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3</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控制键盘</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1.支持≥10.1英寸电容触摸屏，分辨率≥1280*800；</w:t>
                  </w:r>
                  <w:r>
                    <w:br/>
                  </w:r>
                  <w:r>
                    <w:rPr>
                      <w:rFonts w:ascii="仿宋_GB2312" w:hAnsi="仿宋_GB2312" w:cs="仿宋_GB2312" w:eastAsia="仿宋_GB2312"/>
                      <w:sz w:val="20"/>
                    </w:rPr>
                    <w:t>2.支持在触屏观看图像或通过HDMI将图像投到屏幕上；</w:t>
                  </w:r>
                  <w:r>
                    <w:br/>
                  </w:r>
                  <w:r>
                    <w:rPr>
                      <w:rFonts w:ascii="仿宋_GB2312" w:hAnsi="仿宋_GB2312" w:cs="仿宋_GB2312" w:eastAsia="仿宋_GB2312"/>
                      <w:sz w:val="20"/>
                    </w:rPr>
                    <w:t>3.支持添加设备数量≥10000；能够将接入的图像通过HDMI/VGA接口外接显示；支持接入DVR、NVR、网络摄像机、球机设备；</w:t>
                  </w:r>
                  <w:r>
                    <w:br/>
                  </w:r>
                  <w:r>
                    <w:rPr>
                      <w:rFonts w:ascii="仿宋_GB2312" w:hAnsi="仿宋_GB2312" w:cs="仿宋_GB2312" w:eastAsia="仿宋_GB2312"/>
                      <w:sz w:val="20"/>
                    </w:rPr>
                    <w:t>4.解码延时试验：≤80ms；开机时间试验：≤25s；</w:t>
                  </w:r>
                  <w:r>
                    <w:br/>
                  </w:r>
                  <w:r>
                    <w:rPr>
                      <w:rFonts w:ascii="仿宋_GB2312" w:hAnsi="仿宋_GB2312" w:cs="仿宋_GB2312" w:eastAsia="仿宋_GB2312"/>
                      <w:sz w:val="20"/>
                    </w:rPr>
                    <w:t>5.最大支持4路1080P或者1路4K解码；</w:t>
                  </w:r>
                  <w:r>
                    <w:br/>
                  </w:r>
                  <w:r>
                    <w:rPr>
                      <w:rFonts w:ascii="仿宋_GB2312" w:hAnsi="仿宋_GB2312" w:cs="仿宋_GB2312" w:eastAsia="仿宋_GB2312"/>
                      <w:sz w:val="20"/>
                    </w:rPr>
                    <w:t>6.支持支持抓图、录像功能，文件保存至U盘；</w:t>
                  </w:r>
                  <w:r>
                    <w:br/>
                  </w:r>
                  <w:r>
                    <w:rPr>
                      <w:rFonts w:ascii="仿宋_GB2312" w:hAnsi="仿宋_GB2312" w:cs="仿宋_GB2312" w:eastAsia="仿宋_GB2312"/>
                      <w:sz w:val="20"/>
                    </w:rPr>
                    <w:t>7.支持POE供电，语音对讲，一键抓图；</w:t>
                  </w:r>
                  <w:r>
                    <w:br/>
                  </w:r>
                  <w:r>
                    <w:rPr>
                      <w:rFonts w:ascii="仿宋_GB2312" w:hAnsi="仿宋_GB2312" w:cs="仿宋_GB2312" w:eastAsia="仿宋_GB2312"/>
                      <w:sz w:val="20"/>
                    </w:rPr>
                    <w:t>8.支持画面预监，电视墙画面回显，场景预编辑功能；</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4</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视频综合编解码接入一体机</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1.≥4路DVI或HDMI输入，≥12路DVI或HDMI输出；</w:t>
                  </w:r>
                  <w:r>
                    <w:br/>
                  </w:r>
                  <w:r>
                    <w:rPr>
                      <w:rFonts w:ascii="仿宋_GB2312" w:hAnsi="仿宋_GB2312" w:cs="仿宋_GB2312" w:eastAsia="仿宋_GB2312"/>
                      <w:sz w:val="20"/>
                    </w:rPr>
                    <w:t>2.无需电脑，支持通过设备旋转按钮快捷配屏和高级配屏功能点亮屏体；</w:t>
                  </w:r>
                  <w:r>
                    <w:br/>
                  </w:r>
                  <w:r>
                    <w:rPr>
                      <w:rFonts w:ascii="仿宋_GB2312" w:hAnsi="仿宋_GB2312" w:cs="仿宋_GB2312" w:eastAsia="仿宋_GB2312"/>
                      <w:sz w:val="20"/>
                    </w:rPr>
                    <w:t>3.支持设备备份和网口备份，设备故障或网线故障时保证屏体运行正常；</w:t>
                  </w:r>
                  <w:r>
                    <w:br/>
                  </w:r>
                  <w:r>
                    <w:rPr>
                      <w:rFonts w:ascii="仿宋_GB2312" w:hAnsi="仿宋_GB2312" w:cs="仿宋_GB2312" w:eastAsia="仿宋_GB2312"/>
                      <w:sz w:val="20"/>
                    </w:rPr>
                    <w:t>4.支持选择HDMI输入源或DVI输入源作为同步信号，达到输出的场级同步；</w:t>
                  </w:r>
                  <w:r>
                    <w:br/>
                  </w:r>
                  <w:r>
                    <w:rPr>
                      <w:rFonts w:ascii="仿宋_GB2312" w:hAnsi="仿宋_GB2312" w:cs="仿宋_GB2312" w:eastAsia="仿宋_GB2312"/>
                      <w:sz w:val="20"/>
                    </w:rPr>
                    <w:t>5.操作端可预先所见所得的对屏幕进行布局和视频进行任意调整，不影响大屏显示，当有需要，可以一键同步所有布局；</w:t>
                  </w:r>
                  <w:r>
                    <w:br/>
                  </w:r>
                  <w:r>
                    <w:rPr>
                      <w:rFonts w:ascii="仿宋_GB2312" w:hAnsi="仿宋_GB2312" w:cs="仿宋_GB2312" w:eastAsia="仿宋_GB2312"/>
                      <w:sz w:val="20"/>
                    </w:rPr>
                    <w:t>6.支持在单屏/拼接屏上显示文字,文字字体、颜色、字符间距、背景色和速度可调节；</w:t>
                  </w:r>
                </w:p>
                <w:p>
                  <w:pPr>
                    <w:pStyle w:val="null3"/>
                    <w:spacing w:before="105" w:after="105"/>
                    <w:jc w:val="left"/>
                  </w:pPr>
                  <w:r>
                    <w:rPr>
                      <w:rFonts w:ascii="仿宋_GB2312" w:hAnsi="仿宋_GB2312" w:cs="仿宋_GB2312" w:eastAsia="仿宋_GB2312"/>
                      <w:sz w:val="20"/>
                    </w:rPr>
                    <w:t>7.支持文字左对齐、右对齐、居中、横排、竖排显示；字体可进行滚动显示，滚动速度、方向可调节;</w:t>
                  </w:r>
                  <w:r>
                    <w:br/>
                  </w:r>
                  <w:r>
                    <w:rPr>
                      <w:rFonts w:ascii="仿宋_GB2312" w:hAnsi="仿宋_GB2312" w:cs="仿宋_GB2312" w:eastAsia="仿宋_GB2312"/>
                      <w:sz w:val="20"/>
                    </w:rPr>
                    <w:t>8.液晶面板可实时显示，型号，ip地址，窗口及信号源的分辨率以及状态信息，输出网口的状态，屏幕大小及帧频信息，设备同步模式展示，USB连接或网线连接状态，屏体亮度；</w:t>
                  </w:r>
                  <w:r>
                    <w:br/>
                  </w:r>
                  <w:r>
                    <w:rPr>
                      <w:rFonts w:ascii="仿宋_GB2312" w:hAnsi="仿宋_GB2312" w:cs="仿宋_GB2312" w:eastAsia="仿宋_GB2312"/>
                      <w:sz w:val="20"/>
                    </w:rPr>
                    <w:t>9.支持ISCSI、IPSAN存储方式；</w:t>
                  </w:r>
                  <w:r>
                    <w:br/>
                  </w:r>
                  <w:r>
                    <w:rPr>
                      <w:rFonts w:ascii="仿宋_GB2312" w:hAnsi="仿宋_GB2312" w:cs="仿宋_GB2312" w:eastAsia="仿宋_GB2312"/>
                      <w:sz w:val="20"/>
                    </w:rPr>
                    <w:t>10.支持标清/高清/模拟/数字多种视频混合显示;</w:t>
                  </w:r>
                  <w:r>
                    <w:br/>
                  </w:r>
                  <w:r>
                    <w:rPr>
                      <w:rFonts w:ascii="仿宋_GB2312" w:hAnsi="仿宋_GB2312" w:cs="仿宋_GB2312" w:eastAsia="仿宋_GB2312"/>
                      <w:sz w:val="20"/>
                    </w:rPr>
                    <w:t>11.可根据场景业务自定义用户操作页面的布局，包括：logo自定义、标题自定义、场景名称自定义、场景个数自定义、组件摆放自定义；</w:t>
                  </w:r>
                  <w:r>
                    <w:br/>
                  </w:r>
                  <w:r>
                    <w:rPr>
                      <w:rFonts w:ascii="仿宋_GB2312" w:hAnsi="仿宋_GB2312" w:cs="仿宋_GB2312" w:eastAsia="仿宋_GB2312"/>
                      <w:sz w:val="20"/>
                    </w:rPr>
                    <w:t>12.可实现屏体手动控制，自动控制，以及软件控制。</w:t>
                  </w:r>
                  <w:r>
                    <w:br/>
                  </w:r>
                  <w:r>
                    <w:rPr>
                      <w:rFonts w:ascii="仿宋_GB2312" w:hAnsi="仿宋_GB2312" w:cs="仿宋_GB2312" w:eastAsia="仿宋_GB2312"/>
                      <w:sz w:val="20"/>
                    </w:rPr>
                    <w:t>13.支持对远程电脑反向控制桌面，实现PPT/视频内容远程控制。</w:t>
                  </w:r>
                </w:p>
                <w:p>
                  <w:pPr>
                    <w:pStyle w:val="null3"/>
                    <w:spacing w:before="105" w:after="105"/>
                    <w:jc w:val="left"/>
                  </w:pPr>
                  <w:r>
                    <w:rPr>
                      <w:rFonts w:ascii="仿宋_GB2312" w:hAnsi="仿宋_GB2312" w:cs="仿宋_GB2312" w:eastAsia="仿宋_GB2312"/>
                      <w:sz w:val="20"/>
                    </w:rPr>
                    <w:t>14.不少于192个解码通道，解码能力支持≥6路8160×3616(25fps)、或≥24路4096×2160(25fps)、或≥96路1920×1080(25fps)、或≥192路1280×720(25fps)分辨率的视频图像同时解码上墙；</w:t>
                  </w:r>
                </w:p>
                <w:p>
                  <w:pPr>
                    <w:pStyle w:val="null3"/>
                    <w:spacing w:before="105" w:after="105"/>
                    <w:jc w:val="left"/>
                  </w:pPr>
                  <w:r>
                    <w:rPr>
                      <w:rFonts w:ascii="仿宋_GB2312" w:hAnsi="仿宋_GB2312" w:cs="仿宋_GB2312" w:eastAsia="仿宋_GB2312"/>
                      <w:sz w:val="20"/>
                    </w:rPr>
                    <w:t>15.支持设置1、2、4、6、8、9、10、12、16、25、32、64画面分割显示，支持设置M×N≤100的任意分割；</w:t>
                  </w:r>
                </w:p>
                <w:p>
                  <w:pPr>
                    <w:pStyle w:val="null3"/>
                    <w:spacing w:before="105" w:after="105"/>
                    <w:jc w:val="left"/>
                  </w:pPr>
                  <w:r>
                    <w:rPr>
                      <w:rFonts w:ascii="仿宋_GB2312" w:hAnsi="仿宋_GB2312" w:cs="仿宋_GB2312" w:eastAsia="仿宋_GB2312"/>
                      <w:sz w:val="20"/>
                    </w:rPr>
                    <w:t>16.每个输出口均支持任一路意开窗、漫游，支持任意信号显示画面进行任意漫游、缩放，可在单屏或多屏的任意位置上叠加显示画面，图层支持≥64层；</w:t>
                  </w:r>
                </w:p>
                <w:p>
                  <w:pPr>
                    <w:pStyle w:val="null3"/>
                    <w:spacing w:before="105" w:after="105"/>
                    <w:jc w:val="left"/>
                  </w:pPr>
                  <w:r>
                    <w:rPr>
                      <w:rFonts w:ascii="仿宋_GB2312" w:hAnsi="仿宋_GB2312" w:cs="仿宋_GB2312" w:eastAsia="仿宋_GB2312"/>
                      <w:sz w:val="20"/>
                    </w:rPr>
                    <w:t>17.支持通过客户端软件设置底色或底图，当无画面上墙显示时，输出显示该底色或底图，底色支持任意颜色设置，底图支持7680×4320及以下分辨率，支持保存≥8张底图；</w:t>
                  </w:r>
                </w:p>
                <w:p>
                  <w:pPr>
                    <w:pStyle w:val="null3"/>
                    <w:spacing w:before="105" w:after="105"/>
                    <w:jc w:val="left"/>
                  </w:pPr>
                  <w:r>
                    <w:rPr>
                      <w:rFonts w:ascii="仿宋_GB2312" w:hAnsi="仿宋_GB2312" w:cs="仿宋_GB2312" w:eastAsia="仿宋_GB2312"/>
                      <w:sz w:val="20"/>
                    </w:rPr>
                    <w:t>18.支持全部输出口同时输出≥3840×2160分辨率的图像；</w:t>
                  </w:r>
                </w:p>
                <w:p>
                  <w:pPr>
                    <w:pStyle w:val="null3"/>
                    <w:spacing w:before="105" w:after="105"/>
                    <w:jc w:val="left"/>
                  </w:pPr>
                  <w:r>
                    <w:rPr>
                      <w:rFonts w:ascii="仿宋_GB2312" w:hAnsi="仿宋_GB2312" w:cs="仿宋_GB2312" w:eastAsia="仿宋_GB2312"/>
                      <w:sz w:val="20"/>
                    </w:rPr>
                    <w:t>19.支持红外遥控器实现解码图像切换、场景切换，红外遥控器还可进行显示屏幕亮度调节；</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台</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b/>
                    </w:rPr>
                    <w:t>四、数据中心建设</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1</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GPU服务器</w:t>
                  </w:r>
                </w:p>
                <w:p>
                  <w:pPr>
                    <w:pStyle w:val="null3"/>
                    <w:spacing w:before="105" w:after="105"/>
                    <w:jc w:val="center"/>
                  </w:pPr>
                  <w:r>
                    <w:rPr>
                      <w:rFonts w:ascii="仿宋_GB2312" w:hAnsi="仿宋_GB2312" w:cs="仿宋_GB2312" w:eastAsia="仿宋_GB2312"/>
                      <w:sz w:val="20"/>
                    </w:rPr>
                    <w:t>(深度学习服务器)</w:t>
                  </w:r>
                </w:p>
              </w:tc>
              <w:tc>
                <w:tcPr>
                  <w:tcW w:type="dxa" w:w="4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1.处理器：配置≥2颗，核数≥20核，主频≥2.3GHz；</w:t>
                  </w:r>
                </w:p>
                <w:p>
                  <w:pPr>
                    <w:pStyle w:val="null3"/>
                    <w:spacing w:before="105" w:after="105"/>
                    <w:jc w:val="left"/>
                  </w:pPr>
                  <w:r>
                    <w:rPr>
                      <w:rFonts w:ascii="仿宋_GB2312" w:hAnsi="仿宋_GB2312" w:cs="仿宋_GB2312" w:eastAsia="仿宋_GB2312"/>
                      <w:sz w:val="21"/>
                    </w:rPr>
                    <w:t>2.内存：配置≥192G DDR4；最大支持32条内存插槽，支持DDR4 ECC；</w:t>
                  </w:r>
                </w:p>
                <w:p>
                  <w:pPr>
                    <w:pStyle w:val="null3"/>
                    <w:spacing w:before="105" w:after="105"/>
                    <w:jc w:val="left"/>
                  </w:pPr>
                  <w:r>
                    <w:rPr>
                      <w:rFonts w:ascii="仿宋_GB2312" w:hAnsi="仿宋_GB2312" w:cs="仿宋_GB2312" w:eastAsia="仿宋_GB2312"/>
                      <w:sz w:val="21"/>
                    </w:rPr>
                    <w:t>3.硬盘：配置≥2块480G SSD硬盘；最大可支持12个3.5英寸SAS/SATA硬盘；</w:t>
                  </w:r>
                </w:p>
                <w:p>
                  <w:pPr>
                    <w:pStyle w:val="null3"/>
                    <w:spacing w:before="105" w:after="105"/>
                    <w:jc w:val="left"/>
                  </w:pPr>
                  <w:r>
                    <w:rPr>
                      <w:rFonts w:ascii="仿宋_GB2312" w:hAnsi="仿宋_GB2312" w:cs="仿宋_GB2312" w:eastAsia="仿宋_GB2312"/>
                      <w:sz w:val="21"/>
                    </w:rPr>
                    <w:t>4.独显&amp;GPU扩展：配置≥6张Tesla T4加速卡；</w:t>
                  </w:r>
                </w:p>
                <w:p>
                  <w:pPr>
                    <w:pStyle w:val="null3"/>
                    <w:spacing w:before="105" w:after="105"/>
                    <w:jc w:val="left"/>
                  </w:pPr>
                  <w:r>
                    <w:rPr>
                      <w:rFonts w:ascii="仿宋_GB2312" w:hAnsi="仿宋_GB2312" w:cs="仿宋_GB2312" w:eastAsia="仿宋_GB2312"/>
                      <w:sz w:val="21"/>
                    </w:rPr>
                    <w:t>5.阵列卡：配置1张SAS_HBA卡；支持直通、RAID0、1、10、5、50、6、60 等多种存储方案，配置RAID控制器时，可支持Cache超级电容保护；</w:t>
                  </w:r>
                </w:p>
                <w:p>
                  <w:pPr>
                    <w:pStyle w:val="null3"/>
                    <w:spacing w:before="105" w:after="105"/>
                    <w:jc w:val="left"/>
                  </w:pPr>
                  <w:r>
                    <w:rPr>
                      <w:rFonts w:ascii="仿宋_GB2312" w:hAnsi="仿宋_GB2312" w:cs="仿宋_GB2312" w:eastAsia="仿宋_GB2312"/>
                      <w:sz w:val="21"/>
                    </w:rPr>
                    <w:t>6.网口：配置≥2个千兆电口，≥2个万兆光口(含多模光模块)；最大支持2个OCP3.0，具备NCSI功能；</w:t>
                  </w:r>
                </w:p>
                <w:p>
                  <w:pPr>
                    <w:pStyle w:val="null3"/>
                    <w:spacing w:before="105" w:after="105"/>
                    <w:jc w:val="left"/>
                  </w:pPr>
                  <w:r>
                    <w:rPr>
                      <w:rFonts w:ascii="仿宋_GB2312" w:hAnsi="仿宋_GB2312" w:cs="仿宋_GB2312" w:eastAsia="仿宋_GB2312"/>
                      <w:sz w:val="21"/>
                    </w:rPr>
                    <w:t>7.PCIE扩展槽：≥14个PCIe 4.0扩展槽位，其中至少1个 RAID卡专用的PCIe扩展槽位，2个OPC3.0专用扩展槽位，11个标准PCIe 4.0；</w:t>
                  </w:r>
                </w:p>
                <w:p>
                  <w:pPr>
                    <w:pStyle w:val="null3"/>
                    <w:spacing w:before="105" w:after="105"/>
                    <w:jc w:val="left"/>
                  </w:pPr>
                  <w:r>
                    <w:rPr>
                      <w:rFonts w:ascii="仿宋_GB2312" w:hAnsi="仿宋_GB2312" w:cs="仿宋_GB2312" w:eastAsia="仿宋_GB2312"/>
                      <w:sz w:val="21"/>
                    </w:rPr>
                    <w:t>8.电源：配置≥1500W(1+1)冗余电源；</w:t>
                  </w:r>
                </w:p>
                <w:p>
                  <w:pPr>
                    <w:pStyle w:val="null3"/>
                    <w:spacing w:before="105" w:after="105"/>
                    <w:jc w:val="left"/>
                  </w:pPr>
                  <w:r>
                    <w:rPr>
                      <w:rFonts w:ascii="仿宋_GB2312" w:hAnsi="仿宋_GB2312" w:cs="仿宋_GB2312" w:eastAsia="仿宋_GB2312"/>
                      <w:sz w:val="21"/>
                    </w:rPr>
                    <w:t>9.其它端口：1个RJ-45管理接口，位于机箱后部；2个USB 3.0接口位于机箱后部，机箱前部可选配2个USB3.0；1个VGA接口；</w:t>
                  </w:r>
                </w:p>
                <w:p>
                  <w:pPr>
                    <w:pStyle w:val="null3"/>
                    <w:spacing w:before="105" w:after="105"/>
                    <w:jc w:val="left"/>
                  </w:pPr>
                  <w:r>
                    <w:rPr>
                      <w:rFonts w:ascii="仿宋_GB2312" w:hAnsi="仿宋_GB2312" w:cs="仿宋_GB2312" w:eastAsia="仿宋_GB2312"/>
                      <w:sz w:val="21"/>
                    </w:rPr>
                    <w:t>10.船只识别：支持船只识别分析功能，对监控画面中航标船、采砂船、渔船、餐饮船进行有效识别像素识别区间：40-500；识别率≥95%；平均识别速度≤50毫秒／张；</w:t>
                  </w:r>
                </w:p>
                <w:p>
                  <w:pPr>
                    <w:pStyle w:val="null3"/>
                    <w:spacing w:before="105" w:after="105"/>
                    <w:jc w:val="left"/>
                  </w:pPr>
                  <w:r>
                    <w:rPr>
                      <w:rFonts w:ascii="仿宋_GB2312" w:hAnsi="仿宋_GB2312" w:cs="仿宋_GB2312" w:eastAsia="仿宋_GB2312"/>
                      <w:sz w:val="21"/>
                    </w:rPr>
                    <w:t>11.支持钓鱼识别分析功能，对监控画面中的撒网、捕鱼、垂钓等行为进行有效识别：像素识别区间：40-500；准确率≥92%；精确率≥95%；召回率≥97%；平均准确率≥92%；</w:t>
                  </w:r>
                </w:p>
                <w:p>
                  <w:pPr>
                    <w:pStyle w:val="null3"/>
                    <w:spacing w:before="105" w:after="105"/>
                    <w:jc w:val="left"/>
                  </w:pPr>
                  <w:r>
                    <w:rPr>
                      <w:rFonts w:ascii="仿宋_GB2312" w:hAnsi="仿宋_GB2312" w:cs="仿宋_GB2312" w:eastAsia="仿宋_GB2312"/>
                      <w:sz w:val="21"/>
                    </w:rPr>
                    <w:t>12.支持在线算法升级；</w:t>
                  </w:r>
                </w:p>
                <w:p>
                  <w:pPr>
                    <w:pStyle w:val="null3"/>
                    <w:spacing w:before="105" w:after="105"/>
                    <w:jc w:val="left"/>
                  </w:pPr>
                  <w:r>
                    <w:rPr>
                      <w:rFonts w:ascii="仿宋_GB2312" w:hAnsi="仿宋_GB2312" w:cs="仿宋_GB2312" w:eastAsia="仿宋_GB2312"/>
                      <w:sz w:val="21"/>
                    </w:rPr>
                    <w:t>13.除以上技术参数与性能指标外，供应商所投产品还应满足财政部 工业和信息化部关于印发《通用服务器政府采购需求标准(2023年版)》的通知(财库(2023)33号)的附件“通用服务器政府采购需求标准（2023年版）"中全部加“*”指标要求。</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2</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Web应用服务器</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 xml:space="preserve">1.硬件规格：高度≥2U； </w:t>
                  </w:r>
                  <w:r>
                    <w:br/>
                  </w:r>
                  <w:r>
                    <w:rPr>
                      <w:rFonts w:ascii="仿宋_GB2312" w:hAnsi="仿宋_GB2312" w:cs="仿宋_GB2312" w:eastAsia="仿宋_GB2312"/>
                      <w:sz w:val="20"/>
                    </w:rPr>
                    <w:t xml:space="preserve">2.处理器性能：配置≥2颗，单颗性能≥16核/32线程，基础频率≥3.0GHz； </w:t>
                  </w:r>
                  <w:r>
                    <w:br/>
                  </w:r>
                  <w:r>
                    <w:rPr>
                      <w:rFonts w:ascii="仿宋_GB2312" w:hAnsi="仿宋_GB2312" w:cs="仿宋_GB2312" w:eastAsia="仿宋_GB2312"/>
                      <w:sz w:val="20"/>
                    </w:rPr>
                    <w:t>3.内存：配置≥128 GB内存；</w:t>
                  </w:r>
                  <w:r>
                    <w:br/>
                  </w:r>
                  <w:r>
                    <w:rPr>
                      <w:rFonts w:ascii="仿宋_GB2312" w:hAnsi="仿宋_GB2312" w:cs="仿宋_GB2312" w:eastAsia="仿宋_GB2312"/>
                      <w:sz w:val="20"/>
                    </w:rPr>
                    <w:t>4.硬盘：配置≥2块8TB企业级固态盘作存储盘；</w:t>
                  </w:r>
                  <w:r>
                    <w:br/>
                  </w:r>
                  <w:r>
                    <w:rPr>
                      <w:rFonts w:ascii="仿宋_GB2312" w:hAnsi="仿宋_GB2312" w:cs="仿宋_GB2312" w:eastAsia="仿宋_GB2312"/>
                      <w:sz w:val="20"/>
                    </w:rPr>
                    <w:t>5.网卡：配置≥2块双口万兆网卡(含模块)；</w:t>
                  </w:r>
                  <w:r>
                    <w:br/>
                  </w:r>
                  <w:r>
                    <w:rPr>
                      <w:rFonts w:ascii="仿宋_GB2312" w:hAnsi="仿宋_GB2312" w:cs="仿宋_GB2312" w:eastAsia="仿宋_GB2312"/>
                      <w:sz w:val="20"/>
                    </w:rPr>
                    <w:t>6.电源：≥1+1冗余热插拔电源；</w:t>
                  </w:r>
                  <w:r>
                    <w:br/>
                  </w:r>
                  <w:r>
                    <w:rPr>
                      <w:rFonts w:ascii="仿宋_GB2312" w:hAnsi="仿宋_GB2312" w:cs="仿宋_GB2312" w:eastAsia="仿宋_GB2312"/>
                      <w:sz w:val="20"/>
                    </w:rPr>
                    <w:t>7.配置滑轨；配置≥2个；</w:t>
                  </w:r>
                  <w:r>
                    <w:br/>
                  </w:r>
                  <w:r>
                    <w:rPr>
                      <w:rFonts w:ascii="仿宋_GB2312" w:hAnsi="仿宋_GB2312" w:cs="仿宋_GB2312" w:eastAsia="仿宋_GB2312"/>
                      <w:sz w:val="20"/>
                    </w:rPr>
                    <w:t>8.最大支持PCIE插槽数≥7个，支持PCIEx16。</w:t>
                  </w:r>
                </w:p>
                <w:p>
                  <w:pPr>
                    <w:pStyle w:val="null3"/>
                    <w:spacing w:before="105" w:after="105"/>
                    <w:jc w:val="left"/>
                  </w:pPr>
                  <w:r>
                    <w:rPr>
                      <w:rFonts w:ascii="仿宋_GB2312" w:hAnsi="仿宋_GB2312" w:cs="仿宋_GB2312" w:eastAsia="仿宋_GB2312"/>
                      <w:sz w:val="20"/>
                    </w:rPr>
                    <w:t>9.除以上技术参数与性能指标外，供应商所投产品还应满足财政部 工业和信息化部关于印发《通用服务器政府采购需求标准(2023年版)》的通知(财库(2023)33号)的附件“通用服务器政府采购需求标准（2023年版）"中全部加“*”指标要求。</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3</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数据存储服务器</w:t>
                  </w:r>
                  <w:r>
                    <w:rPr>
                      <w:rFonts w:ascii="仿宋_GB2312" w:hAnsi="仿宋_GB2312" w:cs="仿宋_GB2312" w:eastAsia="仿宋_GB2312"/>
                      <w:sz w:val="20"/>
                    </w:rPr>
                    <w:t>(含硬盘)</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1.采用2U ≥24盘位专业存储设备，内置≥24块8T硬盘；</w:t>
                  </w:r>
                  <w:r>
                    <w:br/>
                  </w:r>
                  <w:r>
                    <w:rPr>
                      <w:rFonts w:ascii="仿宋_GB2312" w:hAnsi="仿宋_GB2312" w:cs="仿宋_GB2312" w:eastAsia="仿宋_GB2312"/>
                      <w:sz w:val="20"/>
                    </w:rPr>
                    <w:t>2.≥64位多核处理器,≥8G内存，可扩展64G高速缓存；</w:t>
                  </w:r>
                  <w:r>
                    <w:br/>
                  </w:r>
                  <w:r>
                    <w:rPr>
                      <w:rFonts w:ascii="仿宋_GB2312" w:hAnsi="仿宋_GB2312" w:cs="仿宋_GB2312" w:eastAsia="仿宋_GB2312"/>
                      <w:sz w:val="20"/>
                    </w:rPr>
                    <w:t>3.具有≥4个千兆RJ45网络接口，支持扩展≥4个千兆RJ45网络接口；</w:t>
                  </w:r>
                  <w:r>
                    <w:br/>
                  </w:r>
                  <w:r>
                    <w:rPr>
                      <w:rFonts w:ascii="仿宋_GB2312" w:hAnsi="仿宋_GB2312" w:cs="仿宋_GB2312" w:eastAsia="仿宋_GB2312"/>
                      <w:sz w:val="20"/>
                    </w:rPr>
                    <w:t>4.支持≥320路H.264/H.265混合接入，网络带宽≥800Mbps接入，≥800Mbps存储，≥800Mbps转发；</w:t>
                  </w:r>
                  <w:r>
                    <w:br/>
                  </w:r>
                  <w:r>
                    <w:rPr>
                      <w:rFonts w:ascii="仿宋_GB2312" w:hAnsi="仿宋_GB2312" w:cs="仿宋_GB2312" w:eastAsia="仿宋_GB2312"/>
                      <w:sz w:val="20"/>
                    </w:rPr>
                    <w:t>5.可配合智能前端摄像头，实现结构化告警、周界告警、入户电梯告警多种报警事件、图片透传平台;</w:t>
                  </w:r>
                  <w:r>
                    <w:br/>
                  </w:r>
                  <w:r>
                    <w:rPr>
                      <w:rFonts w:ascii="仿宋_GB2312" w:hAnsi="仿宋_GB2312" w:cs="仿宋_GB2312" w:eastAsia="仿宋_GB2312"/>
                      <w:sz w:val="20"/>
                    </w:rPr>
                    <w:t>6.可通过ONVIF、</w:t>
                  </w:r>
                  <w:r>
                    <w:rPr>
                      <w:rFonts w:ascii="仿宋_GB2312" w:hAnsi="仿宋_GB2312" w:cs="仿宋_GB2312" w:eastAsia="仿宋_GB2312"/>
                      <w:sz w:val="21"/>
                    </w:rPr>
                    <w:t>GB/T 28181-2022</w:t>
                  </w:r>
                  <w:r>
                    <w:rPr>
                      <w:rFonts w:ascii="仿宋_GB2312" w:hAnsi="仿宋_GB2312" w:cs="仿宋_GB2312" w:eastAsia="仿宋_GB2312"/>
                      <w:sz w:val="20"/>
                    </w:rPr>
                    <w:t>、</w:t>
                  </w:r>
                  <w:r>
                    <w:rPr>
                      <w:rFonts w:ascii="仿宋_GB2312" w:hAnsi="仿宋_GB2312" w:cs="仿宋_GB2312" w:eastAsia="仿宋_GB2312"/>
                      <w:sz w:val="20"/>
                    </w:rPr>
                    <w:t>RTSP、视图库、主动注册协议管理不同厂家前端摄像头，实现视频存储；支持通过IPSAN、NAS(Samba、FTP、NFS)、视频直存模式访问存储资源；</w:t>
                  </w:r>
                  <w:r>
                    <w:br/>
                  </w:r>
                  <w:r>
                    <w:rPr>
                      <w:rFonts w:ascii="仿宋_GB2312" w:hAnsi="仿宋_GB2312" w:cs="仿宋_GB2312" w:eastAsia="仿宋_GB2312"/>
                      <w:sz w:val="20"/>
                    </w:rPr>
                    <w:t>7.支持硬盘错误灯提示功能。当系统检查到硬盘损坏、坏块太多、读写大量异常或者无法获取硬盘信息问题，硬盘会被定义为错误盘，通过用户界面硬盘位标识为红色，硬件上硬盘灯也显示为红色长亮；</w:t>
                  </w:r>
                  <w:r>
                    <w:br/>
                  </w:r>
                  <w:r>
                    <w:rPr>
                      <w:rFonts w:ascii="仿宋_GB2312" w:hAnsi="仿宋_GB2312" w:cs="仿宋_GB2312" w:eastAsia="仿宋_GB2312"/>
                      <w:sz w:val="20"/>
                    </w:rPr>
                    <w:t>8.支持N+M集群模式，可实现单台或多台设备故障时，故障设备业务自动迁移到其他健康设备上，保障业务不中断；</w:t>
                  </w:r>
                </w:p>
                <w:p>
                  <w:pPr>
                    <w:pStyle w:val="null3"/>
                    <w:spacing w:before="105" w:after="105"/>
                    <w:jc w:val="left"/>
                  </w:pPr>
                  <w:r>
                    <w:rPr>
                      <w:rFonts w:ascii="仿宋_GB2312" w:hAnsi="仿宋_GB2312" w:cs="仿宋_GB2312" w:eastAsia="仿宋_GB2312"/>
                      <w:sz w:val="20"/>
                    </w:rPr>
                    <w:t>9.支持关键录像加锁，确保不被循环覆盖；</w:t>
                  </w:r>
                  <w:r>
                    <w:br/>
                  </w:r>
                  <w:r>
                    <w:rPr>
                      <w:rFonts w:ascii="仿宋_GB2312" w:hAnsi="仿宋_GB2312" w:cs="仿宋_GB2312" w:eastAsia="仿宋_GB2312"/>
                      <w:sz w:val="20"/>
                    </w:rPr>
                    <w:t>10.支持RAID0/1/5/6/10/50/60，SRAID，支持全局热备和局部热备盘；</w:t>
                  </w:r>
                  <w:r>
                    <w:br/>
                  </w:r>
                  <w:r>
                    <w:rPr>
                      <w:rFonts w:ascii="仿宋_GB2312" w:hAnsi="仿宋_GB2312" w:cs="仿宋_GB2312" w:eastAsia="仿宋_GB2312"/>
                      <w:sz w:val="20"/>
                    </w:rPr>
                    <w:t>11.支持任意N台设备(N≥2)通过SAS数据线组成环状结构集群，设备集群之间数据能够通过环状结构进行传递和通信，其中任意1台设备都可以访问其下游设备中的数据；</w:t>
                  </w:r>
                </w:p>
                <w:p>
                  <w:pPr>
                    <w:pStyle w:val="null3"/>
                    <w:spacing w:before="105" w:after="105"/>
                    <w:jc w:val="left"/>
                  </w:pPr>
                  <w:r>
                    <w:rPr>
                      <w:rFonts w:ascii="仿宋_GB2312" w:hAnsi="仿宋_GB2312" w:cs="仿宋_GB2312" w:eastAsia="仿宋_GB2312"/>
                      <w:sz w:val="20"/>
                    </w:rPr>
                    <w:t>12.设备具备≥4个2.5G数据网口，≥1个HDMI接口，具有定位灯、报警灯、网络状态灯、系统盘状态灯、硬盘状态灯，机箱具备防尘滤网，采用双立柱防震设计，设备左右侧面各有不少于2个抬手，具备前面板抽拉标签卡；</w:t>
                  </w:r>
                </w:p>
                <w:p>
                  <w:pPr>
                    <w:pStyle w:val="null3"/>
                    <w:spacing w:before="105" w:after="105"/>
                    <w:jc w:val="left"/>
                  </w:pPr>
                  <w:r>
                    <w:rPr>
                      <w:rFonts w:ascii="仿宋_GB2312" w:hAnsi="仿宋_GB2312" w:cs="仿宋_GB2312" w:eastAsia="仿宋_GB2312"/>
                      <w:sz w:val="20"/>
                    </w:rPr>
                    <w:t>13.每个控制单元支持双系统应用，当主系统出现故障时，备用系统可接管工作，外置系统盘支持RAID1模式，系统盘支持热插拔，支持系统盘为独立的2块HDD(SATA、SAS)或SSD盘，组成RAID1；</w:t>
                  </w:r>
                </w:p>
                <w:p>
                  <w:pPr>
                    <w:pStyle w:val="null3"/>
                    <w:spacing w:before="105" w:after="105"/>
                    <w:jc w:val="left"/>
                  </w:pPr>
                  <w:r>
                    <w:rPr>
                      <w:rFonts w:ascii="仿宋_GB2312" w:hAnsi="仿宋_GB2312" w:cs="仿宋_GB2312" w:eastAsia="仿宋_GB2312"/>
                      <w:sz w:val="20"/>
                    </w:rPr>
                    <w:t>14.支持病毒感知与评估，针对被攻击的主机提供日志和病毒样本，内置病毒检测引擎和不少于百万级病毒特征库；</w:t>
                  </w:r>
                </w:p>
                <w:p>
                  <w:pPr>
                    <w:pStyle w:val="null3"/>
                    <w:spacing w:before="105" w:after="105"/>
                    <w:jc w:val="left"/>
                  </w:pPr>
                  <w:r>
                    <w:rPr>
                      <w:rFonts w:ascii="仿宋_GB2312" w:hAnsi="仿宋_GB2312" w:cs="仿宋_GB2312" w:eastAsia="仿宋_GB2312"/>
                      <w:sz w:val="20"/>
                    </w:rPr>
                    <w:t>15.支持指定归档路径，实时流需支持同时录像和归档，归档的数据需支持使用通用播放器播放，归档路径需支持多级目录管理模式及配置不同权限，需支持视频、图片、文件归档；</w:t>
                  </w:r>
                </w:p>
                <w:p>
                  <w:pPr>
                    <w:pStyle w:val="null3"/>
                    <w:spacing w:before="105" w:after="105"/>
                    <w:jc w:val="left"/>
                  </w:pPr>
                  <w:r>
                    <w:rPr>
                      <w:rFonts w:ascii="仿宋_GB2312" w:hAnsi="仿宋_GB2312" w:cs="仿宋_GB2312" w:eastAsia="仿宋_GB2312"/>
                      <w:sz w:val="20"/>
                    </w:rPr>
                    <w:t>16.支持双激活模式下同时录像，组网后需以唯一IP接入，当一台设备出现异常后另一台设备需支持接管且录像不丢失、业务不中断，当异常设备故障恢复之后，数据需支持同步回迁；</w:t>
                  </w:r>
                </w:p>
                <w:p>
                  <w:pPr>
                    <w:pStyle w:val="null3"/>
                    <w:spacing w:before="105" w:after="105"/>
                    <w:jc w:val="left"/>
                  </w:pPr>
                  <w:r>
                    <w:rPr>
                      <w:rFonts w:ascii="仿宋_GB2312" w:hAnsi="仿宋_GB2312" w:cs="仿宋_GB2312" w:eastAsia="仿宋_GB2312"/>
                      <w:sz w:val="20"/>
                    </w:rPr>
                    <w:t>17.支持监管并同步实时展示存储主机状态，包括但不限于系统、硬盘、环控、报警、保养灯，需支持展示和统计主机的在离线状态，对于在线设备需支持同步显示和统计连接异常、警告，需支持主机状态报告的管理和下载，支持手动下载及策略下载，需支持配置包括但不限于每天、每三天、每周、每月的下载周期；</w:t>
                  </w:r>
                </w:p>
                <w:p>
                  <w:pPr>
                    <w:pStyle w:val="null3"/>
                    <w:spacing w:before="105" w:after="105"/>
                    <w:jc w:val="left"/>
                  </w:pPr>
                  <w:r>
                    <w:rPr>
                      <w:rFonts w:ascii="仿宋_GB2312" w:hAnsi="仿宋_GB2312" w:cs="仿宋_GB2312" w:eastAsia="仿宋_GB2312"/>
                      <w:sz w:val="20"/>
                    </w:rPr>
                    <w:t>18.支持向导型快速配置，在配置前期对主机进行包括但不限于物理环境、域环境、平台环境扫描并提示包括但不限于硬盘数量异常、docker服务异常、镜像异常情况；</w:t>
                  </w:r>
                </w:p>
                <w:p>
                  <w:pPr>
                    <w:pStyle w:val="null3"/>
                    <w:spacing w:before="105" w:after="105"/>
                    <w:jc w:val="left"/>
                  </w:pPr>
                  <w:r>
                    <w:rPr>
                      <w:rFonts w:ascii="仿宋_GB2312" w:hAnsi="仿宋_GB2312" w:cs="仿宋_GB2312" w:eastAsia="仿宋_GB2312"/>
                      <w:sz w:val="20"/>
                    </w:rPr>
                    <w:t>19.除以上技术参数与性能指标外，供应商所投产品还应满足财政部 工业和信息化部关于印发《通用服务器政府采购需求标准(2023年版)》的通知(财库(2023)33号)的附件“通用服务器政府采购需求标准（2023年版）"中全部加“*”指标要求。</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4</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防火墙</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1.网络层吞吐量≥3Gbps；IPS吞吐量≥2.8bps；AV吞吐量≥2Gbps；IPSec吞吐量≥1.5Gbps；IPSec 隧道数≥2000；并发连接数≥50万；每秒新建连接数≥3.8万；</w:t>
                  </w:r>
                </w:p>
                <w:p>
                  <w:pPr>
                    <w:pStyle w:val="null3"/>
                    <w:spacing w:before="105" w:after="105"/>
                    <w:jc w:val="left"/>
                  </w:pPr>
                  <w:r>
                    <w:rPr>
                      <w:rFonts w:ascii="仿宋_GB2312" w:hAnsi="仿宋_GB2312" w:cs="仿宋_GB2312" w:eastAsia="仿宋_GB2312"/>
                      <w:sz w:val="20"/>
                    </w:rPr>
                    <w:t>2.桌面型机箱，配置≥8个千兆电口(含一对Bypass接口)；≥1个CON口，≥1个MGT口；≥2个USB3.0口；交流单电源；桌面型机箱；</w:t>
                  </w:r>
                </w:p>
                <w:p>
                  <w:pPr>
                    <w:pStyle w:val="null3"/>
                    <w:spacing w:before="105" w:after="105"/>
                    <w:jc w:val="left"/>
                  </w:pPr>
                  <w:r>
                    <w:rPr>
                      <w:rFonts w:ascii="仿宋_GB2312" w:hAnsi="仿宋_GB2312" w:cs="仿宋_GB2312" w:eastAsia="仿宋_GB2312"/>
                      <w:sz w:val="20"/>
                    </w:rPr>
                    <w:t>3.支持GB/T 28181-2022协议准入、GB</w:t>
                  </w:r>
                  <w:r>
                    <w:rPr>
                      <w:rFonts w:ascii="仿宋_GB2312" w:hAnsi="仿宋_GB2312" w:cs="仿宋_GB2312" w:eastAsia="仿宋_GB2312"/>
                      <w:sz w:val="24"/>
                    </w:rPr>
                    <w:t xml:space="preserve"> </w:t>
                  </w:r>
                  <w:r>
                    <w:rPr>
                      <w:rFonts w:ascii="仿宋_GB2312" w:hAnsi="仿宋_GB2312" w:cs="仿宋_GB2312" w:eastAsia="仿宋_GB2312"/>
                      <w:sz w:val="20"/>
                    </w:rPr>
                    <w:t>35114-2017协议准入、支持RTSP协议准入、支持SIP协议准入、支持ONVIF协议准入、支持HIKSDK协议准入、支持DAHUASDK协议准入、支持SSH协议准入、支持GA/T</w:t>
                  </w:r>
                  <w:r>
                    <w:rPr>
                      <w:rFonts w:ascii="仿宋_GB2312" w:hAnsi="仿宋_GB2312" w:cs="仿宋_GB2312" w:eastAsia="仿宋_GB2312"/>
                      <w:sz w:val="24"/>
                    </w:rPr>
                    <w:t xml:space="preserve"> </w:t>
                  </w:r>
                  <w:r>
                    <w:rPr>
                      <w:rFonts w:ascii="仿宋_GB2312" w:hAnsi="仿宋_GB2312" w:cs="仿宋_GB2312" w:eastAsia="仿宋_GB2312"/>
                      <w:sz w:val="20"/>
                    </w:rPr>
                    <w:t>1400.2-2017协议准入控制；</w:t>
                  </w:r>
                </w:p>
                <w:p>
                  <w:pPr>
                    <w:pStyle w:val="null3"/>
                    <w:spacing w:before="105" w:after="105"/>
                    <w:jc w:val="left"/>
                  </w:pPr>
                  <w:r>
                    <w:rPr>
                      <w:rFonts w:ascii="仿宋_GB2312" w:hAnsi="仿宋_GB2312" w:cs="仿宋_GB2312" w:eastAsia="仿宋_GB2312"/>
                      <w:sz w:val="20"/>
                    </w:rPr>
                    <w:t>4.支持NAT扩展和端口复用，可实现NAT地址的单个端口上建立多条会话；</w:t>
                  </w:r>
                </w:p>
                <w:p>
                  <w:pPr>
                    <w:pStyle w:val="null3"/>
                    <w:spacing w:before="105" w:after="105"/>
                    <w:jc w:val="left"/>
                  </w:pPr>
                  <w:r>
                    <w:rPr>
                      <w:rFonts w:ascii="仿宋_GB2312" w:hAnsi="仿宋_GB2312" w:cs="仿宋_GB2312" w:eastAsia="仿宋_GB2312"/>
                      <w:sz w:val="20"/>
                    </w:rPr>
                    <w:t>5.支持SSL VPN客户端硬件特征码绑定认证，支持对登录的用户端系统进行端点安全检查，至少包括指定文件、指定进程、系统补丁、浏览器版本、杀毒软件等；</w:t>
                  </w:r>
                </w:p>
                <w:p>
                  <w:pPr>
                    <w:pStyle w:val="null3"/>
                    <w:spacing w:before="105" w:after="105"/>
                    <w:jc w:val="left"/>
                  </w:pPr>
                  <w:r>
                    <w:rPr>
                      <w:rFonts w:ascii="仿宋_GB2312" w:hAnsi="仿宋_GB2312" w:cs="仿宋_GB2312" w:eastAsia="仿宋_GB2312"/>
                      <w:sz w:val="20"/>
                    </w:rPr>
                    <w:t>6.支持入站SmartDNS,能自动判断访问者的IP地址并解析出对应的IP地址,提升网站访问速度；</w:t>
                  </w:r>
                </w:p>
                <w:p>
                  <w:pPr>
                    <w:pStyle w:val="null3"/>
                    <w:spacing w:before="105" w:after="105"/>
                    <w:jc w:val="left"/>
                  </w:pPr>
                  <w:r>
                    <w:rPr>
                      <w:rFonts w:ascii="仿宋_GB2312" w:hAnsi="仿宋_GB2312" w:cs="仿宋_GB2312" w:eastAsia="仿宋_GB2312"/>
                      <w:sz w:val="20"/>
                    </w:rPr>
                    <w:t>7.支持NetFlow技术，支持配置主动超时时间、源接口、模板刷新时间、数据包数量、企业字段等信息，实现对高速转发的IP数据流进行测量和统计；</w:t>
                  </w:r>
                </w:p>
                <w:p>
                  <w:pPr>
                    <w:pStyle w:val="null3"/>
                    <w:spacing w:before="105" w:after="105"/>
                    <w:jc w:val="left"/>
                  </w:pPr>
                  <w:r>
                    <w:rPr>
                      <w:rFonts w:ascii="仿宋_GB2312" w:hAnsi="仿宋_GB2312" w:cs="仿宋_GB2312" w:eastAsia="仿宋_GB2312"/>
                      <w:sz w:val="20"/>
                    </w:rPr>
                    <w:t>8.支持多层多级(两层八级)的流量层级，支持基于用户/用户组、应用、URL、ip地址、接口、安全域、VLAN、服务/服务组等对象进行带宽限制；</w:t>
                  </w:r>
                  <w:r>
                    <w:rPr>
                      <w:rFonts w:ascii="仿宋_GB2312" w:hAnsi="仿宋_GB2312" w:cs="仿宋_GB2312" w:eastAsia="仿宋_GB2312"/>
                      <w:sz w:val="20"/>
                      <w:b/>
                    </w:rPr>
                    <w:t>(供应商应在响应文件中提供所投产品功能界面截图)</w:t>
                  </w:r>
                </w:p>
                <w:p>
                  <w:pPr>
                    <w:pStyle w:val="null3"/>
                    <w:spacing w:before="105" w:after="105"/>
                    <w:jc w:val="left"/>
                  </w:pPr>
                  <w:r>
                    <w:rPr>
                      <w:rFonts w:ascii="仿宋_GB2312" w:hAnsi="仿宋_GB2312" w:cs="仿宋_GB2312" w:eastAsia="仿宋_GB2312"/>
                      <w:sz w:val="20"/>
                    </w:rPr>
                    <w:t>9.支持SSL VPN断开时自动清除cookie等隐私数据；</w:t>
                  </w:r>
                  <w:r>
                    <w:rPr>
                      <w:rFonts w:ascii="仿宋_GB2312" w:hAnsi="仿宋_GB2312" w:cs="仿宋_GB2312" w:eastAsia="仿宋_GB2312"/>
                      <w:sz w:val="20"/>
                      <w:b/>
                    </w:rPr>
                    <w:t>(供应商应在响应文件中提供所投产品功能界面截图)</w:t>
                  </w:r>
                </w:p>
                <w:p>
                  <w:pPr>
                    <w:pStyle w:val="null3"/>
                    <w:spacing w:before="105" w:after="105"/>
                    <w:jc w:val="left"/>
                  </w:pPr>
                  <w:r>
                    <w:rPr>
                      <w:rFonts w:ascii="仿宋_GB2312" w:hAnsi="仿宋_GB2312" w:cs="仿宋_GB2312" w:eastAsia="仿宋_GB2312"/>
                      <w:sz w:val="20"/>
                    </w:rPr>
                    <w:t>10.支持抓取原始数据包，查看网络威胁详情及分析取证；</w:t>
                  </w:r>
                </w:p>
                <w:p>
                  <w:pPr>
                    <w:pStyle w:val="null3"/>
                    <w:spacing w:before="105" w:after="105"/>
                    <w:jc w:val="left"/>
                  </w:pPr>
                  <w:r>
                    <w:rPr>
                      <w:rFonts w:ascii="仿宋_GB2312" w:hAnsi="仿宋_GB2312" w:cs="仿宋_GB2312" w:eastAsia="仿宋_GB2312"/>
                      <w:sz w:val="20"/>
                    </w:rPr>
                    <w:t>11.支持冗余策略检测，支持策略时间表有效性检测，并支持提供策略优化建议；</w:t>
                  </w:r>
                </w:p>
                <w:p>
                  <w:pPr>
                    <w:pStyle w:val="null3"/>
                    <w:spacing w:before="105" w:after="105"/>
                    <w:jc w:val="left"/>
                  </w:pPr>
                  <w:r>
                    <w:rPr>
                      <w:rFonts w:ascii="仿宋_GB2312" w:hAnsi="仿宋_GB2312" w:cs="仿宋_GB2312" w:eastAsia="仿宋_GB2312"/>
                      <w:sz w:val="20"/>
                    </w:rPr>
                    <w:t>12.支持SSL加密应用流量识别和基于SSL解密的URL过滤；</w:t>
                  </w:r>
                </w:p>
                <w:p>
                  <w:pPr>
                    <w:pStyle w:val="null3"/>
                    <w:spacing w:before="105" w:after="105"/>
                    <w:jc w:val="left"/>
                  </w:pPr>
                  <w:r>
                    <w:rPr>
                      <w:rFonts w:ascii="仿宋_GB2312" w:hAnsi="仿宋_GB2312" w:cs="仿宋_GB2312" w:eastAsia="仿宋_GB2312"/>
                      <w:sz w:val="20"/>
                    </w:rPr>
                    <w:t>13.支持防止共享上网功能，可识别共享上网终端的数量；</w:t>
                  </w:r>
                </w:p>
                <w:p>
                  <w:pPr>
                    <w:pStyle w:val="null3"/>
                    <w:spacing w:before="105" w:after="105"/>
                    <w:jc w:val="left"/>
                  </w:pPr>
                  <w:r>
                    <w:rPr>
                      <w:rFonts w:ascii="仿宋_GB2312" w:hAnsi="仿宋_GB2312" w:cs="仿宋_GB2312" w:eastAsia="仿宋_GB2312"/>
                      <w:sz w:val="20"/>
                    </w:rPr>
                    <w:t>14.支持IPSec VPN通过预共享密钥、数字证书认证、XAuth扩展认证方式建立隧道；</w:t>
                  </w:r>
                </w:p>
                <w:p>
                  <w:pPr>
                    <w:pStyle w:val="null3"/>
                    <w:spacing w:before="105" w:after="105"/>
                    <w:jc w:val="left"/>
                  </w:pPr>
                  <w:r>
                    <w:rPr>
                      <w:rFonts w:ascii="仿宋_GB2312" w:hAnsi="仿宋_GB2312" w:cs="仿宋_GB2312" w:eastAsia="仿宋_GB2312"/>
                      <w:sz w:val="20"/>
                    </w:rPr>
                    <w:t>15.支持负载均衡功能，能根据安全策略将网络流量均衡到多台服务器上；</w:t>
                  </w:r>
                </w:p>
                <w:p>
                  <w:pPr>
                    <w:pStyle w:val="null3"/>
                    <w:spacing w:before="105" w:after="105"/>
                    <w:jc w:val="left"/>
                  </w:pPr>
                  <w:r>
                    <w:rPr>
                      <w:rFonts w:ascii="仿宋_GB2312" w:hAnsi="仿宋_GB2312" w:cs="仿宋_GB2312" w:eastAsia="仿宋_GB2312"/>
                      <w:sz w:val="20"/>
                    </w:rPr>
                    <w:t>16.支持路由转发模式，其安全策略生效；支持透明传输模式，其安全策略生效；</w:t>
                  </w:r>
                </w:p>
                <w:p>
                  <w:pPr>
                    <w:pStyle w:val="null3"/>
                    <w:spacing w:before="105" w:after="105"/>
                    <w:jc w:val="left"/>
                  </w:pPr>
                  <w:r>
                    <w:rPr>
                      <w:rFonts w:ascii="仿宋_GB2312" w:hAnsi="仿宋_GB2312" w:cs="仿宋_GB2312" w:eastAsia="仿宋_GB2312"/>
                      <w:sz w:val="20"/>
                    </w:rPr>
                    <w:t>17.支持基于源、目的IP策略路由；支持基于接口的策略路由；支持基于协议和端口的策略路由；支持基于应用类型的策略路由；</w:t>
                  </w:r>
                </w:p>
                <w:p>
                  <w:pPr>
                    <w:pStyle w:val="null3"/>
                    <w:spacing w:before="105" w:after="105"/>
                    <w:jc w:val="left"/>
                  </w:pPr>
                  <w:r>
                    <w:rPr>
                      <w:rFonts w:ascii="仿宋_GB2312" w:hAnsi="仿宋_GB2312" w:cs="仿宋_GB2312" w:eastAsia="仿宋_GB2312"/>
                      <w:sz w:val="20"/>
                    </w:rPr>
                    <w:t>18.支持“多对一”的SNAT；支持“一对多”的DNAT；支持“多对多”的动态SNAT；</w:t>
                  </w:r>
                </w:p>
                <w:p>
                  <w:pPr>
                    <w:pStyle w:val="null3"/>
                    <w:spacing w:before="105" w:after="105"/>
                    <w:jc w:val="left"/>
                  </w:pPr>
                  <w:r>
                    <w:rPr>
                      <w:rFonts w:ascii="仿宋_GB2312" w:hAnsi="仿宋_GB2312" w:cs="仿宋_GB2312" w:eastAsia="仿宋_GB2312"/>
                      <w:sz w:val="20"/>
                    </w:rPr>
                    <w:t>19.根据《关于调整网络安全专用产品安全管理有关事项的公告》，自2023年7月1日起，列入《网络关键设备和网络安全专用产品目录》的网络安全专用产品应当按照《信息安全技术网络安全专用产品安全技术要求》等相关国家标准的强制性要求，由具备资格的机构安全认证合格或者安全检测符合要求后，方可销售或者提供。本采购标的为列入《网络关键设备和网络安全专用产品目录》的网络安全专用产品，按照《信息安全技术网络安全专用产品安全技术要求》等相关国家标准的强制性要求，供应商应在响应文件中提供由具备资格的机构(具备资格的机构是指列入《承担网络关键设备和网络安全专用产品安全认证和安全检测任务机构名录》的机构)出具的安全认证合格或者安全检测符合要求的证明材料或此前已取得且在有效期内的《计算机信息系统安全专用产品销售许可证》</w:t>
                  </w:r>
                  <w:r>
                    <w:rPr>
                      <w:rFonts w:ascii="仿宋_GB2312" w:hAnsi="仿宋_GB2312" w:cs="仿宋_GB2312" w:eastAsia="仿宋_GB2312"/>
                      <w:sz w:val="20"/>
                    </w:rPr>
                    <w:t>扫描</w:t>
                  </w:r>
                  <w:r>
                    <w:rPr>
                      <w:rFonts w:ascii="仿宋_GB2312" w:hAnsi="仿宋_GB2312" w:cs="仿宋_GB2312" w:eastAsia="仿宋_GB2312"/>
                      <w:sz w:val="20"/>
                    </w:rPr>
                    <w:t>件。</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5</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核心交换机</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全网管三层交换机，交换容量：≥758Gbps/7.58Tbps，包转发率：≥222Mpps/396Mpps，≥24个10/100/1000Base-T自适应以太网端口(含8Combo口)，≥4个1/10GESFP+口，工作温度：0℃～45℃，支持交直流供电。支持RIP/OSPF/BGP/IS-IS/VRRP，IPv6，VLAN，流量控制，ACL，QoS，端口镜像，环网RRPP/ERPS、支持SNMPV1/V2c/V3网管。</w:t>
                  </w:r>
                </w:p>
                <w:p>
                  <w:pPr>
                    <w:pStyle w:val="null3"/>
                    <w:spacing w:before="105" w:after="105"/>
                    <w:jc w:val="left"/>
                  </w:pPr>
                  <w:r>
                    <w:rPr>
                      <w:rFonts w:ascii="仿宋_GB2312" w:hAnsi="仿宋_GB2312" w:cs="仿宋_GB2312" w:eastAsia="仿宋_GB2312"/>
                      <w:sz w:val="20"/>
                    </w:rPr>
                    <w:t>2.所投产品具有工信部颁发的《电信设备进网许可证》</w:t>
                  </w:r>
                  <w:r>
                    <w:rPr>
                      <w:rFonts w:ascii="仿宋_GB2312" w:hAnsi="仿宋_GB2312" w:cs="仿宋_GB2312" w:eastAsia="仿宋_GB2312"/>
                      <w:sz w:val="20"/>
                      <w:b/>
                    </w:rPr>
                    <w:t>(供应商应在响应文件中提供有效的证书</w:t>
                  </w:r>
                  <w:r>
                    <w:rPr>
                      <w:rFonts w:ascii="仿宋_GB2312" w:hAnsi="仿宋_GB2312" w:cs="仿宋_GB2312" w:eastAsia="仿宋_GB2312"/>
                      <w:sz w:val="20"/>
                      <w:b/>
                    </w:rPr>
                    <w:t>扫描</w:t>
                  </w:r>
                  <w:r>
                    <w:rPr>
                      <w:rFonts w:ascii="仿宋_GB2312" w:hAnsi="仿宋_GB2312" w:cs="仿宋_GB2312" w:eastAsia="仿宋_GB2312"/>
                      <w:sz w:val="20"/>
                      <w:b/>
                    </w:rPr>
                    <w:t>件</w:t>
                  </w:r>
                  <w:r>
                    <w:rPr>
                      <w:rFonts w:ascii="仿宋_GB2312" w:hAnsi="仿宋_GB2312" w:cs="仿宋_GB2312" w:eastAsia="仿宋_GB2312"/>
                      <w:sz w:val="20"/>
                      <w:b/>
                    </w:rPr>
                    <w:t>)</w:t>
                  </w:r>
                  <w:r>
                    <w:rPr>
                      <w:rFonts w:ascii="仿宋_GB2312" w:hAnsi="仿宋_GB2312" w:cs="仿宋_GB2312" w:eastAsia="仿宋_GB2312"/>
                      <w:sz w:val="20"/>
                    </w:rPr>
                    <w:t>。</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6</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接入交换机</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1.48口千兆全网管二层交换机，交换容量≥672Gbps/6.72Tbps，包转发率≥166Mpps，≥48个10/100/1000BASE-T以太网端口，≥6个千兆SFP口。存储转发：全双工/半双工自适应。</w:t>
                  </w:r>
                </w:p>
                <w:p>
                  <w:pPr>
                    <w:pStyle w:val="null3"/>
                    <w:spacing w:before="105" w:after="105"/>
                    <w:jc w:val="left"/>
                  </w:pPr>
                  <w:r>
                    <w:rPr>
                      <w:rFonts w:ascii="仿宋_GB2312" w:hAnsi="仿宋_GB2312" w:cs="仿宋_GB2312" w:eastAsia="仿宋_GB2312"/>
                      <w:sz w:val="20"/>
                    </w:rPr>
                    <w:t>2.所投产品具有工信部颁发的《电信设备进网许可证》</w:t>
                  </w:r>
                  <w:r>
                    <w:rPr>
                      <w:rFonts w:ascii="仿宋_GB2312" w:hAnsi="仿宋_GB2312" w:cs="仿宋_GB2312" w:eastAsia="仿宋_GB2312"/>
                      <w:sz w:val="20"/>
                      <w:b/>
                    </w:rPr>
                    <w:t>(供应商应在响应文件中提供有效的证书</w:t>
                  </w:r>
                  <w:r>
                    <w:rPr>
                      <w:rFonts w:ascii="仿宋_GB2312" w:hAnsi="仿宋_GB2312" w:cs="仿宋_GB2312" w:eastAsia="仿宋_GB2312"/>
                      <w:sz w:val="20"/>
                      <w:b/>
                    </w:rPr>
                    <w:t>扫描</w:t>
                  </w:r>
                  <w:r>
                    <w:rPr>
                      <w:rFonts w:ascii="仿宋_GB2312" w:hAnsi="仿宋_GB2312" w:cs="仿宋_GB2312" w:eastAsia="仿宋_GB2312"/>
                      <w:sz w:val="20"/>
                      <w:b/>
                    </w:rPr>
                    <w:t>件</w:t>
                  </w:r>
                  <w:r>
                    <w:rPr>
                      <w:rFonts w:ascii="仿宋_GB2312" w:hAnsi="仿宋_GB2312" w:cs="仿宋_GB2312" w:eastAsia="仿宋_GB2312"/>
                      <w:sz w:val="20"/>
                      <w:b/>
                    </w:rPr>
                    <w:t>)。</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7</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电源管理主机</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1.主机容量为10KVA，在线式主机，最大输出功率≥8KW，LCD显示，采用DSP控制技术；</w:t>
                  </w:r>
                  <w:r>
                    <w:br/>
                  </w:r>
                  <w:r>
                    <w:rPr>
                      <w:rFonts w:ascii="仿宋_GB2312" w:hAnsi="仿宋_GB2312" w:cs="仿宋_GB2312" w:eastAsia="仿宋_GB2312"/>
                      <w:sz w:val="20"/>
                    </w:rPr>
                    <w:t>2.UPS直流电压≥192V，16节电池一组；</w:t>
                  </w:r>
                  <w:r>
                    <w:br/>
                  </w:r>
                  <w:r>
                    <w:rPr>
                      <w:rFonts w:ascii="仿宋_GB2312" w:hAnsi="仿宋_GB2312" w:cs="仿宋_GB2312" w:eastAsia="仿宋_GB2312"/>
                      <w:sz w:val="20"/>
                    </w:rPr>
                    <w:t>3.UPS主机具备内置的静态旁路，当UPS发生故障后，能自动转换由UPS内部的旁路供电；</w:t>
                  </w:r>
                  <w:r>
                    <w:br/>
                  </w:r>
                  <w:r>
                    <w:rPr>
                      <w:rFonts w:ascii="仿宋_GB2312" w:hAnsi="仿宋_GB2312" w:cs="仿宋_GB2312" w:eastAsia="仿宋_GB2312"/>
                      <w:sz w:val="20"/>
                    </w:rPr>
                    <w:t>4.UPS主机的输入：</w:t>
                  </w:r>
                  <w:r>
                    <w:br/>
                  </w:r>
                  <w:r>
                    <w:rPr>
                      <w:rFonts w:ascii="仿宋_GB2312" w:hAnsi="仿宋_GB2312" w:cs="仿宋_GB2312" w:eastAsia="仿宋_GB2312"/>
                      <w:sz w:val="20"/>
                    </w:rPr>
                    <w:t>(1)输入电压范围：具备超宽的输入电压范围，以适应恶劣电网条件，110VAC-300VAC；</w:t>
                  </w:r>
                  <w:r>
                    <w:br/>
                  </w:r>
                  <w:r>
                    <w:rPr>
                      <w:rFonts w:ascii="仿宋_GB2312" w:hAnsi="仿宋_GB2312" w:cs="仿宋_GB2312" w:eastAsia="仿宋_GB2312"/>
                      <w:sz w:val="20"/>
                    </w:rPr>
                    <w:t>(2)输入频率范围：46-54HZ；</w:t>
                  </w:r>
                  <w:r>
                    <w:br/>
                  </w:r>
                  <w:r>
                    <w:rPr>
                      <w:rFonts w:ascii="仿宋_GB2312" w:hAnsi="仿宋_GB2312" w:cs="仿宋_GB2312" w:eastAsia="仿宋_GB2312"/>
                      <w:sz w:val="20"/>
                    </w:rPr>
                    <w:t>(3)输入功率因数≥0.99(100%负载)；</w:t>
                  </w:r>
                  <w:r>
                    <w:br/>
                  </w:r>
                  <w:r>
                    <w:rPr>
                      <w:rFonts w:ascii="仿宋_GB2312" w:hAnsi="仿宋_GB2312" w:cs="仿宋_GB2312" w:eastAsia="仿宋_GB2312"/>
                      <w:sz w:val="20"/>
                    </w:rPr>
                    <w:t>5.UPS输出：正弦波；</w:t>
                  </w:r>
                  <w:r>
                    <w:br/>
                  </w:r>
                  <w:r>
                    <w:rPr>
                      <w:rFonts w:ascii="仿宋_GB2312" w:hAnsi="仿宋_GB2312" w:cs="仿宋_GB2312" w:eastAsia="仿宋_GB2312"/>
                      <w:sz w:val="20"/>
                    </w:rPr>
                    <w:t>(1)输出电压范围：220*(1±2%)V；</w:t>
                  </w:r>
                  <w:r>
                    <w:br/>
                  </w:r>
                  <w:r>
                    <w:rPr>
                      <w:rFonts w:ascii="仿宋_GB2312" w:hAnsi="仿宋_GB2312" w:cs="仿宋_GB2312" w:eastAsia="仿宋_GB2312"/>
                      <w:sz w:val="20"/>
                    </w:rPr>
                    <w:t>(2)输出功率因素：≥0.8；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8</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UPS电池柜</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1.尺寸：≥宽480mm*深790mm*高1190mm；</w:t>
                  </w:r>
                </w:p>
                <w:p>
                  <w:pPr>
                    <w:pStyle w:val="null3"/>
                    <w:spacing w:before="105" w:after="105"/>
                    <w:jc w:val="left"/>
                  </w:pPr>
                  <w:r>
                    <w:rPr>
                      <w:rFonts w:ascii="仿宋_GB2312" w:hAnsi="仿宋_GB2312" w:cs="仿宋_GB2312" w:eastAsia="仿宋_GB2312"/>
                      <w:sz w:val="20"/>
                    </w:rPr>
                    <w:t>2.厚度：≥0.8mm；</w:t>
                  </w:r>
                </w:p>
                <w:p>
                  <w:pPr>
                    <w:pStyle w:val="null3"/>
                    <w:spacing w:before="105" w:after="105"/>
                    <w:jc w:val="left"/>
                  </w:pPr>
                  <w:r>
                    <w:rPr>
                      <w:rFonts w:ascii="仿宋_GB2312" w:hAnsi="仿宋_GB2312" w:cs="仿宋_GB2312" w:eastAsia="仿宋_GB2312"/>
                      <w:sz w:val="20"/>
                    </w:rPr>
                    <w:t>3.材质:采用冷轧钢板，镀锌矩管；</w:t>
                  </w:r>
                </w:p>
                <w:p>
                  <w:pPr>
                    <w:pStyle w:val="null3"/>
                    <w:spacing w:before="105" w:after="105"/>
                    <w:jc w:val="left"/>
                  </w:pPr>
                  <w:r>
                    <w:rPr>
                      <w:rFonts w:ascii="仿宋_GB2312" w:hAnsi="仿宋_GB2312" w:cs="仿宋_GB2312" w:eastAsia="仿宋_GB2312"/>
                      <w:sz w:val="20"/>
                    </w:rPr>
                    <w:t>4.工艺:表面酸洗，磷化，除锈，静电喷塑防腐蚀等。</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9</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蓄电池</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1.额定电压12V、容量≥100AH，为保证后备时间要求配置数量不少于16只，足容量原装正品电池，严禁贴牌或OEM；</w:t>
                  </w:r>
                  <w:r>
                    <w:br/>
                  </w:r>
                  <w:r>
                    <w:rPr>
                      <w:rFonts w:ascii="仿宋_GB2312" w:hAnsi="仿宋_GB2312" w:cs="仿宋_GB2312" w:eastAsia="仿宋_GB2312"/>
                      <w:sz w:val="20"/>
                    </w:rPr>
                    <w:t>2.蓄电池在25摄氏度环境下寿命不小于5年；</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支</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1"/>
                    </w:rPr>
                    <w:t>10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标准机柜</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1.含托盘，风扇，PDU；</w:t>
                  </w:r>
                  <w:r>
                    <w:br/>
                  </w:r>
                  <w:r>
                    <w:rPr>
                      <w:rFonts w:ascii="仿宋_GB2312" w:hAnsi="仿宋_GB2312" w:cs="仿宋_GB2312" w:eastAsia="仿宋_GB2312"/>
                      <w:sz w:val="20"/>
                    </w:rPr>
                    <w:t>2.前单开网孔门，后双开网孔门；</w:t>
                  </w:r>
                  <w:r>
                    <w:br/>
                  </w:r>
                  <w:r>
                    <w:rPr>
                      <w:rFonts w:ascii="仿宋_GB2312" w:hAnsi="仿宋_GB2312" w:cs="仿宋_GB2312" w:eastAsia="仿宋_GB2312"/>
                      <w:sz w:val="20"/>
                    </w:rPr>
                    <w:t>3.含支脚脚轮及螺母螺丝；</w:t>
                  </w:r>
                  <w:r>
                    <w:br/>
                  </w:r>
                  <w:r>
                    <w:rPr>
                      <w:rFonts w:ascii="仿宋_GB2312" w:hAnsi="仿宋_GB2312" w:cs="仿宋_GB2312" w:eastAsia="仿宋_GB2312"/>
                      <w:sz w:val="20"/>
                    </w:rPr>
                    <w:t>4.高度≥42U；</w:t>
                  </w:r>
                  <w:r>
                    <w:br/>
                  </w:r>
                  <w:r>
                    <w:rPr>
                      <w:rFonts w:ascii="仿宋_GB2312" w:hAnsi="仿宋_GB2312" w:cs="仿宋_GB2312" w:eastAsia="仿宋_GB2312"/>
                      <w:sz w:val="20"/>
                    </w:rPr>
                    <w:t>5.宽度≥600mm；</w:t>
                  </w:r>
                  <w:r>
                    <w:br/>
                  </w:r>
                  <w:r>
                    <w:rPr>
                      <w:rFonts w:ascii="仿宋_GB2312" w:hAnsi="仿宋_GB2312" w:cs="仿宋_GB2312" w:eastAsia="仿宋_GB2312"/>
                      <w:sz w:val="20"/>
                    </w:rPr>
                    <w:t>6.深度≥1000mm；</w:t>
                  </w:r>
                  <w:r>
                    <w:br/>
                  </w:r>
                  <w:r>
                    <w:rPr>
                      <w:rFonts w:ascii="仿宋_GB2312" w:hAnsi="仿宋_GB2312" w:cs="仿宋_GB2312" w:eastAsia="仿宋_GB2312"/>
                      <w:sz w:val="20"/>
                    </w:rPr>
                    <w:t>7.敞开百分比(前门)≥70%；</w:t>
                  </w:r>
                  <w:r>
                    <w:br/>
                  </w:r>
                  <w:r>
                    <w:rPr>
                      <w:rFonts w:ascii="仿宋_GB2312" w:hAnsi="仿宋_GB2312" w:cs="仿宋_GB2312" w:eastAsia="仿宋_GB2312"/>
                      <w:sz w:val="20"/>
                    </w:rPr>
                    <w:t>8.敞开百分比(后门)≥70%。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个</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b/>
                    </w:rPr>
                    <w:t>五、链路建设、租赁及运营</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0"/>
                    </w:rPr>
                    <w:t>1</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链路租赁</w:t>
                  </w:r>
                  <w:r>
                    <w:rPr>
                      <w:rFonts w:ascii="仿宋_GB2312" w:hAnsi="仿宋_GB2312" w:cs="仿宋_GB2312" w:eastAsia="仿宋_GB2312"/>
                      <w:sz w:val="21"/>
                    </w:rPr>
                    <w:t>1</w:t>
                  </w:r>
                </w:p>
              </w:tc>
              <w:tc>
                <w:tcPr>
                  <w:tcW w:type="dxa" w:w="4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1.珙县农业农村局(具体以采购人指定地点为准)——互联网/数据专线租赁(≥500M光纤)(1条链路)；</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0"/>
                    </w:rPr>
                    <w:t>2</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链路租赁</w:t>
                  </w:r>
                  <w:r>
                    <w:rPr>
                      <w:rFonts w:ascii="仿宋_GB2312" w:hAnsi="仿宋_GB2312" w:cs="仿宋_GB2312" w:eastAsia="仿宋_GB2312"/>
                      <w:sz w:val="21"/>
                    </w:rPr>
                    <w:t>2</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0"/>
                    </w:rPr>
                    <w:t>1.前端监控点位(具体以采购人指定地点为准)——数据专线租赁(≥20M光纤/条)(29条链路)；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0"/>
                    </w:rPr>
                    <w:t>3</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硬件设备维护</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1.供应商应向采购人提供29个点位的前端视频/图片采集服务，前端应24小时进行全天候的高清图像采集。</w:t>
                  </w:r>
                </w:p>
                <w:p>
                  <w:pPr>
                    <w:pStyle w:val="null3"/>
                    <w:spacing w:before="105" w:after="105"/>
                    <w:jc w:val="left"/>
                  </w:pPr>
                  <w:r>
                    <w:rPr>
                      <w:rFonts w:ascii="仿宋_GB2312" w:hAnsi="仿宋_GB2312" w:cs="仿宋_GB2312" w:eastAsia="仿宋_GB2312"/>
                      <w:sz w:val="21"/>
                    </w:rPr>
                    <w:t>2.设备完成安装部署后，供应商应提供技术专家上门调试服务，项目调试期内基于业务要求进行配置优化。</w:t>
                  </w:r>
                </w:p>
                <w:p>
                  <w:pPr>
                    <w:pStyle w:val="null3"/>
                    <w:spacing w:before="105" w:after="105"/>
                    <w:jc w:val="left"/>
                  </w:pPr>
                  <w:r>
                    <w:rPr>
                      <w:rFonts w:ascii="仿宋_GB2312" w:hAnsi="仿宋_GB2312" w:cs="仿宋_GB2312" w:eastAsia="仿宋_GB2312"/>
                      <w:sz w:val="21"/>
                    </w:rPr>
                    <w:t>3.供应商应提供原厂3年硬件质保，期间设备故障可调度备件中心进行替换修复，故障设备将返厂维修;质保期内，提供7x24小时的远程技术支持。</w:t>
                  </w:r>
                </w:p>
                <w:p>
                  <w:pPr>
                    <w:pStyle w:val="null3"/>
                    <w:spacing w:before="105" w:after="105"/>
                    <w:jc w:val="left"/>
                  </w:pPr>
                  <w:r>
                    <w:rPr>
                      <w:rFonts w:ascii="仿宋_GB2312" w:hAnsi="仿宋_GB2312" w:cs="仿宋_GB2312" w:eastAsia="仿宋_GB2312"/>
                      <w:sz w:val="21"/>
                    </w:rPr>
                    <w:t>4.供应商应做好服务器配置、视频监控平台配置、网络配置等数据备份工作，出现故障时应能恢复。</w:t>
                  </w:r>
                </w:p>
                <w:p>
                  <w:pPr>
                    <w:pStyle w:val="null3"/>
                    <w:spacing w:before="105" w:after="105"/>
                    <w:jc w:val="left"/>
                  </w:pPr>
                  <w:r>
                    <w:rPr>
                      <w:rFonts w:ascii="仿宋_GB2312" w:hAnsi="仿宋_GB2312" w:cs="仿宋_GB2312" w:eastAsia="仿宋_GB2312"/>
                      <w:sz w:val="21"/>
                    </w:rPr>
                    <w:t>5.供应商应提供前端点位的日常巡检、故障处理、迁改移机、设备维修。</w:t>
                  </w:r>
                </w:p>
                <w:p>
                  <w:pPr>
                    <w:pStyle w:val="null3"/>
                    <w:spacing w:before="105" w:after="105"/>
                    <w:jc w:val="left"/>
                  </w:pPr>
                  <w:r>
                    <w:rPr>
                      <w:rFonts w:ascii="仿宋_GB2312" w:hAnsi="仿宋_GB2312" w:cs="仿宋_GB2312" w:eastAsia="仿宋_GB2312"/>
                      <w:sz w:val="21"/>
                    </w:rPr>
                    <w:t>6.供应商应提供平台、存储、等后端设备日常巡检、故障处理。</w:t>
                  </w:r>
                </w:p>
                <w:p>
                  <w:pPr>
                    <w:pStyle w:val="null3"/>
                    <w:spacing w:before="105" w:after="105"/>
                    <w:jc w:val="left"/>
                  </w:pPr>
                  <w:r>
                    <w:rPr>
                      <w:rFonts w:ascii="仿宋_GB2312" w:hAnsi="仿宋_GB2312" w:cs="仿宋_GB2312" w:eastAsia="仿宋_GB2312"/>
                      <w:sz w:val="21"/>
                    </w:rPr>
                    <w:t>7.供应商应提供平台及手机APP的运行维护、故障处理。</w:t>
                  </w:r>
                </w:p>
                <w:p>
                  <w:pPr>
                    <w:pStyle w:val="null3"/>
                    <w:spacing w:before="105" w:after="105"/>
                    <w:jc w:val="left"/>
                  </w:pPr>
                  <w:r>
                    <w:rPr>
                      <w:rFonts w:ascii="仿宋_GB2312" w:hAnsi="仿宋_GB2312" w:cs="仿宋_GB2312" w:eastAsia="仿宋_GB2312"/>
                      <w:sz w:val="21"/>
                    </w:rPr>
                    <w:t>8.供应商应配置服务团队，提供运行期间的维护和管理。供应商应设置项目专用联系电话，保证7*24小时响应。</w:t>
                  </w:r>
                </w:p>
                <w:p>
                  <w:pPr>
                    <w:pStyle w:val="null3"/>
                    <w:spacing w:before="105" w:after="105"/>
                    <w:jc w:val="left"/>
                  </w:pPr>
                  <w:r>
                    <w:rPr>
                      <w:rFonts w:ascii="仿宋_GB2312" w:hAnsi="仿宋_GB2312" w:cs="仿宋_GB2312" w:eastAsia="仿宋_GB2312"/>
                      <w:sz w:val="21"/>
                    </w:rPr>
                    <w:t>9.临时保障服务：当遇到重大活动(如应急指挥、抢险救灾等)需提供临时保障服务时，供应商应派专人对所有设备提前进行安全检查，排除安全隐患，同时做好活动期间的驻守技术保障服务，直到活动结束。</w:t>
                  </w:r>
                </w:p>
                <w:p>
                  <w:pPr>
                    <w:pStyle w:val="null3"/>
                    <w:spacing w:before="105" w:after="105"/>
                    <w:jc w:val="left"/>
                  </w:pPr>
                  <w:r>
                    <w:rPr>
                      <w:rFonts w:ascii="仿宋_GB2312" w:hAnsi="仿宋_GB2312" w:cs="仿宋_GB2312" w:eastAsia="仿宋_GB2312"/>
                      <w:sz w:val="21"/>
                    </w:rPr>
                    <w:t>10.供应商应提供硬件设备的软件安装和补丁升级服务。</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0"/>
                    </w:rPr>
                    <w:t>4</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网络系统维护</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1.供应商应确保链路的稳定性，对各链路进行有效的管理和维护；</w:t>
                  </w:r>
                </w:p>
                <w:p>
                  <w:pPr>
                    <w:pStyle w:val="null3"/>
                    <w:spacing w:before="105" w:after="105"/>
                    <w:jc w:val="left"/>
                  </w:pPr>
                  <w:r>
                    <w:rPr>
                      <w:rFonts w:ascii="仿宋_GB2312" w:hAnsi="仿宋_GB2312" w:cs="仿宋_GB2312" w:eastAsia="仿宋_GB2312"/>
                      <w:sz w:val="21"/>
                    </w:rPr>
                    <w:t>2.链路故障的抢修恢复时间(到达现场时间除外)：区(市)县城里≤2小时，乡镇≤3小时；光缆中断故障的业务恢复时间≤5小时；</w:t>
                  </w:r>
                </w:p>
                <w:p>
                  <w:pPr>
                    <w:pStyle w:val="null3"/>
                    <w:spacing w:before="105" w:after="105"/>
                    <w:jc w:val="left"/>
                  </w:pPr>
                  <w:r>
                    <w:rPr>
                      <w:rFonts w:ascii="仿宋_GB2312" w:hAnsi="仿宋_GB2312" w:cs="仿宋_GB2312" w:eastAsia="仿宋_GB2312"/>
                      <w:sz w:val="21"/>
                    </w:rPr>
                    <w:t>3.供应商如因施工、网络维护、网络调整等原因影响链路的正常使用，应至少提前3个工作日知会采购人，相关可能导致业务中断的操作应在凌晨0:00-6:00时段内完成并恢复链路的正常使用。</w:t>
                  </w:r>
                </w:p>
                <w:p>
                  <w:pPr>
                    <w:pStyle w:val="null3"/>
                    <w:spacing w:before="105" w:after="105"/>
                    <w:jc w:val="left"/>
                  </w:pPr>
                  <w:r>
                    <w:rPr>
                      <w:rFonts w:ascii="仿宋_GB2312" w:hAnsi="仿宋_GB2312" w:cs="仿宋_GB2312" w:eastAsia="仿宋_GB2312"/>
                      <w:sz w:val="21"/>
                    </w:rPr>
                    <w:t>4.供应商应对后端网络进行维护，每月进行网络性能测试，根据网络负载情况向使用方提出网络优化方案，在得到使用方批准后实施相应的网络优化方案。</w:t>
                  </w:r>
                </w:p>
                <w:p>
                  <w:pPr>
                    <w:pStyle w:val="null3"/>
                    <w:spacing w:before="105" w:after="105"/>
                    <w:jc w:val="left"/>
                  </w:pPr>
                  <w:r>
                    <w:rPr>
                      <w:rFonts w:ascii="仿宋_GB2312" w:hAnsi="仿宋_GB2312" w:cs="仿宋_GB2312" w:eastAsia="仿宋_GB2312"/>
                      <w:sz w:val="21"/>
                    </w:rPr>
                    <w:t>5.供应商每月进行网络安全巡检，当出现网络安全警告后通知采购人，并向采购人提出相应解决方案。</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0"/>
                    </w:rPr>
                    <w:t>5</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服务器系统维护服务</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1.供应商应提供系统安装部署、故障排查处置、补丁安装更新、系统优化等相关运维服务；</w:t>
                  </w:r>
                </w:p>
                <w:p>
                  <w:pPr>
                    <w:pStyle w:val="null3"/>
                    <w:spacing w:before="105" w:after="105"/>
                    <w:jc w:val="left"/>
                  </w:pPr>
                  <w:r>
                    <w:rPr>
                      <w:rFonts w:ascii="仿宋_GB2312" w:hAnsi="仿宋_GB2312" w:cs="仿宋_GB2312" w:eastAsia="仿宋_GB2312"/>
                      <w:sz w:val="21"/>
                    </w:rPr>
                    <w:t>2.供应商应及时配合采购人开展现场系统性能调整工作，保障系统性能得到充分发挥；</w:t>
                  </w:r>
                </w:p>
                <w:p>
                  <w:pPr>
                    <w:pStyle w:val="null3"/>
                    <w:spacing w:before="105" w:after="105"/>
                    <w:jc w:val="left"/>
                  </w:pPr>
                  <w:r>
                    <w:rPr>
                      <w:rFonts w:ascii="仿宋_GB2312" w:hAnsi="仿宋_GB2312" w:cs="仿宋_GB2312" w:eastAsia="仿宋_GB2312"/>
                      <w:sz w:val="21"/>
                    </w:rPr>
                    <w:t>3.供应商应通过运维调优实现系统资源的合理配置，提升系统资源利用效率；</w:t>
                  </w:r>
                </w:p>
                <w:p>
                  <w:pPr>
                    <w:pStyle w:val="null3"/>
                    <w:spacing w:before="105" w:after="105"/>
                    <w:jc w:val="left"/>
                  </w:pPr>
                  <w:r>
                    <w:rPr>
                      <w:rFonts w:ascii="仿宋_GB2312" w:hAnsi="仿宋_GB2312" w:cs="仿宋_GB2312" w:eastAsia="仿宋_GB2312"/>
                      <w:sz w:val="21"/>
                    </w:rPr>
                    <w:t>4.供应商应提供服务对象设备的操作手册；</w:t>
                  </w:r>
                </w:p>
                <w:p>
                  <w:pPr>
                    <w:pStyle w:val="null3"/>
                    <w:spacing w:before="105" w:after="105"/>
                    <w:jc w:val="left"/>
                  </w:pPr>
                  <w:r>
                    <w:rPr>
                      <w:rFonts w:ascii="仿宋_GB2312" w:hAnsi="仿宋_GB2312" w:cs="仿宋_GB2312" w:eastAsia="仿宋_GB2312"/>
                      <w:sz w:val="21"/>
                    </w:rPr>
                    <w:t>5.供应商应提供机房设备及系统日常巡检服务和整体巡检服务，日常巡检完成提交巡检日志，整体巡检完成提交巡检报告；</w:t>
                  </w:r>
                </w:p>
                <w:p>
                  <w:pPr>
                    <w:pStyle w:val="null3"/>
                    <w:spacing w:before="105" w:after="105"/>
                    <w:jc w:val="left"/>
                  </w:pPr>
                  <w:r>
                    <w:rPr>
                      <w:rFonts w:ascii="仿宋_GB2312" w:hAnsi="仿宋_GB2312" w:cs="仿宋_GB2312" w:eastAsia="仿宋_GB2312"/>
                      <w:sz w:val="21"/>
                    </w:rPr>
                    <w:t>6.供应商应根据设备及系统故障处理情况，出具故障处理报告；</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0"/>
                    </w:rPr>
                    <w:t>6</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平台迭代升级</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供应商应提平台迭代升级的服务，适配执法业务动态变化，具体服务内容要求如下：</w:t>
                  </w:r>
                </w:p>
                <w:p>
                  <w:pPr>
                    <w:pStyle w:val="null3"/>
                    <w:spacing w:before="105" w:after="105"/>
                    <w:jc w:val="left"/>
                  </w:pPr>
                  <w:r>
                    <w:rPr>
                      <w:rFonts w:ascii="仿宋_GB2312" w:hAnsi="仿宋_GB2312" w:cs="仿宋_GB2312" w:eastAsia="仿宋_GB2312"/>
                      <w:sz w:val="21"/>
                    </w:rPr>
                    <w:t>1.供应商需预留充足的平台功能扩展接口，针对渔政执法管理业务划分调整场景，完成平台业务架构调整、业务入口新增及优化、各业务模块关联配置，确保平台功能与新业务划分精准匹配，不影响执法工作连续性。</w:t>
                  </w:r>
                </w:p>
                <w:p>
                  <w:pPr>
                    <w:pStyle w:val="null3"/>
                    <w:spacing w:before="105" w:after="105"/>
                    <w:jc w:val="left"/>
                  </w:pPr>
                  <w:r>
                    <w:rPr>
                      <w:rFonts w:ascii="仿宋_GB2312" w:hAnsi="仿宋_GB2312" w:cs="仿宋_GB2312" w:eastAsia="仿宋_GB2312"/>
                      <w:sz w:val="21"/>
                    </w:rPr>
                    <w:t>2.供应商需针对渔政执法力度动态调整需求，迭代优化平台预警阈值设置、执法巡查路线更新、违规处置流程等核心功能，新增执法力度分级管控模块，支持执法人员根据管控要求灵活调整执法参数，提升执法针对性和高效性；</w:t>
                  </w:r>
                </w:p>
                <w:p>
                  <w:pPr>
                    <w:pStyle w:val="null3"/>
                    <w:spacing w:before="105" w:after="105"/>
                    <w:jc w:val="left"/>
                  </w:pPr>
                  <w:r>
                    <w:rPr>
                      <w:rFonts w:ascii="仿宋_GB2312" w:hAnsi="仿宋_GB2312" w:cs="仿宋_GB2312" w:eastAsia="仿宋_GB2312"/>
                      <w:sz w:val="21"/>
                    </w:rPr>
                    <w:t>3.供应商需针对渔政执法中新型违规场景的出现，迭代新增对应场景的监控采集、智能识别、违规上报、台账记录等功能，优化场景识别逻辑，补充违规行为判定标准，完善违规数据统计分析功能，确保所有违规场景均能被有效捕捉、精准处置。</w:t>
                  </w:r>
                </w:p>
                <w:p>
                  <w:pPr>
                    <w:pStyle w:val="null3"/>
                    <w:spacing w:before="105" w:after="105"/>
                    <w:jc w:val="left"/>
                  </w:pPr>
                  <w:r>
                    <w:rPr>
                      <w:rFonts w:ascii="仿宋_GB2312" w:hAnsi="仿宋_GB2312" w:cs="仿宋_GB2312" w:eastAsia="仿宋_GB2312"/>
                      <w:sz w:val="21"/>
                    </w:rPr>
                    <w:t>4.供应商在平台迭代升级过程中，需同步优化平台与现有渔政执法设备的兼容性，修复平台运行过程中出现的卡顿、报错等问题，提升平台并发处理能力，保障平台24小时稳定运行，适配执法工作全天候开展需求。</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0"/>
                    </w:rPr>
                    <w:t>7</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算法迭代更新</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供应商应负责重点水域渔政执法智能监控相关算法迭代更新工作，保障智能识别的精准度和高效性，根据渔政执法违规场景的动态变化，持续优化算法模型性能，为执法工作提供可靠技术支撑，具体服务内容要求如下：</w:t>
                  </w:r>
                </w:p>
                <w:p>
                  <w:pPr>
                    <w:pStyle w:val="null3"/>
                    <w:spacing w:before="105" w:after="105"/>
                    <w:jc w:val="left"/>
                  </w:pPr>
                  <w:r>
                    <w:rPr>
                      <w:rFonts w:ascii="仿宋_GB2312" w:hAnsi="仿宋_GB2312" w:cs="仿宋_GB2312" w:eastAsia="仿宋_GB2312"/>
                      <w:sz w:val="21"/>
                    </w:rPr>
                    <w:t>1.供应商需在渔政执法出现新增违规场景时，收集该场景下的样本数据，对原有算法模型进行针对性训练和升级，优化模型识别特征、调整识别参数，提升对新型违规场景的识别准确率和响应速度，减少误判、漏判情况。</w:t>
                  </w:r>
                </w:p>
                <w:p>
                  <w:pPr>
                    <w:pStyle w:val="null3"/>
                    <w:spacing w:before="105" w:after="105"/>
                    <w:jc w:val="left"/>
                  </w:pPr>
                  <w:r>
                    <w:rPr>
                      <w:rFonts w:ascii="仿宋_GB2312" w:hAnsi="仿宋_GB2312" w:cs="仿宋_GB2312" w:eastAsia="仿宋_GB2312"/>
                      <w:sz w:val="21"/>
                    </w:rPr>
                    <w:t>2.供应商需针对现有违规场景，持续收集执法过程中的误判、漏判样本，对算法模型进行迭代优化，完善样本训练库，调整模型识别逻辑，提升算法对复杂场景(如恶劣天气、夜间执法)下违规行为的识别能力，确保识别精度满足执法工作要求。</w:t>
                  </w:r>
                </w:p>
                <w:p>
                  <w:pPr>
                    <w:pStyle w:val="null3"/>
                    <w:spacing w:before="105" w:after="105"/>
                    <w:jc w:val="left"/>
                  </w:pPr>
                  <w:r>
                    <w:rPr>
                      <w:rFonts w:ascii="仿宋_GB2312" w:hAnsi="仿宋_GB2312" w:cs="仿宋_GB2312" w:eastAsia="仿宋_GB2312"/>
                      <w:sz w:val="21"/>
                    </w:rPr>
                    <w:t>3.供应商需对原有识别效率低、适配性差、误判率高的算法模型，进行全面评估和替换，选用更贴合渔政执法实际、运算效率更高、识别精度更优的算法模型，完成模型与监控平台的无缝对接，调试优化模型运行参数，确保替换后不影响平台正常运行和执法工作开展。</w:t>
                  </w:r>
                </w:p>
                <w:p>
                  <w:pPr>
                    <w:pStyle w:val="null3"/>
                    <w:spacing w:before="105" w:after="105"/>
                    <w:jc w:val="left"/>
                  </w:pPr>
                  <w:r>
                    <w:rPr>
                      <w:rFonts w:ascii="仿宋_GB2312" w:hAnsi="仿宋_GB2312" w:cs="仿宋_GB2312" w:eastAsia="仿宋_GB2312"/>
                      <w:sz w:val="21"/>
                    </w:rPr>
                    <w:t>4.供应商需建立算法模型常态化运维机制，定期监测算法运行状态，收集算法识别反馈数据，及时发现并解决算法运行过程中出现的问题；同步适配平台迭代升级需求，对算法模型进行对应调整，确保算法与平台功能协同运行，发挥最优识别效果。</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0"/>
                    </w:rPr>
                    <w:t>8</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软件升级服务</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供应商需提供重点水域渔政执法智能监控相关软件升级服务，每年定期对网络、服务器、数据库存储系统相关软件进行全面升级，修复安全漏洞、提升系统性能，确保平台数据安全、运行稳定，具体服务内容要求如下：</w:t>
                  </w:r>
                </w:p>
                <w:p>
                  <w:pPr>
                    <w:pStyle w:val="null3"/>
                    <w:spacing w:before="105" w:after="105"/>
                    <w:jc w:val="left"/>
                  </w:pPr>
                  <w:r>
                    <w:rPr>
                      <w:rFonts w:ascii="仿宋_GB2312" w:hAnsi="仿宋_GB2312" w:cs="仿宋_GB2312" w:eastAsia="仿宋_GB2312"/>
                      <w:sz w:val="21"/>
                    </w:rPr>
                    <w:t>1.供应商需每年定期对渔政执法监控平台相关网络设备配套软件进行全面升级，包括网络协议优化、网络安全软件升级、网络管理软件版本更新等；修复网络软件运行过程中出现的漏洞，优化网络传输协议，提升网络数据传输效率和稳定性，防范网络攻击、数据泄露等安全风险，保障监控数据实时、稳定传输。</w:t>
                  </w:r>
                </w:p>
                <w:p>
                  <w:pPr>
                    <w:pStyle w:val="null3"/>
                    <w:spacing w:before="105" w:after="105"/>
                    <w:jc w:val="left"/>
                  </w:pPr>
                  <w:r>
                    <w:rPr>
                      <w:rFonts w:ascii="仿宋_GB2312" w:hAnsi="仿宋_GB2312" w:cs="仿宋_GB2312" w:eastAsia="仿宋_GB2312"/>
                      <w:sz w:val="21"/>
                    </w:rPr>
                    <w:t>2.供应商需每年对平台服务器系统软件进行全面升级，包括服务器操作系统补丁更新、服务器运行环境升级、服务器管理软件版本更新等；修复服务器软件安全漏洞，优化服务器运行参数，提升服务器运算能力、负载能力和稳定性，确保服务器能够支撑平台24小时高效运行，满足执法数据处理、存储及调用需求。</w:t>
                  </w:r>
                </w:p>
                <w:p>
                  <w:pPr>
                    <w:pStyle w:val="null3"/>
                    <w:spacing w:before="105" w:after="105"/>
                    <w:jc w:val="left"/>
                  </w:pPr>
                  <w:r>
                    <w:rPr>
                      <w:rFonts w:ascii="仿宋_GB2312" w:hAnsi="仿宋_GB2312" w:cs="仿宋_GB2312" w:eastAsia="仿宋_GB2312"/>
                      <w:sz w:val="21"/>
                    </w:rPr>
                    <w:t>3.供应商需每年对平台数据库存储系统相关软件进行升级服务，包括数据库管理系统版本更新、存储优化软件升级、数据备份与恢复软件升级等；提升数据库存储容量和数据读写速度，优化数据库检索、统计、分析效率，完善数据备份机制，提升数据备份与恢复能力，确保渔政执法相关数据安全存储、便捷调用，防止数据丢失、损坏。</w:t>
                  </w:r>
                </w:p>
                <w:p>
                  <w:pPr>
                    <w:pStyle w:val="null3"/>
                    <w:spacing w:before="105" w:after="105"/>
                    <w:jc w:val="left"/>
                  </w:pPr>
                  <w:r>
                    <w:rPr>
                      <w:rFonts w:ascii="仿宋_GB2312" w:hAnsi="仿宋_GB2312" w:cs="仿宋_GB2312" w:eastAsia="仿宋_GB2312"/>
                      <w:sz w:val="21"/>
                    </w:rPr>
                    <w:t>4.供应商需在软件升级完成后，对网络、服务器、数据库存储系统进行全面调试，检测软件升级后系统运行状态，排查并解决升级过程中出现的兼容性问题、运行异常等情况；提供升级后常态化运维支持，定期监测软件运行状态，及时响应并处理软件运行过程中出现的问题，确保软件升级后系统稳定运行，为平台正常运转提供可靠支撑。</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0"/>
                    </w:rPr>
                    <w:t>9</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备品备件服务</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1.供应商需按货物采购项目规格标准提供符合质量要求的备品备件，确保备品备件与采购货物型号、参数完全匹配当设备故障无法修复时，备件在8小时内到达现场，12小时内更换使设备恢复正常。</w:t>
                  </w:r>
                </w:p>
                <w:p>
                  <w:pPr>
                    <w:pStyle w:val="null3"/>
                    <w:spacing w:before="105" w:after="105"/>
                    <w:jc w:val="left"/>
                  </w:pPr>
                  <w:r>
                    <w:rPr>
                      <w:rFonts w:ascii="仿宋_GB2312" w:hAnsi="仿宋_GB2312" w:cs="仿宋_GB2312" w:eastAsia="仿宋_GB2312"/>
                      <w:sz w:val="21"/>
                    </w:rPr>
                    <w:t>2.供应商应建立备品备件储备与供应机制，常用备品备件需保障及时供货，特殊备品备件需明确供货周期并提前告知采购人；</w:t>
                  </w:r>
                </w:p>
                <w:p>
                  <w:pPr>
                    <w:pStyle w:val="null3"/>
                    <w:spacing w:before="105" w:after="105"/>
                    <w:jc w:val="left"/>
                  </w:pPr>
                  <w:r>
                    <w:rPr>
                      <w:rFonts w:ascii="仿宋_GB2312" w:hAnsi="仿宋_GB2312" w:cs="仿宋_GB2312" w:eastAsia="仿宋_GB2312"/>
                      <w:sz w:val="21"/>
                    </w:rPr>
                    <w:t>3.供应商在服务期内应提供备品备件的安装、更换服务，配合采购人完成备品备件的调试、验收及旧件回收工作；</w:t>
                  </w:r>
                </w:p>
                <w:p>
                  <w:pPr>
                    <w:pStyle w:val="null3"/>
                    <w:spacing w:before="105" w:after="105"/>
                    <w:jc w:val="left"/>
                  </w:pPr>
                  <w:r>
                    <w:rPr>
                      <w:rFonts w:ascii="仿宋_GB2312" w:hAnsi="仿宋_GB2312" w:cs="仿宋_GB2312" w:eastAsia="仿宋_GB2312"/>
                      <w:sz w:val="21"/>
                    </w:rPr>
                    <w:t>4.供应商在服务期内对所提供的备品备件提供相应质保服务，质保期内更换、维修不合格备品备件；</w:t>
                  </w:r>
                </w:p>
                <w:p>
                  <w:pPr>
                    <w:pStyle w:val="null3"/>
                    <w:spacing w:before="105" w:after="105"/>
                    <w:jc w:val="left"/>
                  </w:pPr>
                  <w:r>
                    <w:rPr>
                      <w:rFonts w:ascii="仿宋_GB2312" w:hAnsi="仿宋_GB2312" w:cs="仿宋_GB2312" w:eastAsia="仿宋_GB2312"/>
                      <w:sz w:val="21"/>
                    </w:rPr>
                    <w:t>5.供应商按采购人要求，定期(周、月、季)提供备品备件库存报表，确保备品备件库存满足项目运维需求；</w:t>
                  </w:r>
                </w:p>
                <w:p>
                  <w:pPr>
                    <w:pStyle w:val="null3"/>
                    <w:spacing w:before="105" w:after="105"/>
                    <w:jc w:val="left"/>
                  </w:pPr>
                  <w:r>
                    <w:rPr>
                      <w:rFonts w:ascii="仿宋_GB2312" w:hAnsi="仿宋_GB2312" w:cs="仿宋_GB2312" w:eastAsia="仿宋_GB2312"/>
                      <w:sz w:val="21"/>
                    </w:rPr>
                    <w:t>6.供应商应提供备品备件技术咨询服务，及时响应采购人关于备品备件选型、使用、维护的相关需求。</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20"/>
                    </w:rPr>
                    <w:t>10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供电</w:t>
                  </w:r>
                </w:p>
              </w:tc>
              <w:tc>
                <w:tcPr>
                  <w:tcW w:type="dxa" w:w="4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提供</w:t>
                  </w:r>
                  <w:r>
                    <w:rPr>
                      <w:rFonts w:ascii="仿宋_GB2312" w:hAnsi="仿宋_GB2312" w:cs="仿宋_GB2312" w:eastAsia="仿宋_GB2312"/>
                      <w:sz w:val="20"/>
                    </w:rPr>
                    <w:t>29个监控点位户外供电。</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年</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600"/>
              <w:jc w:val="left"/>
            </w:pPr>
            <w:r>
              <w:rPr>
                <w:rFonts w:ascii="仿宋_GB2312" w:hAnsi="仿宋_GB2312" w:cs="仿宋_GB2312" w:eastAsia="仿宋_GB2312"/>
                <w:sz w:val="30"/>
                <w:shd w:fill="FFFFFF" w:val="clear"/>
              </w:rPr>
              <w:t>1.供应商须提供全新的货物(含零部件、配件、使用说明书等)，表面无划伤、无碰撞痕迹，且权属清楚，不得侵害他人的知识产权，不得以次充好，产品来源渠道必须合法，同时应根据国家有关规定、厂家服务承诺及采购单位的要求做好售后服务工作。</w:t>
            </w:r>
          </w:p>
          <w:p>
            <w:pPr>
              <w:pStyle w:val="null3"/>
              <w:ind w:firstLine="600"/>
              <w:jc w:val="left"/>
            </w:pPr>
            <w:r>
              <w:rPr>
                <w:rFonts w:ascii="仿宋_GB2312" w:hAnsi="仿宋_GB2312" w:cs="仿宋_GB2312" w:eastAsia="仿宋_GB2312"/>
                <w:sz w:val="30"/>
                <w:shd w:fill="FFFFFF" w:val="clear"/>
              </w:rPr>
              <w:t>2.货物制造质量出现问题，供应商应负责三包(包修、包换、包退)，费用由供应商负担。</w:t>
            </w:r>
          </w:p>
          <w:p>
            <w:pPr>
              <w:pStyle w:val="null3"/>
              <w:ind w:firstLine="600"/>
              <w:jc w:val="left"/>
            </w:pPr>
            <w:r>
              <w:rPr>
                <w:rFonts w:ascii="仿宋_GB2312" w:hAnsi="仿宋_GB2312" w:cs="仿宋_GB2312" w:eastAsia="仿宋_GB2312"/>
                <w:sz w:val="30"/>
                <w:shd w:fill="FFFFFF" w:val="clear"/>
              </w:rPr>
              <w:t>3.货到现场交付完成后由于采购人保管不当造成的质量问题，供应商亦应负责修理，但费用由采购人负担。</w:t>
            </w:r>
          </w:p>
          <w:p>
            <w:pPr>
              <w:pStyle w:val="null3"/>
              <w:ind w:firstLine="600"/>
              <w:jc w:val="left"/>
            </w:pPr>
            <w:r>
              <w:rPr>
                <w:rFonts w:ascii="仿宋_GB2312" w:hAnsi="仿宋_GB2312" w:cs="仿宋_GB2312" w:eastAsia="仿宋_GB2312"/>
                <w:sz w:val="30"/>
                <w:shd w:fill="FFFFFF" w:val="clear"/>
              </w:rPr>
              <w:t>4.针对技术参数中要求供货时提供检测报告的，如供应商未向采购人提供合格的检测报告，则视为虚假响应，由此延误的工期由供应商承担全部责任，同时采购人上报财政部门按相关规定处理。</w:t>
            </w:r>
          </w:p>
          <w:p>
            <w:pPr>
              <w:pStyle w:val="null3"/>
              <w:ind w:firstLine="600"/>
              <w:jc w:val="both"/>
            </w:pPr>
            <w:r>
              <w:rPr>
                <w:rFonts w:ascii="仿宋_GB2312" w:hAnsi="仿宋_GB2312" w:cs="仿宋_GB2312" w:eastAsia="仿宋_GB2312"/>
                <w:sz w:val="30"/>
                <w:shd w:fill="FFFFFF" w:val="clear"/>
              </w:rPr>
              <w:t>5.供应商所提供的软件平台须与“宜宾市级智慧渔政预警平台V1.0”实现互联互通。具体要求如下：</w:t>
            </w:r>
          </w:p>
          <w:p>
            <w:pPr>
              <w:pStyle w:val="null3"/>
              <w:ind w:firstLine="600"/>
              <w:jc w:val="left"/>
            </w:pPr>
            <w:r>
              <w:rPr>
                <w:rFonts w:ascii="仿宋_GB2312" w:hAnsi="仿宋_GB2312" w:cs="仿宋_GB2312" w:eastAsia="仿宋_GB2312"/>
                <w:sz w:val="30"/>
                <w:shd w:fill="FFFFFF" w:val="clear"/>
              </w:rPr>
              <w:t>（</w:t>
            </w:r>
            <w:r>
              <w:rPr>
                <w:rFonts w:ascii="仿宋_GB2312" w:hAnsi="仿宋_GB2312" w:cs="仿宋_GB2312" w:eastAsia="仿宋_GB2312"/>
                <w:sz w:val="30"/>
                <w:shd w:fill="FFFFFF" w:val="clear"/>
              </w:rPr>
              <w:t>1）支持与“宜宾市级智慧渔政预警平台V1.0”无缝对接，区县平台需支持与市级平台采用统一的接口协议，包括但不限于HTTP/HTTPS、RESTful API等，其中定时同步数据采用HTTP方式轮询或推送，预警事件信息等实时数据需实时推送，接口版本需与市级平台保持一致，确保接口通信兼容稳定，无协议冲突问题，接口数据如下：</w:t>
            </w:r>
          </w:p>
          <w:p>
            <w:pPr>
              <w:pStyle w:val="null3"/>
              <w:ind w:firstLine="600"/>
              <w:jc w:val="left"/>
            </w:pPr>
            <w:r>
              <w:rPr>
                <w:rFonts w:ascii="仿宋_GB2312" w:hAnsi="仿宋_GB2312" w:cs="仿宋_GB2312" w:eastAsia="仿宋_GB2312"/>
                <w:sz w:val="30"/>
                <w:shd w:fill="FFFFFF" w:val="clear"/>
              </w:rPr>
              <w:t>①摄像头信息数据：为视频监控联动、设备管控核心数据，必填字段包含设备唯一编码、摄像头名称、行政区划、精准经纬度、安装详细地址、设备品牌型号、摄像头类型、分辨率、编码格式、汇聚服务器地址、RTSP/FLV视频流地址、设备在线状态、云台权限、供电方式、安装时间、联系人及联系方式、设备归属网格、监控覆盖范围描述；需支持设备信息增量同步，设备参数变更后5分钟内完成推送，确保市级平台设备台账实时准确；</w:t>
            </w:r>
          </w:p>
          <w:p>
            <w:pPr>
              <w:pStyle w:val="null3"/>
              <w:ind w:firstLine="600"/>
              <w:jc w:val="left"/>
            </w:pPr>
            <w:r>
              <w:rPr>
                <w:rFonts w:ascii="仿宋_GB2312" w:hAnsi="仿宋_GB2312" w:cs="仿宋_GB2312" w:eastAsia="仿宋_GB2312"/>
                <w:sz w:val="30"/>
                <w:shd w:fill="FFFFFF" w:val="clear"/>
              </w:rPr>
              <w:t>②资源及通讯录数据：实现两级平台资源共享、人员协同联动，涵盖渔政全域资源与人员信息，必填字段包含资源类型（执法船只、执法车辆、监控设备、应急物资、执法站点）、资源名称、资源状态、基础信息；通讯录字段包含人员姓名、所属单位、岗位类型、联系方式；数据需全量同步，人员、资源变动实时推送，确保市级调度、协同联络无断点。</w:t>
            </w:r>
          </w:p>
          <w:p>
            <w:pPr>
              <w:pStyle w:val="null3"/>
              <w:ind w:firstLine="600"/>
              <w:jc w:val="left"/>
            </w:pPr>
            <w:r>
              <w:rPr>
                <w:rFonts w:ascii="仿宋_GB2312" w:hAnsi="仿宋_GB2312" w:cs="仿宋_GB2312" w:eastAsia="仿宋_GB2312"/>
                <w:sz w:val="30"/>
                <w:shd w:fill="FFFFFF" w:val="clear"/>
              </w:rPr>
              <w:t>③预警事件数据：必填字段包含预警来源、预警类型、预警发生时间、预警位置经纬度、现场抓拍图/视频片段、AI识别结果、关联设备编码、预警处置状态、处置人员、处置反馈、办结时间；预警数据需实时推送，延迟≤5秒，支持预警状态闭环同步，处置进度实时更新至市级平台。</w:t>
            </w:r>
          </w:p>
          <w:p>
            <w:pPr>
              <w:pStyle w:val="null3"/>
              <w:ind w:firstLine="600"/>
              <w:jc w:val="left"/>
            </w:pPr>
            <w:r>
              <w:rPr>
                <w:rFonts w:ascii="仿宋_GB2312" w:hAnsi="仿宋_GB2312" w:cs="仿宋_GB2312" w:eastAsia="仿宋_GB2312"/>
                <w:sz w:val="30"/>
                <w:shd w:fill="FFFFFF" w:val="clear"/>
              </w:rPr>
              <w:t>④执法办案数据：包含案件编号、案件来源、立案时间、案发时间、案发详细地点、涉案人员信息、涉案物品（渔具、船只、渔获物）、违法事实描述、违法依据条款、案件处置环节、处置结果、涉案证据材料（图片、视频、笔录）、办结时限、归档状态；案件数据需全流程同步，环节变更实时推送，确保市级平台全程督办、溯源核查。</w:t>
            </w:r>
          </w:p>
          <w:p>
            <w:pPr>
              <w:pStyle w:val="null3"/>
              <w:ind w:firstLine="600"/>
              <w:jc w:val="left"/>
            </w:pPr>
            <w:r>
              <w:rPr>
                <w:rFonts w:ascii="仿宋_GB2312" w:hAnsi="仿宋_GB2312" w:cs="仿宋_GB2312" w:eastAsia="仿宋_GB2312"/>
                <w:sz w:val="30"/>
                <w:shd w:fill="FFFFFF" w:val="clear"/>
              </w:rPr>
              <w:t>（</w:t>
            </w:r>
            <w:r>
              <w:rPr>
                <w:rFonts w:ascii="仿宋_GB2312" w:hAnsi="仿宋_GB2312" w:cs="仿宋_GB2312" w:eastAsia="仿宋_GB2312"/>
                <w:sz w:val="30"/>
                <w:shd w:fill="FFFFFF" w:val="clear"/>
              </w:rPr>
              <w:t>2）接口开发要求：区县平台需按照市级平台提供的详细接口文档及参数明细，开发对应的数据上传、数据接收、指令下发、状态反馈等接口，接口需支持批量数据处理和单点查询功能，支持接口调用日志留存，日志信息需包含调用时间、调用主体、操作内容、返回结果等，留存时间不低于30天，便于对接问题排查与审计追溯，同时需将自身所有标准服务接口与市级平台统一接口管理平台对接集成，实现服务接口的统一管控。</w:t>
            </w:r>
          </w:p>
          <w:p>
            <w:pPr>
              <w:pStyle w:val="null3"/>
              <w:ind w:firstLine="600"/>
              <w:jc w:val="left"/>
            </w:pPr>
            <w:r>
              <w:rPr>
                <w:rFonts w:ascii="仿宋_GB2312" w:hAnsi="仿宋_GB2312" w:cs="仿宋_GB2312" w:eastAsia="仿宋_GB2312"/>
                <w:sz w:val="30"/>
                <w:shd w:fill="FFFFFF" w:val="clear"/>
              </w:rPr>
              <w:t>（</w:t>
            </w:r>
            <w:r>
              <w:rPr>
                <w:rFonts w:ascii="仿宋_GB2312" w:hAnsi="仿宋_GB2312" w:cs="仿宋_GB2312" w:eastAsia="仿宋_GB2312"/>
                <w:sz w:val="30"/>
                <w:shd w:fill="FFFFFF" w:val="clear"/>
              </w:rPr>
              <w:t>3）支持渔政相关数据推送能力，包括执法案件数据、视频影像数据、报警事件数据，并遵循市级平台提供的详细接口参数文档制定的数据标准、编码规范和字段要求，与市级平台数据字段要求保持一致，确保数据格式、数据含义、数据精度与市级平台完全统一，无数据歧义、数据缺失或格式错误，实现“一次采集、多方复用”。</w:t>
            </w:r>
          </w:p>
          <w:p>
            <w:pPr>
              <w:pStyle w:val="null3"/>
              <w:ind w:firstLine="600"/>
              <w:jc w:val="left"/>
            </w:pPr>
            <w:r>
              <w:rPr>
                <w:rFonts w:ascii="仿宋_GB2312" w:hAnsi="仿宋_GB2312" w:cs="仿宋_GB2312" w:eastAsia="仿宋_GB2312"/>
                <w:sz w:val="30"/>
                <w:shd w:fill="FFFFFF" w:val="clear"/>
              </w:rPr>
              <w:t>（</w:t>
            </w:r>
            <w:r>
              <w:rPr>
                <w:rFonts w:ascii="仿宋_GB2312" w:hAnsi="仿宋_GB2312" w:cs="仿宋_GB2312" w:eastAsia="仿宋_GB2312"/>
                <w:sz w:val="30"/>
                <w:shd w:fill="FFFFFF" w:val="clear"/>
              </w:rPr>
              <w:t>4）数据同步：区县平台需将本地采集的各类业务数据按市级平台提供的详细接入参数文档约定实时上传，其中报警信息等实时数据同步延迟≤5秒，确保市级平台能实时获取区县渔政管理动态，带有AI智能识别的摄像头，需将AI智能识别后抓拍图、识别数据等实时推送给市级平台。</w:t>
            </w:r>
          </w:p>
          <w:p>
            <w:pPr>
              <w:pStyle w:val="null3"/>
              <w:ind w:firstLine="600"/>
              <w:jc w:val="left"/>
            </w:pPr>
            <w:r>
              <w:rPr>
                <w:rFonts w:ascii="仿宋_GB2312" w:hAnsi="仿宋_GB2312" w:cs="仿宋_GB2312" w:eastAsia="仿宋_GB2312"/>
                <w:sz w:val="30"/>
                <w:shd w:fill="FFFFFF" w:val="clear"/>
              </w:rPr>
              <w:t>（</w:t>
            </w:r>
            <w:r>
              <w:rPr>
                <w:rFonts w:ascii="仿宋_GB2312" w:hAnsi="仿宋_GB2312" w:cs="仿宋_GB2312" w:eastAsia="仿宋_GB2312"/>
                <w:sz w:val="30"/>
                <w:shd w:fill="FFFFFF" w:val="clear"/>
              </w:rPr>
              <w:t>5）业务协同对接</w:t>
            </w:r>
          </w:p>
          <w:p>
            <w:pPr>
              <w:pStyle w:val="null3"/>
              <w:ind w:firstLine="600"/>
              <w:jc w:val="left"/>
            </w:pPr>
            <w:r>
              <w:rPr>
                <w:rFonts w:ascii="仿宋_GB2312" w:hAnsi="仿宋_GB2312" w:cs="仿宋_GB2312" w:eastAsia="仿宋_GB2312"/>
                <w:sz w:val="30"/>
                <w:shd w:fill="FFFFFF" w:val="clear"/>
              </w:rPr>
              <w:t>支持平台告警事件、执法案件协同办理，实时接收、反馈市级执法任务与督办指令，实现市级统筹、区县落实</w:t>
            </w:r>
            <w:r>
              <w:rPr>
                <w:rFonts w:ascii="仿宋_GB2312" w:hAnsi="仿宋_GB2312" w:cs="仿宋_GB2312" w:eastAsia="仿宋_GB2312"/>
                <w:sz w:val="30"/>
                <w:shd w:fill="FFFFFF" w:val="clear"/>
              </w:rPr>
              <w:t>;视频监控系统与市级对接，支持市级实时调取、云台控制，视频格式符合农业农村部办公厅 公安部办公厅 生态环境部办公厅 国家林草局办公厅 《关于加强长江水生生物保护和渔政执法监管信息化建设的指导意见》，上报监控盲区并配合优化。</w:t>
            </w:r>
          </w:p>
          <w:p>
            <w:pPr>
              <w:pStyle w:val="null3"/>
              <w:ind w:firstLine="600"/>
              <w:jc w:val="left"/>
            </w:pPr>
            <w:r>
              <w:rPr>
                <w:rFonts w:ascii="仿宋_GB2312" w:hAnsi="仿宋_GB2312" w:cs="仿宋_GB2312" w:eastAsia="仿宋_GB2312"/>
                <w:sz w:val="30"/>
                <w:shd w:fill="FFFFFF" w:val="clear"/>
              </w:rPr>
              <w:t>（</w:t>
            </w:r>
            <w:r>
              <w:rPr>
                <w:rFonts w:ascii="仿宋_GB2312" w:hAnsi="仿宋_GB2312" w:cs="仿宋_GB2312" w:eastAsia="仿宋_GB2312"/>
                <w:sz w:val="30"/>
                <w:shd w:fill="FFFFFF" w:val="clear"/>
              </w:rPr>
              <w:t>6）测试要求：供应商应保证区县平台建设完成后，将配合采购人及宜宾市农业农村局渔政管理相关部门完成与市级平台的对接测试，测试内容包括接口连通性、数据同步准确性、业务协同流畅性、算法调用稳定性等，接口连通率100%，数据同步成功率≥99.9%，实时数据同步延迟≤2秒，视频实时调取响应时间≤3秒，历史视频回放流畅。</w:t>
            </w:r>
          </w:p>
          <w:p>
            <w:pPr>
              <w:pStyle w:val="null3"/>
              <w:ind w:firstLine="600"/>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jc w:val="left"/>
            </w:pPr>
            <w:r>
              <w:rPr>
                <w:rFonts w:ascii="仿宋_GB2312" w:hAnsi="仿宋_GB2312" w:cs="仿宋_GB2312" w:eastAsia="仿宋_GB2312"/>
              </w:rPr>
              <w:t xml:space="preserve">          </w:t>
            </w:r>
            <w:r>
              <w:rPr>
                <w:rFonts w:ascii="仿宋_GB2312" w:hAnsi="仿宋_GB2312" w:cs="仿宋_GB2312" w:eastAsia="仿宋_GB2312"/>
                <w:sz w:val="30"/>
                <w:shd w:fill="FFFFFF" w:val="clear"/>
              </w:rPr>
              <w:t>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保密要求</w:t>
            </w:r>
          </w:p>
        </w:tc>
        <w:tc>
          <w:tcPr>
            <w:tcW w:type="dxa" w:w="5814"/>
          </w:tcPr>
          <w:p>
            <w:pPr>
              <w:pStyle w:val="null3"/>
              <w:ind w:firstLine="600"/>
              <w:jc w:val="left"/>
            </w:pPr>
            <w:r>
              <w:rPr>
                <w:rFonts w:ascii="仿宋_GB2312" w:hAnsi="仿宋_GB2312" w:cs="仿宋_GB2312" w:eastAsia="仿宋_GB2312"/>
                <w:sz w:val="30"/>
                <w:shd w:fill="FFFFFF" w:val="clear"/>
              </w:rPr>
              <w:t>供应商在成交后须与采购人签订保密协议，保证拟投入本项目的工作人员在履约期间所接触的采购人各种文件、数据、系统资料、系统操作等严格遵守采购人保密制度，非经采购人书面许可，不向第三方透露，若因供应商或其相关人员泄露本合同项目资料造成采购人或者第三方损失的，供应商应当承担全部的赔偿责任。</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600"/>
              <w:jc w:val="left"/>
            </w:pPr>
            <w:r>
              <w:rPr>
                <w:rFonts w:ascii="仿宋_GB2312" w:hAnsi="仿宋_GB2312" w:cs="仿宋_GB2312" w:eastAsia="仿宋_GB2312"/>
                <w:sz w:val="30"/>
                <w:shd w:fill="FFFFFF" w:val="clear"/>
              </w:rPr>
              <w:t>1.政府采购合同签订时间及要求：供应商自成交通知书发出之日起30日内与采购人签订政府采购合同。若成交供应商在规定时间内不与采购人签订采购合同的，视为拒绝签订采购合同， 采购人有权将相关情况报同级政府采购监管部门处理。(供应商应在响应文件中单独提供承诺函并进行电子签章，承诺函格式自拟)</w:t>
            </w:r>
          </w:p>
          <w:p>
            <w:pPr>
              <w:pStyle w:val="null3"/>
              <w:ind w:firstLine="600"/>
              <w:jc w:val="left"/>
            </w:pPr>
            <w:r>
              <w:rPr>
                <w:rFonts w:ascii="仿宋_GB2312" w:hAnsi="仿宋_GB2312" w:cs="仿宋_GB2312" w:eastAsia="仿宋_GB2312"/>
                <w:sz w:val="30"/>
                <w:shd w:fill="FFFFFF" w:val="clear"/>
              </w:rPr>
              <w:t>2.供应商应严格执行《中华人民共和国民法典》《中华人民共和国劳动合同法》及项目所在地最低工资标准等相关法律、法规并依法与服务人员签订劳动合同，并办理各种用工手续，如因用工不当，给采购人及服务人员造成的损失由供应商承担。</w:t>
            </w:r>
          </w:p>
          <w:p>
            <w:pPr>
              <w:pStyle w:val="null3"/>
              <w:ind w:firstLine="600"/>
              <w:jc w:val="left"/>
            </w:pPr>
            <w:r>
              <w:rPr>
                <w:rFonts w:ascii="仿宋_GB2312" w:hAnsi="仿宋_GB2312" w:cs="仿宋_GB2312" w:eastAsia="仿宋_GB2312"/>
                <w:sz w:val="30"/>
                <w:shd w:fill="FFFFFF" w:val="clear"/>
              </w:rPr>
              <w:t>3.供应商服务人员在服务期间发生伤亡事故，或在服务过程中造成第三人伤亡的，责任由供应商依法承担。</w:t>
            </w:r>
          </w:p>
          <w:p>
            <w:pPr>
              <w:pStyle w:val="null3"/>
              <w:ind w:firstLine="600"/>
              <w:jc w:val="left"/>
            </w:pPr>
            <w:r>
              <w:rPr>
                <w:rFonts w:ascii="仿宋_GB2312" w:hAnsi="仿宋_GB2312" w:cs="仿宋_GB2312" w:eastAsia="仿宋_GB2312"/>
                <w:sz w:val="30"/>
                <w:shd w:fill="FFFFFF" w:val="clear"/>
              </w:rPr>
              <w:t>4.供应商定期及时向采购人通告本项目有关的重大事项及其进度。</w:t>
            </w:r>
          </w:p>
          <w:p>
            <w:pPr>
              <w:pStyle w:val="null3"/>
              <w:ind w:firstLine="600"/>
              <w:jc w:val="left"/>
            </w:pPr>
            <w:r>
              <w:rPr>
                <w:rFonts w:ascii="仿宋_GB2312" w:hAnsi="仿宋_GB2312" w:cs="仿宋_GB2312" w:eastAsia="仿宋_GB2312"/>
                <w:sz w:val="30"/>
                <w:shd w:fill="FFFFFF" w:val="clear"/>
              </w:rPr>
              <w:t>5.</w:t>
            </w:r>
            <w:r>
              <w:rPr>
                <w:rFonts w:ascii="仿宋_GB2312" w:hAnsi="仿宋_GB2312" w:cs="仿宋_GB2312" w:eastAsia="仿宋_GB2312"/>
                <w:sz w:val="30"/>
                <w:shd w:fill="FFFFFF" w:val="clear"/>
              </w:rPr>
              <w:t>供应商应</w:t>
            </w:r>
            <w:r>
              <w:rPr>
                <w:rFonts w:ascii="仿宋_GB2312" w:hAnsi="仿宋_GB2312" w:cs="仿宋_GB2312" w:eastAsia="仿宋_GB2312"/>
                <w:sz w:val="30"/>
                <w:shd w:fill="FFFFFF" w:val="clear"/>
              </w:rPr>
              <w:t>接受项目行业管理部门及政府有关部门的指导，接受采购人的监督。</w:t>
            </w:r>
          </w:p>
          <w:p>
            <w:pPr>
              <w:pStyle w:val="null3"/>
              <w:ind w:firstLine="600"/>
              <w:jc w:val="left"/>
            </w:pPr>
            <w:r>
              <w:rPr>
                <w:rFonts w:ascii="仿宋_GB2312" w:hAnsi="仿宋_GB2312" w:cs="仿宋_GB2312" w:eastAsia="仿宋_GB2312"/>
                <w:sz w:val="30"/>
                <w:shd w:fill="FFFFFF" w:val="clear"/>
              </w:rPr>
              <w:t>6.本项目采购过程和合同履行过程中的风险严格按照采购人的风险控制管理要求执行。</w:t>
            </w:r>
          </w:p>
          <w:p>
            <w:pPr>
              <w:pStyle w:val="null3"/>
              <w:ind w:firstLine="600"/>
              <w:jc w:val="left"/>
            </w:pPr>
            <w:r>
              <w:rPr>
                <w:rFonts w:ascii="仿宋_GB2312" w:hAnsi="仿宋_GB2312" w:cs="仿宋_GB2312" w:eastAsia="仿宋_GB2312"/>
                <w:sz w:val="30"/>
                <w:shd w:fill="FFFFFF" w:val="clear"/>
              </w:rPr>
              <w:t>7.本项目涉及国家强制标准、企业资质、产品认证、人员执业资格等描述与国家最新要求不一致时以最新要求为准。在新的替代标准实施之前生产的产品在符合原标准要求的前提下，可以在其质保期结束前继续销售。在新标准实施之后生产的产品应符合新标准要求。</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合同价款</w:t>
            </w:r>
          </w:p>
        </w:tc>
        <w:tc>
          <w:tcPr>
            <w:tcW w:type="dxa" w:w="5814"/>
          </w:tcPr>
          <w:p>
            <w:pPr>
              <w:pStyle w:val="null3"/>
              <w:jc w:val="left"/>
            </w:pPr>
            <w:r>
              <w:rPr>
                <w:rFonts w:ascii="仿宋_GB2312" w:hAnsi="仿宋_GB2312" w:cs="仿宋_GB2312" w:eastAsia="仿宋_GB2312"/>
                <w:sz w:val="30"/>
                <w:shd w:fill="FFFFFF" w:val="clear"/>
              </w:rPr>
              <w:t xml:space="preserve">     供应商报价应包括人员劳务、差旅、设备投入、安装、调试、运行维护、耗材、保险、风险、税金、利润以及谈判文件规定的一切费用。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自合同签订之日起60个日历天内完成供货及安装调试并交付采购人使用，本项目运行维护期为三年,自产品验收合格之日起计算。</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珙县,具体以采购人指定地点为准。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1、进度款，所有硬件设备送达至采购人指定地点且收到成交供应商提供的有效完整的增值税发票后，达到付款条件起14日内，支付合同总金额的15.00%</w:t>
            </w:r>
          </w:p>
          <w:p>
            <w:pPr>
              <w:pStyle w:val="null3"/>
              <w:jc w:val="left"/>
            </w:pPr>
            <w:r>
              <w:rPr>
                <w:rFonts w:ascii="仿宋_GB2312" w:hAnsi="仿宋_GB2312" w:cs="仿宋_GB2312" w:eastAsia="仿宋_GB2312"/>
              </w:rPr>
              <w:t>2、进度款，所有设备完成安装调试并经采购人初步验收合格且收到成交供应商提供的有效完整的增值税发票后，达到付款条件起14日内，支付合同总金额的50.00%</w:t>
            </w:r>
          </w:p>
          <w:p>
            <w:pPr>
              <w:pStyle w:val="null3"/>
              <w:jc w:val="left"/>
            </w:pPr>
            <w:r>
              <w:rPr>
                <w:rFonts w:ascii="仿宋_GB2312" w:hAnsi="仿宋_GB2312" w:cs="仿宋_GB2312" w:eastAsia="仿宋_GB2312"/>
              </w:rPr>
              <w:t>3、进度款，运行维护期满3个月且收到成交供应商提供的有效完整的增值税发票后，达到付款条件起14日内，支付合同总金额的30.00%</w:t>
            </w:r>
          </w:p>
          <w:p>
            <w:pPr>
              <w:pStyle w:val="null3"/>
              <w:jc w:val="left"/>
            </w:pPr>
            <w:r>
              <w:rPr>
                <w:rFonts w:ascii="仿宋_GB2312" w:hAnsi="仿宋_GB2312" w:cs="仿宋_GB2312" w:eastAsia="仿宋_GB2312"/>
              </w:rPr>
              <w:t>4、尾款，运行维护期满（36个月）并经采购人最终验收合格且收到成交供应商提供的有效完整的增值税发票后，达到付款条件起14日内，支付合同总金额的5.00%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以及采购文件的质量要求和技术指标(包括每一项技术和商务要求的履约情况)、成交供应商的响应文件及承诺与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1.质保期：三年(质保期为产品验收合格之日起开始计算，响应产品三包政策优于质保期限的，按响应产品三包执行)。 2.供应商应有完善的技术支持与服务体系，专人负责与采购人联系售后服务事宜(供应商应在响应文件中提供不少于2名售后服务人员的姓名、联系电话、身份证复印件及该人员的在职证明)，必要的售后机具配置、具有专门固定的售后服务电话，并能提供本地化服务。 3.供应商针对本项目向采购人提供培训服务，培训内容包括设备的性能、原理、操作、保养和维护等内容，达到采购人可独立使用，培训人数和地点由采购人指定，并在培训后免费提供技术咨询服务。 4.在质保期内货物出现质量问题，供应商应在接到通知后2小时内到场，4小时内完成维修。设备需更换的应在2个工作日内完成更换。逾期未完成维修或更换的，供应商应向采购人支付合同总价1%的违约金。 5.供应商承诺项目全部货物的各种部件均保证齐备、充足供应，若因产品升级更新等原因不能保障供应造成采购人损失的，供应商承担全部赔偿责任，在交货时需向采购人提供货物常规备品备件。</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(一)甲方违约责任 1.甲方逾期支付货款的，除应及时付足货款外，应向乙方偿付欠款总额万分之五/天的违约金；逾期付款超过15天的，乙方有权终止合同； 2.甲方偿付的违约金不足以弥补乙方损失的，还应按乙方经济损失尚未弥补的部分，支付赔偿金给乙方。 (二)乙方违约责任 1.乙方必须遵守采购合同并执行合同中的各项规定，保证采购合同的正常履行。 2.如因乙方工作人员在履行职务过程中的疏忽、失职、过错等故意或者过失原因给甲方造成损失或侵害，包括但不限于甲方本身的财产损失、律师费、诉讼费、公证费、保全费、保全保险费、鉴定费等以及由此而导致的甲方对任何第三方的法律责任等，乙方对此均应承担全部的赔偿责任。 3.乙方交付的货物质量不符合合同规定的，须在合同规定的交货时间内更换合格的货物给甲方，否则，视作乙方不能交付货物而违约，按本条款下述第“4”项规定由乙方承担违约责任。 4.乙方不能交付货物或逾期交付货物而违约的，除应及时交足货物外，应向甲方偿付逾期交货部分货款总额的万分之五天的违约金；逾期交货超过5天，甲方有权终止合同，乙方则应按合同总价的百分之十的款额向甲方偿付违约金，并须全额退还甲方已经付给乙方的货款及其利息。 5.乙方货物经甲方送交具有法定资格条件的质量技术监督机构检测后，如检测结果认定货物质量不符合本合同规定标准的，则视为乙方没有按时交货而违约，乙方须在5天内无条件更换合格的货物，如逾期不能更换合格的货物，甲方有权终止本合同，按本条款上述第“4”项规定由乙方承担违约责任。 6.乙方保证本合同货物的权利无瑕疵，包括货物所有权及知识产权等权利无瑕疵。如任何第三方经法院(或仲裁机构)裁决有权对上述货物主张权利或国家机关依法对货物进行没收查封的，乙方除应向甲方返还已收款项外，还应另按合同总价的百分之十向甲方支付违约金并赔偿因此给甲方造成的一切损失。 7.乙方应当遵守甲方的相关项目需求及相关技术要求及实质性条款，实施完成采购合同应当完全满足相关项目需求及相关技术要求及实质性条款，若乙方瑕疵履行采购合同，甲方有权向乙方要求赔偿合同总价款20%的违约金，若造成相关损失且违约金不足以弥补甲方损失的，甲方有权要求乙方承担所有赔偿责任。 (三)解决争议的方法 1.因货物的质量问题发生争议，由甲方所在地质量技术监督部门或其指定的质量鉴定机构进行质量鉴定。货物符合标准的，鉴定费由甲方承担；货物不符合质量标准的，鉴定费由乙方承担。 2.合同履行期间,若双方发生争议，可协商或由有关部门调解解决，协商或调解不成的，向甲方所在地有管辖权的人民法院起诉。</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谈判小组认为需要根据谈判情况实质性变动的技术、服务及其他要求。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谈判小组根据谈判情况认为需要实质性变动的相关合同条款。</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符合采购文件的其他实质性要求。</w:t>
            </w:r>
          </w:p>
        </w:tc>
        <w:tc>
          <w:tcPr>
            <w:tcW w:type="dxa" w:w="3322"/>
          </w:tcPr>
          <w:p>
            <w:pPr>
              <w:pStyle w:val="null3"/>
              <w:jc w:val="left"/>
            </w:pPr>
            <w:r>
              <w:rPr>
                <w:rFonts w:ascii="仿宋_GB2312" w:hAnsi="仿宋_GB2312" w:cs="仿宋_GB2312" w:eastAsia="仿宋_GB2312"/>
              </w:rPr>
              <w:t>符合采购文件的其他实质性要求。</w:t>
            </w:r>
          </w:p>
        </w:tc>
        <w:tc>
          <w:tcPr>
            <w:tcW w:type="dxa" w:w="1661"/>
          </w:tcPr>
          <w:p>
            <w:pPr>
              <w:pStyle w:val="null3"/>
              <w:jc w:val="left"/>
            </w:pPr>
            <w:r>
              <w:rPr>
                <w:rFonts w:ascii="仿宋_GB2312" w:hAnsi="仿宋_GB2312" w:cs="仿宋_GB2312" w:eastAsia="仿宋_GB2312"/>
              </w:rPr>
              <w:t>产品技术参数响应表,报价明细表,供应商应提交的相关证明材料,服务应答表,报价表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报价明细表,关于符合本国产品标准的声明函,报价表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