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版本号：N513227202600001620260325001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小金县2026年春荒应急饲草项目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N5132272026000016</w:t>
      </w:r>
    </w:p>
    <w:p>
      <w:pPr>
        <w:pStyle w:val="null3"/>
        <w:jc w:val="left"/>
        <w:outlineLvl w:val="2"/>
      </w:pPr>
      <w:r>
        <w:rPr>
          <w:rFonts w:ascii="仿宋_GB2312" w:hAnsi="仿宋_GB2312" w:cs="仿宋_GB2312" w:eastAsia="仿宋_GB2312"/>
          <w:sz w:val="28"/>
          <w:b/>
        </w:rPr>
        <w:t>小金县科学技术和农业畜牧水务局</w:t>
      </w:r>
    </w:p>
    <w:p>
      <w:pPr>
        <w:pStyle w:val="null3"/>
        <w:jc w:val="center"/>
        <w:outlineLvl w:val="2"/>
      </w:pPr>
      <w:r>
        <w:rPr>
          <w:rFonts w:ascii="仿宋_GB2312" w:hAnsi="仿宋_GB2312" w:cs="仿宋_GB2312" w:eastAsia="仿宋_GB2312"/>
          <w:sz w:val="28"/>
          <w:b/>
        </w:rPr>
        <w:t>四川珂信招标代理有限公司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四川珂信招标代理有限公司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小金县科学技术和农业畜牧水务局</w:t>
      </w:r>
      <w:r>
        <w:rPr>
          <w:rFonts w:ascii="仿宋_GB2312" w:hAnsi="仿宋_GB2312" w:cs="仿宋_GB2312" w:eastAsia="仿宋_GB2312"/>
        </w:rPr>
        <w:t xml:space="preserve"> 委托，拟对 </w:t>
      </w:r>
      <w:r>
        <w:rPr>
          <w:rFonts w:ascii="仿宋_GB2312" w:hAnsi="仿宋_GB2312" w:cs="仿宋_GB2312" w:eastAsia="仿宋_GB2312"/>
        </w:rPr>
        <w:t>小金县2026年春荒应急饲草项目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阿坝藏族羌族自治州小金县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N5132272026000016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小金县2026年春荒应急饲草项目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为增强防灾减灾能力，降低牲畜因灾死亡率，减少农牧民财产性损失，避免牲畜春季缺草死亡，在2026年秋春季期间，需完成采购贮备燕麦饲草料900吨。</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小金县科学技术和农业畜牧水务局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四川省阿坝州小金县美兴镇江西街3-1</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624299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13398161541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四川珂信招标代理有限公司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四川省成都市都江堰市四川省成都市都江堰市奎光塔街道滨河社区都江堰市彩虹大道南段885号水都豪庭36栋1单元1层11号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611830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姜女士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028-87241919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采购包1：2,000,000.00元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代理服务费收费标准：本项目代理服务费定额收取28000元，由中标人在领取中标通知书前支付代理机构。</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小金县科学技术和农业畜牧水务局</w:t>
      </w:r>
      <w:r>
        <w:rPr>
          <w:rFonts w:ascii="仿宋_GB2312" w:hAnsi="仿宋_GB2312" w:cs="仿宋_GB2312" w:eastAsia="仿宋_GB2312"/>
        </w:rPr>
        <w:t xml:space="preserve"> 和 </w:t>
      </w:r>
      <w:r>
        <w:rPr>
          <w:rFonts w:ascii="仿宋_GB2312" w:hAnsi="仿宋_GB2312" w:cs="仿宋_GB2312" w:eastAsia="仿宋_GB2312"/>
        </w:rPr>
        <w:t>四川珂信招标代理有限公司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小金县科学技术和农业畜牧水务局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四川珂信招标代理有限公司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60</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预付款，合同签订后，采购人收到等额有效发票及交货票据后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30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采购人验收产品合格且收到正规票据后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70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按照本项目采购文件中“技术、服务要求”及供应商的响应文件进行验收。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按照本项目采购文件中“商务要求”及供应商的响应文件进行验收。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采购包1：按照《财政部关于进一步加强政府采购需求和履约验收管理的指导意见》（财库〔2016〕205号）及招标文件技术服务、商务要求、和国家、行业标准验收。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小金县科学技术和农业畜牧水务局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四川珂信招标代理有限公司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四川珂信招标代理有限公司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联系人：蒋老师</w:t>
      </w:r>
    </w:p>
    <w:p>
      <w:pPr>
        <w:pStyle w:val="null3"/>
        <w:jc w:val="left"/>
      </w:pPr>
      <w:r>
        <w:rPr>
          <w:rFonts w:ascii="仿宋_GB2312" w:hAnsi="仿宋_GB2312" w:cs="仿宋_GB2312" w:eastAsia="仿宋_GB2312"/>
        </w:rPr>
        <w:t>联系电话：13398161541</w:t>
      </w:r>
    </w:p>
    <w:p>
      <w:pPr>
        <w:pStyle w:val="null3"/>
        <w:jc w:val="left"/>
      </w:pPr>
      <w:r>
        <w:rPr>
          <w:rFonts w:ascii="仿宋_GB2312" w:hAnsi="仿宋_GB2312" w:cs="仿宋_GB2312" w:eastAsia="仿宋_GB2312"/>
        </w:rPr>
        <w:t>地址：四川省阿坝藏族羌族自治州小金县科学技术和农业畜牧水务局</w:t>
      </w:r>
    </w:p>
    <w:p>
      <w:pPr>
        <w:pStyle w:val="null3"/>
        <w:jc w:val="left"/>
      </w:pPr>
      <w:r>
        <w:rPr>
          <w:rFonts w:ascii="仿宋_GB2312" w:hAnsi="仿宋_GB2312" w:cs="仿宋_GB2312" w:eastAsia="仿宋_GB2312"/>
        </w:rPr>
        <w:t>邮编：624299</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2,000,000.00</w:t>
      </w:r>
    </w:p>
    <w:p>
      <w:pPr>
        <w:pStyle w:val="null3"/>
        <w:jc w:val="left"/>
      </w:pPr>
      <w:r>
        <w:rPr>
          <w:rFonts w:ascii="仿宋_GB2312" w:hAnsi="仿宋_GB2312" w:cs="仿宋_GB2312" w:eastAsia="仿宋_GB2312"/>
        </w:rPr>
        <w:t>采购包最高限价（元）: 2,000,000.00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A07030903 饲料牧草</w:t>
            </w:r>
          </w:p>
        </w:tc>
        <w:tc>
          <w:tcPr>
            <w:tcW w:type="dxa" w:w="821"/>
          </w:tcPr>
          <w:p>
            <w:pPr>
              <w:pStyle w:val="null3"/>
              <w:jc w:val="left"/>
            </w:pPr>
            <w:r>
              <w:rPr>
                <w:rFonts w:ascii="仿宋_GB2312" w:hAnsi="仿宋_GB2312" w:cs="仿宋_GB2312" w:eastAsia="仿宋_GB2312"/>
              </w:rPr>
              <w:t>燕麦青干草</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2,000,000.00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燕麦青干草</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2,000,000.00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A07030903 饲料牧草</w:t>
            </w:r>
          </w:p>
        </w:tc>
        <w:tc>
          <w:tcPr>
            <w:tcW w:type="dxa" w:w="2492"/>
          </w:tcPr>
          <w:p>
            <w:pPr>
              <w:pStyle w:val="null3"/>
              <w:jc w:val="left"/>
            </w:pPr>
            <w:r>
              <w:rPr>
                <w:rFonts w:ascii="仿宋_GB2312" w:hAnsi="仿宋_GB2312" w:cs="仿宋_GB2312" w:eastAsia="仿宋_GB2312"/>
              </w:rPr>
              <w:t>燕麦青干草</w:t>
            </w:r>
          </w:p>
        </w:tc>
        <w:tc>
          <w:tcPr>
            <w:tcW w:type="dxa" w:w="2492"/>
          </w:tcPr>
          <w:p>
            <w:pPr>
              <w:pStyle w:val="null3"/>
              <w:jc w:val="left"/>
            </w:pPr>
            <w:r>
              <w:rPr>
                <w:rFonts w:ascii="仿宋_GB2312" w:hAnsi="仿宋_GB2312" w:cs="仿宋_GB2312" w:eastAsia="仿宋_GB2312"/>
              </w:rPr>
              <w:t>燕麦青干草</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标的名称：燕麦青干草</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169"/>
              <w:gridCol w:w="4429"/>
            </w:tblGrid>
            <w:tr>
              <w:tc>
                <w:tcPr>
                  <w:tcW w:type="dxa" w:w="1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8"/>
                      <w:color w:val="000000"/>
                    </w:rPr>
                    <w:t>货物种类</w:t>
                  </w:r>
                </w:p>
              </w:tc>
              <w:tc>
                <w:tcPr>
                  <w:tcW w:type="dxa" w:w="44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8"/>
                      <w:color w:val="000000"/>
                    </w:rPr>
                    <w:t>技术参数</w:t>
                  </w:r>
                </w:p>
              </w:tc>
            </w:tr>
            <w:tr>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color w:val="000000"/>
                    </w:rPr>
                    <w:t>燕麦青干草</w:t>
                  </w:r>
                </w:p>
              </w:tc>
              <w:tc>
                <w:tcPr>
                  <w:tcW w:type="dxa" w:w="4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color w:val="000000"/>
                    </w:rPr>
                    <w:t>1.品种：燕麦草灌浆期或腊熟期的青干草；绿色程度7成绿。</w:t>
                  </w:r>
                </w:p>
                <w:p>
                  <w:pPr>
                    <w:pStyle w:val="null3"/>
                    <w:spacing w:after="120"/>
                    <w:jc w:val="both"/>
                  </w:pPr>
                  <w:r>
                    <w:rPr>
                      <w:rFonts w:ascii="仿宋_GB2312" w:hAnsi="仿宋_GB2312" w:cs="仿宋_GB2312" w:eastAsia="仿宋_GB2312"/>
                      <w:sz w:val="24"/>
                      <w:color w:val="000000"/>
                    </w:rPr>
                    <w:t>2.草捆中杂草含量：≤5%</w:t>
                  </w:r>
                </w:p>
                <w:p>
                  <w:pPr>
                    <w:pStyle w:val="null3"/>
                    <w:spacing w:after="120"/>
                    <w:jc w:val="both"/>
                  </w:pPr>
                  <w:r>
                    <w:rPr>
                      <w:rFonts w:ascii="仿宋_GB2312" w:hAnsi="仿宋_GB2312" w:cs="仿宋_GB2312" w:eastAsia="仿宋_GB2312"/>
                      <w:sz w:val="24"/>
                      <w:color w:val="000000"/>
                    </w:rPr>
                    <w:t>▲3.含水量：≤14%</w:t>
                  </w:r>
                </w:p>
                <w:p>
                  <w:pPr>
                    <w:pStyle w:val="null3"/>
                    <w:spacing w:after="120"/>
                    <w:jc w:val="both"/>
                  </w:pPr>
                  <w:r>
                    <w:rPr>
                      <w:rFonts w:ascii="仿宋_GB2312" w:hAnsi="仿宋_GB2312" w:cs="仿宋_GB2312" w:eastAsia="仿宋_GB2312"/>
                      <w:sz w:val="24"/>
                      <w:color w:val="000000"/>
                    </w:rPr>
                    <w:t>4.土石等杂质：≤1%</w:t>
                  </w:r>
                </w:p>
                <w:p>
                  <w:pPr>
                    <w:pStyle w:val="null3"/>
                    <w:spacing w:after="120"/>
                    <w:jc w:val="both"/>
                  </w:pPr>
                  <w:r>
                    <w:rPr>
                      <w:rFonts w:ascii="仿宋_GB2312" w:hAnsi="仿宋_GB2312" w:cs="仿宋_GB2312" w:eastAsia="仿宋_GB2312"/>
                      <w:sz w:val="24"/>
                      <w:color w:val="000000"/>
                    </w:rPr>
                    <w:t>5.有毒有害草：≤1%</w:t>
                  </w:r>
                </w:p>
                <w:p>
                  <w:pPr>
                    <w:pStyle w:val="null3"/>
                    <w:jc w:val="left"/>
                  </w:pPr>
                  <w:r>
                    <w:rPr>
                      <w:rFonts w:ascii="仿宋_GB2312" w:hAnsi="仿宋_GB2312" w:cs="仿宋_GB2312" w:eastAsia="仿宋_GB2312"/>
                      <w:sz w:val="24"/>
                      <w:color w:val="000000"/>
                    </w:rPr>
                    <w:t>6.不含任何违禁添加物，包装规格重量：≥15kg/捆；</w:t>
                  </w:r>
                </w:p>
                <w:p>
                  <w:pPr>
                    <w:pStyle w:val="null3"/>
                    <w:jc w:val="both"/>
                  </w:pPr>
                  <w:r>
                    <w:rPr>
                      <w:rFonts w:ascii="仿宋_GB2312" w:hAnsi="仿宋_GB2312" w:cs="仿宋_GB2312" w:eastAsia="仿宋_GB2312"/>
                      <w:sz w:val="24"/>
                      <w:color w:val="000000"/>
                    </w:rPr>
                    <w:t>▲7.粗蛋白≥10%</w:t>
                  </w:r>
                </w:p>
                <w:p>
                  <w:pPr>
                    <w:pStyle w:val="null3"/>
                    <w:jc w:val="both"/>
                  </w:pPr>
                  <w:r>
                    <w:rPr>
                      <w:rFonts w:ascii="仿宋_GB2312" w:hAnsi="仿宋_GB2312" w:cs="仿宋_GB2312" w:eastAsia="仿宋_GB2312"/>
                      <w:sz w:val="24"/>
                      <w:color w:val="000000"/>
                    </w:rPr>
                    <w:t>▲8.粗纤维≤29%</w:t>
                  </w:r>
                </w:p>
                <w:p>
                  <w:pPr>
                    <w:pStyle w:val="null3"/>
                    <w:jc w:val="both"/>
                  </w:pPr>
                  <w:r>
                    <w:rPr>
                      <w:rFonts w:ascii="仿宋_GB2312" w:hAnsi="仿宋_GB2312" w:cs="仿宋_GB2312" w:eastAsia="仿宋_GB2312"/>
                      <w:sz w:val="24"/>
                      <w:color w:val="000000"/>
                    </w:rPr>
                    <w:t>9.粗灰分≤11%</w:t>
                  </w:r>
                </w:p>
                <w:p>
                  <w:pPr>
                    <w:pStyle w:val="null3"/>
                    <w:spacing w:after="120"/>
                    <w:jc w:val="both"/>
                  </w:pPr>
                  <w:r>
                    <w:rPr>
                      <w:rFonts w:ascii="仿宋_GB2312" w:hAnsi="仿宋_GB2312" w:cs="仿宋_GB2312" w:eastAsia="仿宋_GB2312"/>
                      <w:sz w:val="24"/>
                      <w:color w:val="000000"/>
                    </w:rPr>
                    <w:t>▲10.产品色泽一致,无发霉、变质、异味、结块；</w:t>
                  </w:r>
                </w:p>
                <w:p>
                  <w:pPr>
                    <w:pStyle w:val="null3"/>
                    <w:spacing w:after="120"/>
                    <w:jc w:val="both"/>
                  </w:pPr>
                  <w:r>
                    <w:rPr>
                      <w:rFonts w:ascii="仿宋_GB2312" w:hAnsi="仿宋_GB2312" w:cs="仿宋_GB2312" w:eastAsia="仿宋_GB2312"/>
                      <w:sz w:val="24"/>
                      <w:b/>
                      <w:color w:val="000000"/>
                    </w:rPr>
                    <w:t>★</w:t>
                  </w:r>
                  <w:r>
                    <w:rPr>
                      <w:rFonts w:ascii="仿宋_GB2312" w:hAnsi="仿宋_GB2312" w:cs="仿宋_GB2312" w:eastAsia="仿宋_GB2312"/>
                      <w:sz w:val="24"/>
                      <w:color w:val="000000"/>
                    </w:rPr>
                    <w:t>11.卫生标准需符合 GB 13078-2017《饲料卫生标准》的规定并在供货时提供国家认可的检测报告；（提供承诺函，格式自拟）</w:t>
                  </w:r>
                </w:p>
                <w:p>
                  <w:pPr>
                    <w:pStyle w:val="null3"/>
                    <w:spacing w:after="120"/>
                    <w:jc w:val="both"/>
                  </w:pPr>
                  <w:r>
                    <w:rPr>
                      <w:rFonts w:ascii="仿宋_GB2312" w:hAnsi="仿宋_GB2312" w:cs="仿宋_GB2312" w:eastAsia="仿宋_GB2312"/>
                      <w:sz w:val="24"/>
                      <w:b/>
                      <w:color w:val="000000"/>
                    </w:rPr>
                    <w:t>★</w:t>
                  </w:r>
                  <w:r>
                    <w:rPr>
                      <w:rFonts w:ascii="仿宋_GB2312" w:hAnsi="仿宋_GB2312" w:cs="仿宋_GB2312" w:eastAsia="仿宋_GB2312"/>
                      <w:sz w:val="24"/>
                      <w:color w:val="000000"/>
                    </w:rPr>
                    <w:t>12.饲草不能来自炭疽、口蹄疫、鼠疫、包虫病、小反刍兽疫、布病等疫区生产；（提供承诺函，格式自拟）</w:t>
                  </w:r>
                </w:p>
                <w:p>
                  <w:pPr>
                    <w:pStyle w:val="null3"/>
                    <w:spacing w:after="120"/>
                    <w:jc w:val="both"/>
                  </w:pPr>
                  <w:r>
                    <w:rPr>
                      <w:rFonts w:ascii="仿宋_GB2312" w:hAnsi="仿宋_GB2312" w:cs="仿宋_GB2312" w:eastAsia="仿宋_GB2312"/>
                      <w:sz w:val="24"/>
                      <w:b/>
                      <w:color w:val="000000"/>
                    </w:rPr>
                    <w:t>★</w:t>
                  </w:r>
                  <w:r>
                    <w:rPr>
                      <w:rFonts w:ascii="仿宋_GB2312" w:hAnsi="仿宋_GB2312" w:cs="仿宋_GB2312" w:eastAsia="仿宋_GB2312"/>
                      <w:sz w:val="24"/>
                      <w:color w:val="000000"/>
                    </w:rPr>
                    <w:t>13.质量标准符合或优NY/T728-2003《禾本科牧草干草质量分级》的要求；（提供承诺函，格式自拟）</w:t>
                  </w:r>
                </w:p>
                <w:p>
                  <w:pPr>
                    <w:pStyle w:val="null3"/>
                    <w:spacing w:after="120"/>
                    <w:jc w:val="both"/>
                  </w:pPr>
                  <w:r>
                    <w:rPr>
                      <w:rFonts w:ascii="仿宋_GB2312" w:hAnsi="仿宋_GB2312" w:cs="仿宋_GB2312" w:eastAsia="仿宋_GB2312"/>
                      <w:sz w:val="24"/>
                      <w:b/>
                      <w:color w:val="000000"/>
                    </w:rPr>
                    <w:t>★</w:t>
                  </w:r>
                  <w:r>
                    <w:rPr>
                      <w:rFonts w:ascii="仿宋_GB2312" w:hAnsi="仿宋_GB2312" w:cs="仿宋_GB2312" w:eastAsia="仿宋_GB2312"/>
                      <w:sz w:val="24"/>
                      <w:color w:val="000000"/>
                    </w:rPr>
                    <w:t>14.生产日期为签订合同前12个月内。（提供承诺函，格式自拟）</w:t>
                  </w:r>
                </w:p>
                <w:p>
                  <w:pPr>
                    <w:pStyle w:val="null3"/>
                    <w:jc w:val="both"/>
                  </w:pPr>
                </w:p>
              </w:tc>
            </w:tr>
          </w:tbl>
          <w:p>
            <w:pPr>
              <w:pStyle w:val="null3"/>
              <w:jc w:val="both"/>
            </w:pPr>
            <w:r>
              <w:rPr>
                <w:rFonts w:ascii="仿宋_GB2312" w:hAnsi="仿宋_GB2312" w:cs="仿宋_GB2312" w:eastAsia="仿宋_GB2312"/>
                <w:sz w:val="24"/>
                <w:color w:val="000000"/>
              </w:rPr>
              <w:t>备注：</w:t>
            </w:r>
            <w:r>
              <w:rPr>
                <w:rFonts w:ascii="仿宋_GB2312" w:hAnsi="仿宋_GB2312" w:cs="仿宋_GB2312" w:eastAsia="仿宋_GB2312"/>
                <w:sz w:val="24"/>
                <w:color w:val="000000"/>
              </w:rPr>
              <w:t>①、“★”条款为实质性，不允许负偏离，否则投标无效。</w:t>
            </w:r>
          </w:p>
          <w:p>
            <w:pPr>
              <w:pStyle w:val="null3"/>
              <w:ind w:firstLine="53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②、“▲”重要参数，如若负偏离，将加重扣分。该项内容给需提供国家认可的第三方检测机构出具的检测报告予以佐证，检测报告中产品名称需为燕麦青干草类，检测报告需为开标前12个月内的燕麦青干草类检测报告。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项目要求</w:t>
            </w:r>
          </w:p>
        </w:tc>
        <w:tc>
          <w:tcPr>
            <w:tcW w:type="dxa" w:w="5814"/>
          </w:tcPr>
          <w:p>
            <w:pPr>
              <w:pStyle w:val="null3"/>
              <w:ind w:firstLine="420"/>
              <w:jc w:val="left"/>
            </w:pPr>
            <w:r>
              <w:rPr>
                <w:rFonts w:ascii="仿宋_GB2312" w:hAnsi="仿宋_GB2312" w:cs="仿宋_GB2312" w:eastAsia="仿宋_GB2312"/>
                <w:sz w:val="24"/>
                <w:b/>
              </w:rPr>
              <w:t>1、项目内容与规模：</w:t>
            </w:r>
            <w:r>
              <w:rPr>
                <w:rFonts w:ascii="仿宋_GB2312" w:hAnsi="仿宋_GB2312" w:cs="仿宋_GB2312" w:eastAsia="仿宋_GB2312"/>
              </w:rPr>
              <w:t>增强防灾减灾能力，降低牲畜因灾死亡率，减少农牧民财产性损失，避免牲畜</w:t>
            </w:r>
            <w:r>
              <w:rPr>
                <w:rFonts w:ascii="仿宋_GB2312" w:hAnsi="仿宋_GB2312" w:cs="仿宋_GB2312" w:eastAsia="仿宋_GB2312"/>
              </w:rPr>
              <w:t>春</w:t>
            </w:r>
            <w:r>
              <w:rPr>
                <w:rFonts w:ascii="仿宋_GB2312" w:hAnsi="仿宋_GB2312" w:cs="仿宋_GB2312" w:eastAsia="仿宋_GB2312"/>
              </w:rPr>
              <w:t>季缺草死亡，在</w:t>
            </w:r>
            <w:r>
              <w:rPr>
                <w:rFonts w:ascii="仿宋_GB2312" w:hAnsi="仿宋_GB2312" w:cs="仿宋_GB2312" w:eastAsia="仿宋_GB2312"/>
              </w:rPr>
              <w:t>202</w:t>
            </w:r>
            <w:r>
              <w:rPr>
                <w:rFonts w:ascii="仿宋_GB2312" w:hAnsi="仿宋_GB2312" w:cs="仿宋_GB2312" w:eastAsia="仿宋_GB2312"/>
              </w:rPr>
              <w:t>6</w:t>
            </w:r>
            <w:r>
              <w:rPr>
                <w:rFonts w:ascii="仿宋_GB2312" w:hAnsi="仿宋_GB2312" w:cs="仿宋_GB2312" w:eastAsia="仿宋_GB2312"/>
              </w:rPr>
              <w:t>年秋</w:t>
            </w:r>
            <w:r>
              <w:rPr>
                <w:rFonts w:ascii="仿宋_GB2312" w:hAnsi="仿宋_GB2312" w:cs="仿宋_GB2312" w:eastAsia="仿宋_GB2312"/>
              </w:rPr>
              <w:t>春</w:t>
            </w:r>
            <w:r>
              <w:rPr>
                <w:rFonts w:ascii="仿宋_GB2312" w:hAnsi="仿宋_GB2312" w:cs="仿宋_GB2312" w:eastAsia="仿宋_GB2312"/>
              </w:rPr>
              <w:t>季期间，需完成采购贮备燕麦饲草料</w:t>
            </w:r>
            <w:r>
              <w:rPr>
                <w:rFonts w:ascii="仿宋_GB2312" w:hAnsi="仿宋_GB2312" w:cs="仿宋_GB2312" w:eastAsia="仿宋_GB2312"/>
              </w:rPr>
              <w:t>9</w:t>
            </w:r>
            <w:r>
              <w:rPr>
                <w:rFonts w:ascii="仿宋_GB2312" w:hAnsi="仿宋_GB2312" w:cs="仿宋_GB2312" w:eastAsia="仿宋_GB2312"/>
              </w:rPr>
              <w:t>00</w:t>
            </w:r>
            <w:r>
              <w:rPr>
                <w:rFonts w:ascii="仿宋_GB2312" w:hAnsi="仿宋_GB2312" w:cs="仿宋_GB2312" w:eastAsia="仿宋_GB2312"/>
              </w:rPr>
              <w:t>吨</w:t>
            </w:r>
          </w:p>
          <w:p>
            <w:pPr>
              <w:pStyle w:val="null3"/>
              <w:ind w:firstLine="482"/>
              <w:jc w:val="left"/>
            </w:pPr>
            <w:r>
              <w:rPr>
                <w:rFonts w:ascii="仿宋_GB2312" w:hAnsi="仿宋_GB2312" w:cs="仿宋_GB2312" w:eastAsia="仿宋_GB2312"/>
                <w:sz w:val="24"/>
                <w:b/>
              </w:rPr>
              <w:t>2、饲草料采购、贮备和发放</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1）投标人负责将所有饲草料在</w:t>
            </w:r>
            <w:r>
              <w:rPr>
                <w:rFonts w:ascii="仿宋_GB2312" w:hAnsi="仿宋_GB2312" w:cs="仿宋_GB2312" w:eastAsia="仿宋_GB2312"/>
                <w:sz w:val="24"/>
              </w:rPr>
              <w:t>小金</w:t>
            </w:r>
            <w:r>
              <w:rPr>
                <w:rFonts w:ascii="仿宋_GB2312" w:hAnsi="仿宋_GB2312" w:cs="仿宋_GB2312" w:eastAsia="仿宋_GB2312"/>
                <w:sz w:val="24"/>
              </w:rPr>
              <w:t>本地进行仓贮，其仓贮设施设备完善，能满足饲草料长期保存要求。投标人还应负责饲草料日常保管保存，注意防火、防盗、防霉变。</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2）在发生雪灾、火灾、虫灾等自然灾害时，根据乡镇和牧户实际的受灾情况，对因受灾缺草乡村和牧户及时进行快速发放；</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今春全县如果一直没有发生草原雪灾、火灾、虫灾等自然灾害，投标人应做好应急救灾饲草料贮备工作，注意防火、防盗、防霉变。在第二年草原返青之前，将所有采购的应急救灾饲草料对全县乡镇和广大牧户集中、统一、分批发放。投标人协调配合处理发放工作，确保发放到户到村。同时做好物资出入库登记管理工作，建立完善物资台账。</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4）投标人应具备应急程序，配合采购人，在采购人安排下进行救灾饲草料运输、装卸、监管发放，落实安全责任。完善规范档案手续：出入库台账、发放名册、相关图片资料等</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3、其他要求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1）质量要求:</w:t>
            </w:r>
          </w:p>
          <w:p>
            <w:pPr>
              <w:pStyle w:val="null3"/>
              <w:ind w:firstLine="480"/>
              <w:jc w:val="both"/>
            </w:pPr>
            <w:r>
              <w:rPr>
                <w:rFonts w:ascii="仿宋_GB2312" w:hAnsi="仿宋_GB2312" w:cs="仿宋_GB2312" w:eastAsia="仿宋_GB2312"/>
                <w:sz w:val="24"/>
              </w:rPr>
              <w:t>①货物必须符合或优于国家及行业标准，以及本项目招标文件的质量要求和技术指标与出厂标准。同时应确保没有侵害他人的知识产权和所有权等其他合法权益。否则，由此产生的纠纷和给采购人造成的损失均由投标人承担赔偿责任。</w:t>
            </w:r>
          </w:p>
          <w:p>
            <w:pPr>
              <w:pStyle w:val="null3"/>
              <w:ind w:firstLine="480"/>
              <w:jc w:val="both"/>
            </w:pPr>
            <w:r>
              <w:rPr>
                <w:rFonts w:ascii="仿宋_GB2312" w:hAnsi="仿宋_GB2312" w:cs="仿宋_GB2312" w:eastAsia="仿宋_GB2312"/>
                <w:sz w:val="24"/>
                <w:color w:val="333333"/>
              </w:rPr>
              <w:t>②启用盲样复检机制（封存样品由双方共同保管），储备饲草料出现质量问题，根据第三方鉴定结果，投标人应负责包换、包退，所产生的一切费用由投标人自行承担。</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交货要求：投标人应按货物名称、数量交货，并附详细的货物清单和签收单及各产品的合格证，以便采购人验货核对。若遇配货包装、运输过程中造成的短缺、差错、丢失、损坏等，供应方无条件调换、补缺。</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spacing w:after="120"/>
              <w:ind w:firstLine="480"/>
              <w:jc w:val="both"/>
            </w:pPr>
            <w:r>
              <w:rPr>
                <w:rFonts w:ascii="仿宋_GB2312" w:hAnsi="仿宋_GB2312" w:cs="仿宋_GB2312" w:eastAsia="仿宋_GB2312"/>
                <w:sz w:val="24"/>
              </w:rPr>
              <w:t>报价应是最终用户验收合格后的总价，包括但不限于货物、包装、运输费、装卸费、仓储费、人工费、保险、风险、所有税费、备用物件和招标文件规定的其它全部费用。采购人按照成交价进行结算，投标人应根据本项目的实际情况与自身现实情况，并充分考虑不确定性因素可能导致的风险自行报价。若因投标人原因造成的漏报、错报而导致重复工作成本，由投标人负责，采购人不会承担任何费用。</w:t>
            </w:r>
            <w:r>
              <w:rPr>
                <w:rFonts w:ascii="仿宋_GB2312" w:hAnsi="仿宋_GB2312" w:cs="仿宋_GB2312" w:eastAsia="仿宋_GB2312"/>
                <w:sz w:val="24"/>
                <w:b/>
              </w:rPr>
              <w:t>（单独提供承诺函，格式自拟）</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安全要求</w:t>
            </w:r>
          </w:p>
        </w:tc>
        <w:tc>
          <w:tcPr>
            <w:tcW w:type="dxa" w:w="5814"/>
          </w:tcPr>
          <w:p>
            <w:pPr>
              <w:pStyle w:val="null3"/>
              <w:jc w:val="left"/>
            </w:pPr>
            <w:r>
              <w:rPr>
                <w:rFonts w:ascii="仿宋_GB2312" w:hAnsi="仿宋_GB2312" w:cs="仿宋_GB2312" w:eastAsia="仿宋_GB2312"/>
                <w:sz w:val="24"/>
              </w:rPr>
              <w:t xml:space="preserve">         由于本项目实施地区，实施地点与交通道路安全存在一定风险性，投标人必须严格按国家安全生产的法律法规进行安全文明实施及运输。在运输、实施过程中（即该项目验收合格前）若发生任何安全事故，均由投标人负责，因事故所产生的一切赔付和善后均由投标人负责，采购人不承担任何经济和法律责任。</w:t>
            </w:r>
            <w:r>
              <w:rPr>
                <w:rFonts w:ascii="仿宋_GB2312" w:hAnsi="仿宋_GB2312" w:cs="仿宋_GB2312" w:eastAsia="仿宋_GB2312"/>
                <w:sz w:val="24"/>
                <w:b/>
              </w:rPr>
              <w:t>（单独提供承诺函，格式自拟）</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rPr>
              <w:t>1、</w:t>
            </w:r>
            <w:r>
              <w:rPr>
                <w:rFonts w:ascii="仿宋_GB2312" w:hAnsi="仿宋_GB2312" w:cs="仿宋_GB2312" w:eastAsia="仿宋_GB2312"/>
                <w:sz w:val="21"/>
              </w:rPr>
              <w:t>对投标人提供的针对本项目的项目实施方案进行综合评审：</w:t>
            </w:r>
            <w:r>
              <w:rPr>
                <w:rFonts w:ascii="仿宋_GB2312" w:hAnsi="仿宋_GB2312" w:cs="仿宋_GB2312" w:eastAsia="仿宋_GB2312"/>
                <w:sz w:val="21"/>
              </w:rPr>
              <w:t>①项目货源组织及质量保障措施；②实施流程及安排；③人员配置及工作安排；④饲草运输配送方案及保障措施（包含包装措施、配送方式、配送时间安排、运输车辆配置、送货清单记录表）。</w:t>
            </w:r>
          </w:p>
          <w:p>
            <w:pPr>
              <w:pStyle w:val="null3"/>
              <w:jc w:val="left"/>
            </w:pPr>
            <w:r>
              <w:rPr>
                <w:rFonts w:ascii="仿宋_GB2312" w:hAnsi="仿宋_GB2312" w:cs="仿宋_GB2312" w:eastAsia="仿宋_GB2312"/>
              </w:rPr>
              <w:t>2、</w:t>
            </w:r>
            <w:r>
              <w:rPr>
                <w:rFonts w:ascii="仿宋_GB2312" w:hAnsi="仿宋_GB2312" w:cs="仿宋_GB2312" w:eastAsia="仿宋_GB2312"/>
                <w:sz w:val="21"/>
              </w:rPr>
              <w:t>根据投标人提供的针对本项目的仓储及发放方案进行综合评审：</w:t>
            </w:r>
            <w:r>
              <w:rPr>
                <w:rFonts w:ascii="仿宋_GB2312" w:hAnsi="仿宋_GB2312" w:cs="仿宋_GB2312" w:eastAsia="仿宋_GB2312"/>
                <w:sz w:val="21"/>
              </w:rPr>
              <w:t>①仓储的场地选择方案；②饲草的储存及保管方案；③饲草进出库的登记及管理方案。</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根据投标人提供的针对本项目的售后服务方案进行综合评审：</w:t>
            </w:r>
            <w:r>
              <w:rPr>
                <w:rFonts w:ascii="仿宋_GB2312" w:hAnsi="仿宋_GB2312" w:cs="仿宋_GB2312" w:eastAsia="仿宋_GB2312"/>
                <w:sz w:val="21"/>
              </w:rPr>
              <w:t>①售后服务人员配置及专线电话；②售后服务体系、售后服务质量及保障措施 ；③饲草损耗补货方案和饲草喂养技术培训指导方案</w:t>
            </w:r>
            <w:r>
              <w:rPr>
                <w:rFonts w:ascii="仿宋_GB2312" w:hAnsi="仿宋_GB2312" w:cs="仿宋_GB2312" w:eastAsia="仿宋_GB2312"/>
                <w:sz w:val="21"/>
              </w:rPr>
              <w:t>；</w:t>
            </w:r>
            <w:r>
              <w:rPr>
                <w:rFonts w:ascii="仿宋_GB2312" w:hAnsi="仿宋_GB2312" w:cs="仿宋_GB2312" w:eastAsia="仿宋_GB2312"/>
                <w:sz w:val="21"/>
              </w:rPr>
              <w:t>④应急响应时间（并提供相关证明材料）</w:t>
            </w:r>
            <w:r>
              <w:rPr>
                <w:rFonts w:ascii="仿宋_GB2312" w:hAnsi="仿宋_GB2312" w:cs="仿宋_GB2312" w:eastAsia="仿宋_GB2312"/>
                <w:sz w:val="21"/>
              </w:rPr>
              <w:t>。</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自合同签订之日起180日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小金县，采购人指定的地点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1、预付款，合同签订后，采购人收到等额有效发票及交货票据后，达到付款条件起10日内，支付合同总金额的30.00%</w:t>
            </w:r>
          </w:p>
          <w:p>
            <w:pPr>
              <w:pStyle w:val="null3"/>
              <w:jc w:val="left"/>
            </w:pPr>
            <w:r>
              <w:rPr>
                <w:rFonts w:ascii="仿宋_GB2312" w:hAnsi="仿宋_GB2312" w:cs="仿宋_GB2312" w:eastAsia="仿宋_GB2312"/>
              </w:rPr>
              <w:t>2、采购人验收产品合格且收到正规票据后，达到付款条件起10日内，支付合同总金额的70.00%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1.验收主体：小金县科学技术和农业畜牧水务局。 2.验收时间：第一次时间：交货的同时验收交货数量。 第二次时间：质量验收时间以发草时间为准。 3.验收方式：单位自行组织验收。 4.验收程序：分期验收 5.验收标准：按照《财政部关于进一步加强政府采购需求和履约验收管理的指导意见》（财库〔2016〕205号）及招标文件技术服务、商务要求、和国家、行业标准验收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质保期半年，质保期内，投标人应保证饲草的完整仓储，防止火灾、盗窃、霉变等情况发生</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 （1）甲、乙双方必须遵守并执行本合同中的各项约定，保证本合同的正常履行。否则，因违约导致对方损失的，违约方应当就此承担全部赔偿责任。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（3）因货物的质量问题发生争议的，双方经协商可以邀请国家认可的质量检测机构对货物质量进行鉴定。货物符合标准的，鉴定费由采购人承担；货物不符合质量标准的，鉴定费由投标人承担。 解决争议的办法 （1）在执行本合同中发生的或与本合同有关的任何争端，双方应通过友好协商解决，协商不成时，应向甲方所在地人民法院提起诉讼。 （2）因乙方违反合同约定或者未按照约定履行合同等导致诉讼的，甲方因此支出的诉讼费、律师费、差旅费等一切费用均由乙方承担。 （3）诉讼期间，除正在诉讼的部分外，合同其他部分继续执行。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关于符合本国产品标准的声明函,投标（响应）函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符合招标文件的商务要求。</w:t>
            </w:r>
          </w:p>
        </w:tc>
        <w:tc>
          <w:tcPr>
            <w:tcW w:type="dxa" w:w="3322"/>
          </w:tcPr>
          <w:p>
            <w:pPr>
              <w:pStyle w:val="null3"/>
              <w:jc w:val="left"/>
            </w:pPr>
            <w:r>
              <w:rPr>
                <w:rFonts w:ascii="仿宋_GB2312" w:hAnsi="仿宋_GB2312" w:cs="仿宋_GB2312" w:eastAsia="仿宋_GB2312"/>
              </w:rPr>
              <w:t>投标人按照招标文件的商务要求进行响应。</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招标文件的技术、服务要求或其他要求。</w:t>
            </w:r>
          </w:p>
        </w:tc>
        <w:tc>
          <w:tcPr>
            <w:tcW w:type="dxa" w:w="3322"/>
          </w:tcPr>
          <w:p>
            <w:pPr>
              <w:pStyle w:val="null3"/>
              <w:jc w:val="left"/>
            </w:pPr>
            <w:r>
              <w:rPr>
                <w:rFonts w:ascii="仿宋_GB2312" w:hAnsi="仿宋_GB2312" w:cs="仿宋_GB2312" w:eastAsia="仿宋_GB2312"/>
              </w:rPr>
              <w:t>投标人按照招标文件的技术、服务要求或其他要求进行响应。</w:t>
            </w:r>
          </w:p>
        </w:tc>
        <w:tc>
          <w:tcPr>
            <w:tcW w:type="dxa" w:w="1661"/>
          </w:tcPr>
          <w:p>
            <w:pPr>
              <w:pStyle w:val="null3"/>
              <w:jc w:val="left"/>
            </w:pPr>
            <w:r>
              <w:rPr>
                <w:rFonts w:ascii="仿宋_GB2312" w:hAnsi="仿宋_GB2312" w:cs="仿宋_GB2312" w:eastAsia="仿宋_GB2312"/>
              </w:rPr>
              <w:t>投标人应提交的相关证明材料,产品技术参数响应表,服务应答表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技术参数要求</w:t>
            </w:r>
          </w:p>
        </w:tc>
        <w:tc>
          <w:tcPr>
            <w:tcW w:type="dxa" w:w="2575"/>
          </w:tcPr>
          <w:p>
            <w:pPr>
              <w:pStyle w:val="null3"/>
              <w:jc w:val="left"/>
            </w:pPr>
            <w:r>
              <w:rPr>
                <w:rFonts w:ascii="仿宋_GB2312" w:hAnsi="仿宋_GB2312" w:cs="仿宋_GB2312" w:eastAsia="仿宋_GB2312"/>
              </w:rPr>
              <w:t>投标产品参数完全符合招标文件技术要求的得15分 ，投标人响应一般技术参数的数量共6个，每个0.5分；带“▲”技术参数共4个，每个3分。 注：技术参数中“★”为实质性要求不计入本项扣分，投标人按照技术参数要求提供相关证明材料，未要求证明材料的以技术应答表中投标响应为评分依据。</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关于符合本国产品标准的声明函</w:t>
            </w:r>
          </w:p>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对投标人提供的针对本项目的项目实施方案进行综合评审：①项目货源组织及质量保障措施；②实施流程及安排；③人员配置及工作安排；④饲草运输配送方案及保障措施（包含包装措施、配送方式、配送时间安排、运输车辆配置、送货清单记录表）。以上方案内容完整且不存在缺陷得16分，每缺少一项内容扣4分，每项有一处缺陷扣2分；扣完为止。 注：“缺陷”是指以下任一情形：内容不完整或缺少关键节点、前后内容无法连贯；套用其他项目内容、不具备实施的可能性；照搬招标文件内容未进一步描述；项目名称、实施地点、涉及的相关国家、行业标准、规范错误；提供的方案与项目无关或方案内容不满足项目实际需求。</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仓储及发放方案</w:t>
            </w:r>
          </w:p>
        </w:tc>
        <w:tc>
          <w:tcPr>
            <w:tcW w:type="dxa" w:w="2575"/>
          </w:tcPr>
          <w:p>
            <w:pPr>
              <w:pStyle w:val="null3"/>
              <w:jc w:val="left"/>
            </w:pPr>
            <w:r>
              <w:rPr>
                <w:rFonts w:ascii="仿宋_GB2312" w:hAnsi="仿宋_GB2312" w:cs="仿宋_GB2312" w:eastAsia="仿宋_GB2312"/>
              </w:rPr>
              <w:t>根据投标人提供的针对本项目的仓储及发放方案进行综合评审： ①仓储的场地选择方案；②饲草的储存及保管方案；③饲草进出库的登记及管理方案；。以上方案内容完整且不存在缺陷得15分，每缺少一项内容扣5分，每项有一处缺陷扣2.5分；扣完为止。 注：“缺陷”是指以下任一情形：内容不完整或缺少关键节点、前后内容无法连贯；套用其他项目内容、不具备实施的可能性；照搬招标文件内容未进一步描述；项目名称、实施地点、涉及的相关国家、行业标准、规范错误；提供的方案与项目无关或方案内容不满足项目实际需求。</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根据投标人提供的针对本项目的售后服务方案进行综合评审： ①售后服务人员配置及专线电话；②售后服务体系、售后服务质量及保障措施 ；③饲草损耗补货方案和饲草喂养技术培训指导方案；④应急响应时间（并提供相关证明材料）。以上方案内容完整且不存在缺陷得24分，每缺少一项内容扣6分，每项有一处缺陷扣3分；扣完为止。 注：“缺陷”是指以下任一情形：内容不完整或缺少关键节点、前后内容无法连贯；套用其他项目内容、不具备实施的可能性；照搬招标文件内容未进一步描述；项目名称、实施地点、涉及的相关国家、行业标准、规范错误；提供的方案与项目无关或方案内容不满足项目实际需求。</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