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版本号：N510524202600011820260410001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2026年医疗责任险采购(二次)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N5105242026000118</w:t>
      </w:r>
    </w:p>
    <w:p>
      <w:pPr>
        <w:pStyle w:val="null3"/>
        <w:jc w:val="left"/>
        <w:outlineLvl w:val="2"/>
      </w:pPr>
      <w:r>
        <w:rPr>
          <w:rFonts w:ascii="仿宋_GB2312" w:hAnsi="仿宋_GB2312" w:cs="仿宋_GB2312" w:eastAsia="仿宋_GB2312"/>
          <w:sz w:val="28"/>
          <w:b/>
        </w:rPr>
        <w:t>叙永县人民医院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叙永县人民医院</w:t>
      </w:r>
      <w:r>
        <w:rPr>
          <w:rFonts w:ascii="仿宋_GB2312" w:hAnsi="仿宋_GB2312" w:cs="仿宋_GB2312" w:eastAsia="仿宋_GB2312"/>
        </w:rPr>
        <w:t xml:space="preserve"> 委托，拟对 </w:t>
      </w:r>
      <w:r>
        <w:rPr>
          <w:rFonts w:ascii="仿宋_GB2312" w:hAnsi="仿宋_GB2312" w:cs="仿宋_GB2312" w:eastAsia="仿宋_GB2312"/>
        </w:rPr>
        <w:t>2026年医疗责任险采购(二次)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泸州市叙永县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N5105242026000118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2026年医疗责任险采购(二次)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叙永县人民医院采购医疗责任险服务供应商一名。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保险监督管理机构颁发的有效的《保险许可证》（描述：供应商须具有保险监督管理机构颁发的有效的《保险许可证》（本项目允许总公司或其分公司或其分支机构参与，但只能以一个供应商身份参与。提供证书复印件并进行电子签章。））（描述：供应商须具有保险监督管理机构颁发的有效的《保险许可证》（描述：供应商须具有保险监督管理机构颁发的有效的《保险许可证》（本项目允许总公司或其分公司或其分支机构参与，但只能以一个供应商身份参与。提供证书复印件并进行电子签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叙永县人民医院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泸州市叙永县叙永镇和平大道612号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0830-6222617</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13111881792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采购包1：620,000.00元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以中标金额作为计算基数，按差额定率累进法进行计算，费率标准为（服务采购项目）下浮20%：中标金额100万元以下，费率1.5%；中标金额100-500万元，费率0.8%；中标金额500-1000万元，费率0.45%；中标金额1000-5000万元，费率0.25%；中标金额5000-10000万元，费率0.1%；中标金额10000-100000万元，费率0.05%；中标金额100000万元以上，费率0.01%。不足6000元的 按照6000元收取。 收款单位：四川国际招标有限责任公司 开户行：中国民生银行股份有限公司成都分行营业部 银行账号： 9902001847504766 采购合同签订前向代理机构交纳代理服务费。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叙永县人民医院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叙永县人民医院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90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接到成交供应商验收要求后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a.按照《财政部关于进一步加强政府采购需求和履约验收管理的指导意见》（财库〔2016〕205号）《政府采购需求管理办法》(财库(2021) 22号)的要求和内容进行验收。 b.按照采购文件、成交供应商响应文件以及双方订立的合同约定进行验收。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质量要求和技术指标、成交供应商的响应文件及承诺与本合同约定标准进行验收；双方如对质量要求和技术指标的约定标准有相互抵触或异议的事项，由采购人在招标与成交供应商的响应文件中按质量要求和技术指标比较优胜、更有利于采购人的原则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叙永县人民医院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联系电话：0830-6222617</w:t>
      </w:r>
    </w:p>
    <w:p>
      <w:pPr>
        <w:pStyle w:val="null3"/>
        <w:jc w:val="left"/>
      </w:pPr>
      <w:r>
        <w:rPr>
          <w:rFonts w:ascii="仿宋_GB2312" w:hAnsi="仿宋_GB2312" w:cs="仿宋_GB2312" w:eastAsia="仿宋_GB2312"/>
        </w:rPr>
        <w:t>地址：泸州市叙永县叙永镇和平大道612号</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邮编：646000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620,000.00</w:t>
      </w:r>
    </w:p>
    <w:p>
      <w:pPr>
        <w:pStyle w:val="null3"/>
        <w:jc w:val="left"/>
      </w:pPr>
      <w:r>
        <w:rPr>
          <w:rFonts w:ascii="仿宋_GB2312" w:hAnsi="仿宋_GB2312" w:cs="仿宋_GB2312" w:eastAsia="仿宋_GB2312"/>
        </w:rPr>
        <w:t>采购包最高限价（元）: 620,000.00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C18040199 其他商业保险服务</w:t>
            </w:r>
          </w:p>
        </w:tc>
        <w:tc>
          <w:tcPr>
            <w:tcW w:type="dxa" w:w="821"/>
          </w:tcPr>
          <w:p>
            <w:pPr>
              <w:pStyle w:val="null3"/>
              <w:jc w:val="left"/>
            </w:pPr>
            <w:r>
              <w:rPr>
                <w:rFonts w:ascii="仿宋_GB2312" w:hAnsi="仿宋_GB2312" w:cs="仿宋_GB2312" w:eastAsia="仿宋_GB2312"/>
              </w:rPr>
              <w:t>医疗责任险</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医疗责任险</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标的名称：医疗责任险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65"/>
              <w:ind w:left="135" w:firstLine="480"/>
              <w:jc w:val="both"/>
            </w:pPr>
            <w:r>
              <w:rPr>
                <w:rFonts w:ascii="仿宋_GB2312" w:hAnsi="仿宋_GB2312" w:cs="仿宋_GB2312" w:eastAsia="仿宋_GB2312"/>
              </w:rPr>
              <w:t>1.项目采购内容</w:t>
            </w:r>
          </w:p>
          <w:p>
            <w:pPr>
              <w:pStyle w:val="null3"/>
              <w:jc w:val="left"/>
            </w:pPr>
            <w:r>
              <w:rPr>
                <w:rFonts w:ascii="仿宋_GB2312" w:hAnsi="仿宋_GB2312" w:cs="仿宋_GB2312" w:eastAsia="仿宋_GB2312"/>
              </w:rPr>
              <w:t>1.1 品种：医疗责任险；</w:t>
            </w:r>
          </w:p>
          <w:p>
            <w:pPr>
              <w:pStyle w:val="null3"/>
              <w:jc w:val="left"/>
            </w:pPr>
            <w:r>
              <w:rPr>
                <w:rFonts w:ascii="仿宋_GB2312" w:hAnsi="仿宋_GB2312" w:cs="仿宋_GB2312" w:eastAsia="仿宋_GB2312"/>
              </w:rPr>
              <w:t>1.2 保险期累计责任限额200万；</w:t>
            </w:r>
          </w:p>
          <w:p>
            <w:pPr>
              <w:pStyle w:val="null3"/>
              <w:jc w:val="left"/>
            </w:pPr>
            <w:r>
              <w:rPr>
                <w:rFonts w:ascii="仿宋_GB2312" w:hAnsi="仿宋_GB2312" w:cs="仿宋_GB2312" w:eastAsia="仿宋_GB2312"/>
              </w:rPr>
              <w:t>1.3 单次事故赔偿限额200万；</w:t>
            </w:r>
          </w:p>
          <w:p>
            <w:pPr>
              <w:pStyle w:val="null3"/>
              <w:jc w:val="left"/>
            </w:pPr>
            <w:r>
              <w:rPr>
                <w:rFonts w:ascii="仿宋_GB2312" w:hAnsi="仿宋_GB2312" w:cs="仿宋_GB2312" w:eastAsia="仿宋_GB2312"/>
              </w:rPr>
              <w:t>1.4 单人单次事故赔偿限额25万；</w:t>
            </w:r>
          </w:p>
          <w:p>
            <w:pPr>
              <w:pStyle w:val="null3"/>
              <w:jc w:val="left"/>
            </w:pPr>
            <w:r>
              <w:rPr>
                <w:rFonts w:ascii="仿宋_GB2312" w:hAnsi="仿宋_GB2312" w:cs="仿宋_GB2312" w:eastAsia="仿宋_GB2312"/>
              </w:rPr>
              <w:t>1.5 精神损害赔偿最高限额3万；</w:t>
            </w:r>
          </w:p>
          <w:p>
            <w:pPr>
              <w:pStyle w:val="null3"/>
              <w:jc w:val="left"/>
            </w:pPr>
            <w:r>
              <w:rPr>
                <w:rFonts w:ascii="仿宋_GB2312" w:hAnsi="仿宋_GB2312" w:cs="仿宋_GB2312" w:eastAsia="仿宋_GB2312"/>
              </w:rPr>
              <w:t>1.6 法律费用每次赔偿最高限额5万；</w:t>
            </w:r>
          </w:p>
          <w:p>
            <w:pPr>
              <w:pStyle w:val="null3"/>
              <w:jc w:val="left"/>
            </w:pPr>
            <w:r>
              <w:rPr>
                <w:rFonts w:ascii="仿宋_GB2312" w:hAnsi="仿宋_GB2312" w:cs="仿宋_GB2312" w:eastAsia="仿宋_GB2312"/>
              </w:rPr>
              <w:t>1.7 保险期间内每次事故绝对免赔额为损失金额的 5%或1000元以高者准。</w:t>
            </w:r>
          </w:p>
          <w:p>
            <w:pPr>
              <w:pStyle w:val="null3"/>
              <w:jc w:val="left"/>
            </w:pPr>
            <w:r>
              <w:rPr>
                <w:rFonts w:ascii="仿宋_GB2312" w:hAnsi="仿宋_GB2312" w:cs="仿宋_GB2312" w:eastAsia="仿宋_GB2312"/>
              </w:rPr>
              <w:t>2.理赔依据</w:t>
            </w:r>
          </w:p>
          <w:p>
            <w:pPr>
              <w:pStyle w:val="null3"/>
              <w:jc w:val="left"/>
            </w:pPr>
            <w:r>
              <w:rPr>
                <w:rFonts w:ascii="仿宋_GB2312" w:hAnsi="仿宋_GB2312" w:cs="仿宋_GB2312" w:eastAsia="仿宋_GB2312"/>
              </w:rPr>
              <w:t>2.1 法院判决书、调解书作为理赔依据；</w:t>
            </w:r>
          </w:p>
          <w:p>
            <w:pPr>
              <w:pStyle w:val="null3"/>
              <w:jc w:val="left"/>
            </w:pPr>
            <w:r>
              <w:rPr>
                <w:rFonts w:ascii="仿宋_GB2312" w:hAnsi="仿宋_GB2312" w:cs="仿宋_GB2312" w:eastAsia="仿宋_GB2312"/>
              </w:rPr>
              <w:t>2.2 相关行政主管部门、人民法院调解委员会或卫计行政主管部门出具的调解书作为理赔依据；</w:t>
            </w:r>
          </w:p>
          <w:p>
            <w:pPr>
              <w:pStyle w:val="null3"/>
              <w:jc w:val="left"/>
            </w:pPr>
            <w:r>
              <w:rPr>
                <w:rFonts w:ascii="仿宋_GB2312" w:hAnsi="仿宋_GB2312" w:cs="仿宋_GB2312" w:eastAsia="仿宋_GB2312"/>
              </w:rPr>
              <w:t>2.3 小额赔偿（＜2万元），经过医院、患者、保险人协商一致可不需要通过鉴定；</w:t>
            </w:r>
          </w:p>
          <w:p>
            <w:pPr>
              <w:pStyle w:val="null3"/>
              <w:jc w:val="left"/>
            </w:pPr>
            <w:r>
              <w:rPr>
                <w:rFonts w:ascii="仿宋_GB2312" w:hAnsi="仿宋_GB2312" w:cs="仿宋_GB2312" w:eastAsia="仿宋_GB2312"/>
              </w:rPr>
              <w:t>2.4 大额赔偿（≥2万元），需要提供医疗事故技术鉴定、医疗损害司法鉴定或主管部门组织的专家团队出具的讨论意见；</w:t>
            </w:r>
          </w:p>
          <w:p>
            <w:pPr>
              <w:pStyle w:val="null3"/>
              <w:jc w:val="left"/>
            </w:pPr>
            <w:r>
              <w:rPr>
                <w:rFonts w:ascii="仿宋_GB2312" w:hAnsi="仿宋_GB2312" w:cs="仿宋_GB2312" w:eastAsia="仿宋_GB2312"/>
              </w:rPr>
              <w:t>2.5 在保险期内发生的医疗过错，均属于保险赔付范围；</w:t>
            </w:r>
          </w:p>
          <w:p>
            <w:pPr>
              <w:pStyle w:val="null3"/>
              <w:jc w:val="left"/>
            </w:pPr>
            <w:r>
              <w:rPr>
                <w:rFonts w:ascii="仿宋_GB2312" w:hAnsi="仿宋_GB2312" w:cs="仿宋_GB2312" w:eastAsia="仿宋_GB2312"/>
              </w:rPr>
              <w:t>2.6 在医疗纠纷诉讼中，保险公司作为第三人参加诉讼；</w:t>
            </w:r>
          </w:p>
          <w:p>
            <w:pPr>
              <w:pStyle w:val="null3"/>
              <w:jc w:val="left"/>
            </w:pPr>
            <w:r>
              <w:rPr>
                <w:rFonts w:ascii="仿宋_GB2312" w:hAnsi="仿宋_GB2312" w:cs="仿宋_GB2312" w:eastAsia="仿宋_GB2312"/>
              </w:rPr>
              <w:t>2.7 过错认定方式：包括医疗事故技术鉴定、医疗损害司法鉴定、主管部门组织的专家团队出具的讨论意见；</w:t>
            </w:r>
          </w:p>
          <w:p>
            <w:pPr>
              <w:pStyle w:val="null3"/>
              <w:jc w:val="left"/>
            </w:pPr>
            <w:r>
              <w:rPr>
                <w:rFonts w:ascii="仿宋_GB2312" w:hAnsi="仿宋_GB2312" w:cs="仿宋_GB2312" w:eastAsia="仿宋_GB2312"/>
              </w:rPr>
              <w:t>2.8 自行协商或专家团队讨论意见过程中保险公司可派员参与发表观点；</w:t>
            </w:r>
          </w:p>
          <w:p>
            <w:pPr>
              <w:pStyle w:val="null3"/>
              <w:jc w:val="left"/>
            </w:pPr>
            <w:r>
              <w:rPr>
                <w:rFonts w:ascii="仿宋_GB2312" w:hAnsi="仿宋_GB2312" w:cs="仿宋_GB2312" w:eastAsia="仿宋_GB2312"/>
              </w:rPr>
              <w:t>2.9 法律费用包括：鉴定费、诉讼费、聘请律师等与案件相关的法律费用；</w:t>
            </w:r>
          </w:p>
          <w:p>
            <w:pPr>
              <w:pStyle w:val="null3"/>
              <w:jc w:val="left"/>
            </w:pPr>
            <w:r>
              <w:rPr>
                <w:rFonts w:ascii="仿宋_GB2312" w:hAnsi="仿宋_GB2312" w:cs="仿宋_GB2312" w:eastAsia="仿宋_GB2312"/>
              </w:rPr>
              <w:t>2.10 医疗纠纷案件属于涉及患者个人身份信息和隐私的案件，保险人应提供保密措施。因保险人泄露患者隐私导致患方情绪激动产生意外事件（如：患者亲属疾病发作、自杀、自残等现象）的由保险人承担全责。</w:t>
            </w:r>
          </w:p>
          <w:p>
            <w:pPr>
              <w:pStyle w:val="null3"/>
              <w:jc w:val="left"/>
            </w:pPr>
            <w:r>
              <w:rPr>
                <w:rFonts w:ascii="仿宋_GB2312" w:hAnsi="仿宋_GB2312" w:cs="仿宋_GB2312" w:eastAsia="仿宋_GB2312"/>
              </w:rPr>
              <w:t>3.总体服务要求</w:t>
            </w:r>
          </w:p>
          <w:p>
            <w:pPr>
              <w:pStyle w:val="null3"/>
              <w:jc w:val="left"/>
            </w:pPr>
            <w:r>
              <w:rPr>
                <w:rFonts w:ascii="仿宋_GB2312" w:hAnsi="仿宋_GB2312" w:cs="仿宋_GB2312" w:eastAsia="仿宋_GB2312"/>
              </w:rPr>
              <w:t>3.1 发生医疗纠纷时，及时向保险人报案。保险公司设置理赔专员不少于1名，全年每天24小时受理；</w:t>
            </w:r>
          </w:p>
          <w:p>
            <w:pPr>
              <w:pStyle w:val="null3"/>
              <w:jc w:val="left"/>
            </w:pPr>
            <w:r>
              <w:rPr>
                <w:rFonts w:ascii="仿宋_GB2312" w:hAnsi="仿宋_GB2312" w:cs="仿宋_GB2312" w:eastAsia="仿宋_GB2312"/>
              </w:rPr>
              <w:t>3.2 保险公司接到报案后，理赔专员1小时内到达该医院进行对接，积极协助医患纠纷的调解、诉讼活动；</w:t>
            </w:r>
          </w:p>
          <w:p>
            <w:pPr>
              <w:pStyle w:val="null3"/>
              <w:jc w:val="left"/>
            </w:pPr>
            <w:r>
              <w:rPr>
                <w:rFonts w:ascii="仿宋_GB2312" w:hAnsi="仿宋_GB2312" w:cs="仿宋_GB2312" w:eastAsia="仿宋_GB2312"/>
              </w:rPr>
              <w:t>3.3 保险公司认可医患双方协商协议，对医患双方协商次数不做限制；</w:t>
            </w:r>
          </w:p>
          <w:p>
            <w:pPr>
              <w:pStyle w:val="null3"/>
              <w:jc w:val="left"/>
            </w:pPr>
            <w:r>
              <w:rPr>
                <w:rFonts w:ascii="仿宋_GB2312" w:hAnsi="仿宋_GB2312" w:cs="仿宋_GB2312" w:eastAsia="仿宋_GB2312"/>
              </w:rPr>
              <w:t>3.4 鉴定机构的选择：尊重医患双方协商的合法鉴定机构，或第三方（保险人、被保险人、患方）认可，或法院指定的鉴定机构，其结论作为理赔参考依据；</w:t>
            </w:r>
          </w:p>
          <w:p>
            <w:pPr>
              <w:pStyle w:val="null3"/>
              <w:jc w:val="left"/>
            </w:pPr>
            <w:r>
              <w:rPr>
                <w:rFonts w:ascii="仿宋_GB2312" w:hAnsi="仿宋_GB2312" w:cs="仿宋_GB2312" w:eastAsia="仿宋_GB2312"/>
              </w:rPr>
              <w:t>3.5 赔偿计算标准：《中华人民共和国民法典》及相关法律法规和司法解释的规定；</w:t>
            </w:r>
          </w:p>
          <w:p>
            <w:pPr>
              <w:pStyle w:val="null3"/>
              <w:jc w:val="left"/>
            </w:pPr>
            <w:r>
              <w:rPr>
                <w:rFonts w:ascii="仿宋_GB2312" w:hAnsi="仿宋_GB2312" w:cs="仿宋_GB2312" w:eastAsia="仿宋_GB2312"/>
              </w:rPr>
              <w:t>3.6 经医、患、保三方协商处理成功后，及时提交以下资料进行索赔：</w:t>
            </w:r>
          </w:p>
          <w:p>
            <w:pPr>
              <w:pStyle w:val="null3"/>
              <w:jc w:val="left"/>
            </w:pPr>
            <w:r>
              <w:rPr>
                <w:rFonts w:ascii="仿宋_GB2312" w:hAnsi="仿宋_GB2312" w:cs="仿宋_GB2312" w:eastAsia="仿宋_GB2312"/>
              </w:rPr>
              <w:t>3.6.1 被保险人已经向第三者支付赔偿金的书面证明材料；</w:t>
            </w:r>
          </w:p>
          <w:p>
            <w:pPr>
              <w:pStyle w:val="null3"/>
              <w:jc w:val="left"/>
            </w:pPr>
            <w:r>
              <w:rPr>
                <w:rFonts w:ascii="仿宋_GB2312" w:hAnsi="仿宋_GB2312" w:cs="仿宋_GB2312" w:eastAsia="仿宋_GB2312"/>
              </w:rPr>
              <w:t>3.6.2 有关责任人的资格和执业证明；</w:t>
            </w:r>
          </w:p>
          <w:p>
            <w:pPr>
              <w:pStyle w:val="null3"/>
              <w:jc w:val="left"/>
            </w:pPr>
            <w:r>
              <w:rPr>
                <w:rFonts w:ascii="仿宋_GB2312" w:hAnsi="仿宋_GB2312" w:cs="仿宋_GB2312" w:eastAsia="仿宋_GB2312"/>
              </w:rPr>
              <w:t>3.6.3 患者完整的病历资料；</w:t>
            </w:r>
          </w:p>
          <w:p>
            <w:pPr>
              <w:pStyle w:val="null3"/>
              <w:jc w:val="left"/>
            </w:pPr>
            <w:r>
              <w:rPr>
                <w:rFonts w:ascii="仿宋_GB2312" w:hAnsi="仿宋_GB2312" w:cs="仿宋_GB2312" w:eastAsia="仿宋_GB2312"/>
              </w:rPr>
              <w:t>3.6.4 患者伤残的，应当提供权威部门出具的伤残程度证明；患者死亡的，应当提供死亡证明书；</w:t>
            </w:r>
          </w:p>
          <w:p>
            <w:pPr>
              <w:pStyle w:val="null3"/>
              <w:jc w:val="left"/>
            </w:pPr>
            <w:r>
              <w:rPr>
                <w:rFonts w:ascii="仿宋_GB2312" w:hAnsi="仿宋_GB2312" w:cs="仿宋_GB2312" w:eastAsia="仿宋_GB2312"/>
              </w:rPr>
              <w:t>3.6.5 赔偿项目清单；</w:t>
            </w:r>
          </w:p>
          <w:p>
            <w:pPr>
              <w:pStyle w:val="null3"/>
              <w:jc w:val="left"/>
            </w:pPr>
            <w:r>
              <w:rPr>
                <w:rFonts w:ascii="仿宋_GB2312" w:hAnsi="仿宋_GB2312" w:cs="仿宋_GB2312" w:eastAsia="仿宋_GB2312"/>
              </w:rPr>
              <w:t>3.6.6 经法院、仲裁机构或卫生行政部门依法判决、裁决、裁定或调解的，应当提供判决、裁定文件或调解书；</w:t>
            </w:r>
          </w:p>
          <w:p>
            <w:pPr>
              <w:pStyle w:val="null3"/>
              <w:jc w:val="left"/>
            </w:pPr>
            <w:r>
              <w:rPr>
                <w:rFonts w:ascii="仿宋_GB2312" w:hAnsi="仿宋_GB2312" w:cs="仿宋_GB2312" w:eastAsia="仿宋_GB2312"/>
              </w:rPr>
              <w:t>3.6.7 投保人、被保险人所能提供的其他与确认保险事故的性质、原因、损失程度等有关的证明和资料；</w:t>
            </w:r>
          </w:p>
          <w:p>
            <w:pPr>
              <w:pStyle w:val="null3"/>
              <w:jc w:val="left"/>
            </w:pPr>
            <w:r>
              <w:rPr>
                <w:rFonts w:ascii="仿宋_GB2312" w:hAnsi="仿宋_GB2312" w:cs="仿宋_GB2312" w:eastAsia="仿宋_GB2312"/>
              </w:rPr>
              <w:t>3.6.8 索赔资料齐全后，保险公司按约定及时支付赔款。</w:t>
            </w:r>
          </w:p>
          <w:p>
            <w:pPr>
              <w:pStyle w:val="null3"/>
              <w:jc w:val="left"/>
            </w:pPr>
            <w:r>
              <w:rPr>
                <w:rFonts w:ascii="仿宋_GB2312" w:hAnsi="仿宋_GB2312" w:cs="仿宋_GB2312" w:eastAsia="仿宋_GB2312"/>
              </w:rPr>
              <w:t>4.每次理赔具体服务要求</w:t>
            </w:r>
          </w:p>
          <w:p>
            <w:pPr>
              <w:pStyle w:val="null3"/>
              <w:jc w:val="left"/>
            </w:pPr>
            <w:r>
              <w:rPr>
                <w:rFonts w:ascii="仿宋_GB2312" w:hAnsi="仿宋_GB2312" w:cs="仿宋_GB2312" w:eastAsia="仿宋_GB2312"/>
              </w:rPr>
              <w:t>4.1 服务团队：保险公司应成立专门的服务团队，负责做好与被保险人及其参与人的沟通协调、咨询、费用支付、投诉等服务；</w:t>
            </w:r>
          </w:p>
          <w:p>
            <w:pPr>
              <w:pStyle w:val="null3"/>
              <w:jc w:val="left"/>
            </w:pPr>
            <w:r>
              <w:rPr>
                <w:rFonts w:ascii="仿宋_GB2312" w:hAnsi="仿宋_GB2312" w:cs="仿宋_GB2312" w:eastAsia="仿宋_GB2312"/>
              </w:rPr>
              <w:t>4.2 理赔服务：保险公司须成立理赔服务团队，由专人负责被保险人的理赔事宜（上门收取资料、咨询等），以便更好地保证服务质量和时效；</w:t>
            </w:r>
          </w:p>
          <w:p>
            <w:pPr>
              <w:pStyle w:val="null3"/>
              <w:jc w:val="left"/>
            </w:pPr>
            <w:r>
              <w:rPr>
                <w:rFonts w:ascii="仿宋_GB2312" w:hAnsi="仿宋_GB2312" w:cs="仿宋_GB2312" w:eastAsia="仿宋_GB2312"/>
              </w:rPr>
              <w:t>4.3 理赔时效：乙方一次性告知被保险人索赔资料清单，不得随意增加索赔资料。患方索赔金额＜2万元，经医疗机构与患方协商，并经乙方认可同意，且索赔资料齐全的，乙方将按照保险合同在3个工作日内支付赔款;患方索赔金额≥2万元的，由“医调委”引导患方进行医疗事故鉴定或司法鉴定，鉴定后由乙方根据相关法律法规及保险合同约定计算出赔付金额，若达成赔偿协议且索赔资料齐全，乙方将按照保险合同在7个工作日内支付赔款；</w:t>
            </w:r>
          </w:p>
          <w:p>
            <w:pPr>
              <w:pStyle w:val="null3"/>
              <w:jc w:val="left"/>
            </w:pPr>
            <w:r>
              <w:rPr>
                <w:rFonts w:ascii="仿宋_GB2312" w:hAnsi="仿宋_GB2312" w:cs="仿宋_GB2312" w:eastAsia="仿宋_GB2312"/>
              </w:rPr>
              <w:t>4.4 理赔通知：保险公司须在理赔结束划款后2 个工作日内通过短信、电话或书面等形式告知被保险人理赔情况；</w:t>
            </w:r>
          </w:p>
          <w:p>
            <w:pPr>
              <w:pStyle w:val="null3"/>
              <w:jc w:val="left"/>
            </w:pPr>
            <w:r>
              <w:rPr>
                <w:rFonts w:ascii="仿宋_GB2312" w:hAnsi="仿宋_GB2312" w:cs="仿宋_GB2312" w:eastAsia="仿宋_GB2312"/>
              </w:rPr>
              <w:t>4.5 差错赔付：保险公司应协调好内部各部门，特别是业务经办部门与客户服务部门的关系，不得相互推诿、丢失理赔资料或拖延理赔。如出现上述问题，保险人需按被保险人索赔申请金额进行全额赔偿，被保险人不再提供理赔相关资料；</w:t>
            </w:r>
          </w:p>
          <w:p>
            <w:pPr>
              <w:pStyle w:val="null3"/>
              <w:jc w:val="left"/>
            </w:pPr>
            <w:r>
              <w:rPr>
                <w:rFonts w:ascii="仿宋_GB2312" w:hAnsi="仿宋_GB2312" w:cs="仿宋_GB2312" w:eastAsia="仿宋_GB2312"/>
              </w:rPr>
              <w:t>4.6 后期服务保障：保险公司列出售后服务机构网点清单、服务电话和服务人员名单；</w:t>
            </w:r>
          </w:p>
          <w:p>
            <w:pPr>
              <w:pStyle w:val="null3"/>
              <w:jc w:val="left"/>
            </w:pPr>
            <w:r>
              <w:rPr>
                <w:rFonts w:ascii="仿宋_GB2312" w:hAnsi="仿宋_GB2312" w:cs="仿宋_GB2312" w:eastAsia="仿宋_GB2312"/>
              </w:rPr>
              <w:t>4.7 发生医疗纠纷时，被保险人应及时向保险人报案。计划性事务48小时内完成，紧急事件处置能提供7*24服务，并设置理赔专员。</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叙永县人民医院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详见第二章2.6.6.履约验收方案（以供应商提供的《投标（响应）函》中“我单位完全接受和理解本项目采购文件规定的实质性要求”即视为响应。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 15 日历天内，达到付款条件起30日内，支付合同总金额的100.00%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1.迟延服务的违约责任 1.1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 1.2如果乙方没有按照合同规定的时间提供相关服务，甲方有权从扣除误期赔偿费而不影响合同项下的其他补救方法，赔偿费的计算方法为：每误期一天按合同价款总额的千分之一计算，直至完成服务时止，误期超过30日，甲方有权解除合同，乙方应按合同价款总额的30%承担违约金。如果涉及公共利益，且赔偿金额无法弥补公共利益损失，甲方可要求继续履行或者采取其他补救措施。 1.3迟延支付的违约责任 甲方存在迟延支付乙方合同款项的，应当支付逾期付款利息，计算方法为：逾期付款时间未超过180日的，不计算逾期付款利息；逾期时间超过180日的，按同期LPR支付逾期付款利息。 （二）争议解决方法 1.因本合同及合同有关事项发生的争议，由甲乙双方友好协商解决。协商不成时，可以向有关组织申请调解。合同一方或双方不愿调解或调解不成的，向合同签订地有管辖权的人民法院起诉。 2.如甲乙双方有争议的事项不影响合同其他部分的履行，在争议解决期间，合同其他部分应当继续履行。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1.未载明或者载明的标的名称、数量、计星单位及其他政府采购合同实质性内容与采购文件要求不一致，且采购单位无法接受的，属于无效响应。 2.本项目不适用于《国务院办公厅关于在政府采购中实施本国产品标准及相关政策的通知》(国办发[2025]〕34号)。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w:t>
      </w:r>
      <w:r>
        <w:rPr>
          <w:rFonts w:ascii="仿宋_GB2312" w:hAnsi="仿宋_GB2312" w:cs="仿宋_GB2312" w:eastAsia="仿宋_GB2312"/>
        </w:rPr>
        <w:t>“技术、服务及其他要求”中“3.2.技术要求”，“3.3.服务要求”内容。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w:t>
      </w:r>
      <w:r>
        <w:rPr>
          <w:rFonts w:ascii="仿宋_GB2312" w:hAnsi="仿宋_GB2312" w:cs="仿宋_GB2312" w:eastAsia="仿宋_GB2312"/>
        </w:rPr>
        <w:t>“拟签订采购合同文本”内容。</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保险监督管理机构颁发的有效的《保险许可证》（描述：供应商须具有保险监督管理机构颁发的有效的《保险许可证》（本项目允许总公司或其分公司或其分支机构参与，但只能以一个供应商身份参与。提供证书复印件并进行电子签章。））</w:t>
            </w:r>
          </w:p>
        </w:tc>
        <w:tc>
          <w:tcPr>
            <w:tcW w:type="dxa" w:w="3322"/>
          </w:tcPr>
          <w:p>
            <w:pPr>
              <w:pStyle w:val="null3"/>
              <w:jc w:val="left"/>
            </w:pPr>
            <w:r>
              <w:rPr>
                <w:rFonts w:ascii="仿宋_GB2312" w:hAnsi="仿宋_GB2312" w:cs="仿宋_GB2312" w:eastAsia="仿宋_GB2312"/>
              </w:rPr>
              <w:t>供应商须具有保险监督管理机构颁发的有效的《保险许可证》（描述：供应商须具有保险监督管理机构颁发的有效的《保险许可证》（本项目允许总公司或其分公司或其分支机构参与，但只能以一个供应商身份参与。提供证书复印件并进行电子签章。））</w:t>
            </w:r>
          </w:p>
        </w:tc>
        <w:tc>
          <w:tcPr>
            <w:tcW w:type="dxa" w:w="1661"/>
          </w:tcPr>
          <w:p>
            <w:pPr>
              <w:pStyle w:val="null3"/>
              <w:jc w:val="left"/>
            </w:pPr>
            <w:r>
              <w:rPr>
                <w:rFonts w:ascii="仿宋_GB2312" w:hAnsi="仿宋_GB2312" w:cs="仿宋_GB2312" w:eastAsia="仿宋_GB2312"/>
              </w:rPr>
              <w:t>供应商认为需要提供的特定资格证明材料.docx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需要供应商提供材料进行响应，按照采购文件要求提供相应的材料</w:t>
            </w:r>
          </w:p>
        </w:tc>
        <w:tc>
          <w:tcPr>
            <w:tcW w:type="dxa" w:w="1661"/>
          </w:tcPr>
          <w:p>
            <w:pPr>
              <w:pStyle w:val="null3"/>
              <w:jc w:val="left"/>
            </w:pPr>
            <w:r>
              <w:rPr>
                <w:rFonts w:ascii="仿宋_GB2312" w:hAnsi="仿宋_GB2312" w:cs="仿宋_GB2312" w:eastAsia="仿宋_GB2312"/>
              </w:rPr>
              <w:t>供应商认为需要提供的其他证明材料.docx,技术、服务及其他要求应答表.docx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不存在采购文件规定的“无效”情形</w:t>
            </w:r>
          </w:p>
        </w:tc>
        <w:tc>
          <w:tcPr>
            <w:tcW w:type="dxa" w:w="3322"/>
          </w:tcPr>
          <w:p>
            <w:pPr>
              <w:pStyle w:val="null3"/>
              <w:jc w:val="left"/>
            </w:pPr>
            <w:r>
              <w:rPr>
                <w:rFonts w:ascii="仿宋_GB2312" w:hAnsi="仿宋_GB2312" w:cs="仿宋_GB2312" w:eastAsia="仿宋_GB2312"/>
              </w:rPr>
              <w:t>供应商按照采购文件要求进行响应，评标委员会对相关情形进行认定。</w:t>
            </w:r>
          </w:p>
        </w:tc>
        <w:tc>
          <w:tcPr>
            <w:tcW w:type="dxa" w:w="1661"/>
          </w:tcPr>
          <w:p>
            <w:pPr>
              <w:pStyle w:val="null3"/>
              <w:jc w:val="left"/>
            </w:pPr>
            <w:r>
              <w:rPr>
                <w:rFonts w:ascii="仿宋_GB2312" w:hAnsi="仿宋_GB2312" w:cs="仿宋_GB2312" w:eastAsia="仿宋_GB2312"/>
              </w:rPr>
              <w:t>供应商认为需要提供的其他证明材料.docx,报价表,技术、服务及其他要求应答表.docx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详见附件：供应商认为需要提供的特定资格证明材料.docx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