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版本号：N510121202600003020260326001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2026年县城区道路照明设施管护服务采购项目(二次)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N5101212026000030</w:t>
      </w:r>
    </w:p>
    <w:p>
      <w:pPr>
        <w:pStyle w:val="null3"/>
        <w:jc w:val="left"/>
        <w:outlineLvl w:val="2"/>
      </w:pPr>
      <w:r>
        <w:rPr>
          <w:rFonts w:ascii="仿宋_GB2312" w:hAnsi="仿宋_GB2312" w:cs="仿宋_GB2312" w:eastAsia="仿宋_GB2312"/>
          <w:sz w:val="28"/>
          <w:b/>
        </w:rPr>
        <w:t>金堂县赵镇城市管理综合服务中心</w:t>
      </w:r>
    </w:p>
    <w:p>
      <w:pPr>
        <w:pStyle w:val="null3"/>
        <w:jc w:val="center"/>
        <w:outlineLvl w:val="2"/>
      </w:pPr>
      <w:r>
        <w:rPr>
          <w:rFonts w:ascii="仿宋_GB2312" w:hAnsi="仿宋_GB2312" w:cs="仿宋_GB2312" w:eastAsia="仿宋_GB2312"/>
          <w:sz w:val="28"/>
          <w:b/>
        </w:rPr>
        <w:t>四川鑫同方招投标咨询有限公司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四川鑫同方招投标咨询有限公司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金堂县赵镇城市管理综合服务中心</w:t>
      </w:r>
      <w:r>
        <w:rPr>
          <w:rFonts w:ascii="仿宋_GB2312" w:hAnsi="仿宋_GB2312" w:cs="仿宋_GB2312" w:eastAsia="仿宋_GB2312"/>
        </w:rPr>
        <w:t xml:space="preserve"> 委托，拟对 </w:t>
      </w:r>
      <w:r>
        <w:rPr>
          <w:rFonts w:ascii="仿宋_GB2312" w:hAnsi="仿宋_GB2312" w:cs="仿宋_GB2312" w:eastAsia="仿宋_GB2312"/>
        </w:rPr>
        <w:t>2026年县城区道路照明设施管护服务采购项目(二次)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成都市金堂县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N5101212026000030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2026年县城区道路照明设施管护服务采购项目(二次)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金堂县城区照明设施维修服务采购。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金堂县赵镇城市管理综合服务中心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金堂县成金大道2000号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028-84923000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四川鑫同方招投标咨询有限公司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成都市高新区锦晖西一街99号荣盛.布鲁明顿广场B座2栋1单元1501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028-62079118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国家计委关于印发〈招标代理服务费收费标准管理暂行办法〉的通知》（计价格[2002]1980号）的收费标准、《四川省政府采购营商环境指标提升专项行动工作方案》中“成本+合理利润”原则及与采购人签订的委托代理协议之相关规定，向成交供应商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金堂县赵镇城市管理综合服务中心</w:t>
      </w:r>
      <w:r>
        <w:rPr>
          <w:rFonts w:ascii="仿宋_GB2312" w:hAnsi="仿宋_GB2312" w:cs="仿宋_GB2312" w:eastAsia="仿宋_GB2312"/>
        </w:rPr>
        <w:t xml:space="preserve"> 和 </w:t>
      </w:r>
      <w:r>
        <w:rPr>
          <w:rFonts w:ascii="仿宋_GB2312" w:hAnsi="仿宋_GB2312" w:cs="仿宋_GB2312" w:eastAsia="仿宋_GB2312"/>
        </w:rPr>
        <w:t>四川鑫同方招投标咨询有限公司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金堂县赵镇城市管理综合服务中心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四川鑫同方招投标咨询有限公司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供应商每季度提出验收申请后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照国家有关规定以及磋商文件的技术和服务要求、商务要求、供应商的响应文件及承诺与合同约定标准进行验收；双方如对技术和服务要求、商务要求的约定标准有相互抵触或异议的事项，由采购人按照采购文件与响应文件中技术和服务要求、商务要求比较优胜的原则确定该项目的约定标准进行验收。2.其他未尽事宜应严格按照《政府采购需求管理办法》 财库〔2021〕22号和《财政部关于进一步加强政府采购需求和履约验收管理的指导意见》（财库〔2016〕205号）以及主管部门的相关要求进行验收。3.供应商应严格按照《城市照明设施维护要求》、《照明设施维护作业标准》《城市道路照明设施建设技术导则》相关规定进行施工，并接受采购人的监督指导，所有质量验收必须达到合格。4.供应商自项目验收合格签字之日起一周内向采购人提供项目竣工结算资料一式四套。</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金堂县赵镇城市管理综合服务中心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四川鑫同方招投标咨询有限公司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四川鑫同方招投标咨询有限公司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联系人：周老师</w:t>
      </w:r>
    </w:p>
    <w:p>
      <w:pPr>
        <w:pStyle w:val="null3"/>
        <w:jc w:val="left"/>
      </w:pPr>
      <w:r>
        <w:rPr>
          <w:rFonts w:ascii="仿宋_GB2312" w:hAnsi="仿宋_GB2312" w:cs="仿宋_GB2312" w:eastAsia="仿宋_GB2312"/>
        </w:rPr>
        <w:t>联系电话：028-84923000</w:t>
      </w:r>
    </w:p>
    <w:p>
      <w:pPr>
        <w:pStyle w:val="null3"/>
        <w:jc w:val="left"/>
      </w:pPr>
      <w:r>
        <w:rPr>
          <w:rFonts w:ascii="仿宋_GB2312" w:hAnsi="仿宋_GB2312" w:cs="仿宋_GB2312" w:eastAsia="仿宋_GB2312"/>
        </w:rPr>
        <w:t>地址：金堂县成金大道2000号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联系人：林先生</w:t>
      </w:r>
    </w:p>
    <w:p>
      <w:pPr>
        <w:pStyle w:val="null3"/>
        <w:jc w:val="left"/>
      </w:pPr>
      <w:r>
        <w:rPr>
          <w:rFonts w:ascii="仿宋_GB2312" w:hAnsi="仿宋_GB2312" w:cs="仿宋_GB2312" w:eastAsia="仿宋_GB2312"/>
        </w:rPr>
        <w:t>联系电话：028-62079118</w:t>
      </w:r>
    </w:p>
    <w:p>
      <w:pPr>
        <w:pStyle w:val="null3"/>
        <w:jc w:val="left"/>
      </w:pPr>
      <w:r>
        <w:rPr>
          <w:rFonts w:ascii="仿宋_GB2312" w:hAnsi="仿宋_GB2312" w:cs="仿宋_GB2312" w:eastAsia="仿宋_GB2312"/>
        </w:rPr>
        <w:t>地址：成都市高新区锦晖西一街99号荣盛.布鲁明顿广场B座2栋1单元1501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C13020000 市政公用设施管理服务</w:t>
            </w:r>
          </w:p>
        </w:tc>
        <w:tc>
          <w:tcPr>
            <w:tcW w:type="dxa" w:w="821"/>
          </w:tcPr>
          <w:p>
            <w:pPr>
              <w:pStyle w:val="null3"/>
              <w:jc w:val="left"/>
            </w:pPr>
            <w:r>
              <w:rPr>
                <w:rFonts w:ascii="仿宋_GB2312" w:hAnsi="仿宋_GB2312" w:cs="仿宋_GB2312" w:eastAsia="仿宋_GB2312"/>
              </w:rPr>
              <w:t>2026年县城区道路照明设施管护服务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2026年县城区道路照明设施管护服务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定额单价下浮</w:t>
            </w:r>
          </w:p>
        </w:tc>
        <w:tc>
          <w:tcPr>
            <w:tcW w:type="dxa" w:w="1466"/>
          </w:tcPr>
          <w:p>
            <w:pPr>
              <w:pStyle w:val="null3"/>
              <w:jc w:val="left"/>
            </w:pPr>
            <w:r>
              <w:rPr>
                <w:rFonts w:ascii="仿宋_GB2312" w:hAnsi="仿宋_GB2312" w:cs="仿宋_GB2312" w:eastAsia="仿宋_GB2312"/>
              </w:rPr>
              <w:t>1、服务费结算价=收方量*计算价格{以《建设工程工程量清单计价标准》（GB/T50500-2024）,2020《四川省建设工程清单计价定额》及其配套文件结算价格基础（项目具体实施时间）×（1-合同签订的下浮比例），然后送第三方审计。2、依据中标通知书，本项目中标价为定额单价下浮。3、2020《四川省建设工程清单计价定额》及其配套文件中未涉及项目维修服务，其价格参照市场价甲乙双方议定</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标的名称：2026年县城区道路照明设施管护服务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w:t>
            </w:r>
          </w:p>
        </w:tc>
        <w:tc>
          <w:tcPr>
            <w:tcW w:type="dxa" w:w="5814"/>
          </w:tcPr>
          <w:p>
            <w:pPr>
              <w:pStyle w:val="null3"/>
              <w:jc w:val="left"/>
            </w:pPr>
            <w:r>
              <w:rPr>
                <w:rFonts w:ascii="仿宋_GB2312" w:hAnsi="仿宋_GB2312" w:cs="仿宋_GB2312" w:eastAsia="仿宋_GB2312"/>
              </w:rPr>
              <w:t>无</w:t>
            </w:r>
            <w:r>
              <w:br/>
            </w: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rPr>
              <w:t>一、项目概述</w:t>
            </w:r>
          </w:p>
          <w:p>
            <w:pPr>
              <w:pStyle w:val="null3"/>
              <w:jc w:val="left"/>
            </w:pPr>
            <w:r>
              <w:rPr>
                <w:rFonts w:ascii="仿宋_GB2312" w:hAnsi="仿宋_GB2312" w:cs="仿宋_GB2312" w:eastAsia="仿宋_GB2312"/>
              </w:rPr>
              <w:t>金堂县赵镇城市管理综合服务中心需采购</w:t>
            </w:r>
            <w:r>
              <w:rPr>
                <w:rFonts w:ascii="仿宋_GB2312" w:hAnsi="仿宋_GB2312" w:cs="仿宋_GB2312" w:eastAsia="仿宋_GB2312"/>
              </w:rPr>
              <w:t>2026-2027年金堂县城区照明设施维修服务。预算金额及最高限价：180万元/年；两年，合同一年一签。</w:t>
            </w:r>
          </w:p>
          <w:p>
            <w:pPr>
              <w:pStyle w:val="null3"/>
              <w:jc w:val="left"/>
            </w:pPr>
            <w:r>
              <w:rPr>
                <w:rFonts w:ascii="仿宋_GB2312" w:hAnsi="仿宋_GB2312" w:cs="仿宋_GB2312" w:eastAsia="仿宋_GB2312"/>
              </w:rPr>
              <w:t>二、服务内容及要求：</w:t>
            </w:r>
          </w:p>
          <w:p>
            <w:pPr>
              <w:pStyle w:val="null3"/>
              <w:jc w:val="left"/>
            </w:pPr>
            <w:r>
              <w:rPr>
                <w:rFonts w:ascii="仿宋_GB2312" w:hAnsi="仿宋_GB2312" w:cs="仿宋_GB2312" w:eastAsia="仿宋_GB2312"/>
              </w:rPr>
              <w:t>（一）服务内容：</w:t>
            </w:r>
          </w:p>
          <w:p>
            <w:pPr>
              <w:pStyle w:val="null3"/>
              <w:jc w:val="left"/>
            </w:pPr>
            <w:r>
              <w:rPr>
                <w:rFonts w:ascii="仿宋_GB2312" w:hAnsi="仿宋_GB2312" w:cs="仿宋_GB2312" w:eastAsia="仿宋_GB2312"/>
              </w:rPr>
              <w:t>1、对赵镇中心权属输电线、电杆、跌落保险、变压器等高压设施进行检测、维护；</w:t>
            </w:r>
          </w:p>
          <w:p>
            <w:pPr>
              <w:pStyle w:val="null3"/>
              <w:jc w:val="left"/>
            </w:pPr>
            <w:r>
              <w:rPr>
                <w:rFonts w:ascii="仿宋_GB2312" w:hAnsi="仿宋_GB2312" w:cs="仿宋_GB2312" w:eastAsia="仿宋_GB2312"/>
              </w:rPr>
              <w:t>2、对移交赵镇中心负责的15682盏（8255杆）路灯及其附属电器、灯具、灯杆、检查井、路灯控制设施（配电、控制柜）、城市路灯智能管控系统、供电线缆等进行维护；</w:t>
            </w:r>
          </w:p>
          <w:p>
            <w:pPr>
              <w:pStyle w:val="null3"/>
              <w:jc w:val="left"/>
            </w:pPr>
            <w:r>
              <w:rPr>
                <w:rFonts w:ascii="仿宋_GB2312" w:hAnsi="仿宋_GB2312" w:cs="仿宋_GB2312" w:eastAsia="仿宋_GB2312"/>
              </w:rPr>
              <w:t>3、对移交的，但暂未纳入维护预算经费的照明设施进行维护。</w:t>
            </w:r>
          </w:p>
          <w:p>
            <w:pPr>
              <w:pStyle w:val="null3"/>
              <w:jc w:val="left"/>
            </w:pPr>
            <w:r>
              <w:rPr>
                <w:rFonts w:ascii="仿宋_GB2312" w:hAnsi="仿宋_GB2312" w:cs="仿宋_GB2312" w:eastAsia="仿宋_GB2312"/>
              </w:rPr>
              <w:t>4、对学府大道无灯路段（约850米），新安装12米高双挑LED路灯，满足照度需求。</w:t>
            </w:r>
          </w:p>
          <w:p>
            <w:pPr>
              <w:pStyle w:val="null3"/>
              <w:jc w:val="left"/>
            </w:pPr>
            <w:r>
              <w:rPr>
                <w:rFonts w:ascii="仿宋_GB2312" w:hAnsi="仿宋_GB2312" w:cs="仿宋_GB2312" w:eastAsia="仿宋_GB2312"/>
              </w:rPr>
              <w:t>5、对已建未移交照明设施进行监管。</w:t>
            </w:r>
          </w:p>
          <w:p>
            <w:pPr>
              <w:pStyle w:val="null3"/>
              <w:jc w:val="left"/>
            </w:pPr>
            <w:r>
              <w:rPr>
                <w:rFonts w:ascii="仿宋_GB2312" w:hAnsi="仿宋_GB2312" w:cs="仿宋_GB2312" w:eastAsia="仿宋_GB2312"/>
              </w:rPr>
              <w:t>（二）服务要求</w:t>
            </w:r>
          </w:p>
          <w:p>
            <w:pPr>
              <w:pStyle w:val="null3"/>
              <w:jc w:val="left"/>
            </w:pPr>
            <w:r>
              <w:rPr>
                <w:rFonts w:ascii="仿宋_GB2312" w:hAnsi="仿宋_GB2312" w:cs="仿宋_GB2312" w:eastAsia="仿宋_GB2312"/>
              </w:rPr>
              <w:t>总体要求，供应商需按照《城市照明管理规定》《城市道路照明设计标准》中明确规定的路灯维修相关技术规范实施路灯管护作业。</w:t>
            </w:r>
          </w:p>
          <w:p>
            <w:pPr>
              <w:pStyle w:val="null3"/>
              <w:jc w:val="left"/>
            </w:pPr>
            <w:r>
              <w:rPr>
                <w:rFonts w:ascii="仿宋_GB2312" w:hAnsi="仿宋_GB2312" w:cs="仿宋_GB2312" w:eastAsia="仿宋_GB2312"/>
              </w:rPr>
              <w:t>1、配电设备：</w:t>
            </w:r>
          </w:p>
          <w:p>
            <w:pPr>
              <w:pStyle w:val="null3"/>
              <w:jc w:val="left"/>
            </w:pPr>
            <w:r>
              <w:rPr>
                <w:rFonts w:ascii="仿宋_GB2312" w:hAnsi="仿宋_GB2312" w:cs="仿宋_GB2312" w:eastAsia="仿宋_GB2312"/>
              </w:rPr>
              <w:t>(1)各配电设备安全防护到位（含控制柜基座），接地保护动作可靠，接地电阻符合要求。</w:t>
            </w:r>
          </w:p>
          <w:p>
            <w:pPr>
              <w:pStyle w:val="null3"/>
              <w:jc w:val="left"/>
            </w:pPr>
            <w:r>
              <w:rPr>
                <w:rFonts w:ascii="仿宋_GB2312" w:hAnsi="仿宋_GB2312" w:cs="仿宋_GB2312" w:eastAsia="仿宋_GB2312"/>
              </w:rPr>
              <w:t>(2)设施外观整洁（含控制柜基座），高度符合规定，无倾斜、下沉、老化、破损、锈蚀及缺失，铭牌及其它标志完好。</w:t>
            </w:r>
          </w:p>
          <w:p>
            <w:pPr>
              <w:pStyle w:val="null3"/>
              <w:jc w:val="left"/>
            </w:pPr>
            <w:r>
              <w:rPr>
                <w:rFonts w:ascii="仿宋_GB2312" w:hAnsi="仿宋_GB2312" w:cs="仿宋_GB2312" w:eastAsia="仿宋_GB2312"/>
              </w:rPr>
              <w:t>(3)箱体安装规范、牢固，配件完整、保护层完好，门、锁性能完好，无漏雨进水，室内通风良好，地面平整干燥，防火、防盗、防小动物装置及照明设施齐全，做好定期清扫保洁工作。</w:t>
            </w:r>
          </w:p>
          <w:p>
            <w:pPr>
              <w:pStyle w:val="null3"/>
              <w:jc w:val="left"/>
            </w:pPr>
            <w:r>
              <w:rPr>
                <w:rFonts w:ascii="仿宋_GB2312" w:hAnsi="仿宋_GB2312" w:cs="仿宋_GB2312" w:eastAsia="仿宋_GB2312"/>
              </w:rPr>
              <w:t>(4)引下线外形整齐、美观，保护管完好绝缘层完好，接头规范。</w:t>
            </w:r>
          </w:p>
          <w:p>
            <w:pPr>
              <w:pStyle w:val="null3"/>
              <w:jc w:val="left"/>
            </w:pPr>
            <w:r>
              <w:rPr>
                <w:rFonts w:ascii="仿宋_GB2312" w:hAnsi="仿宋_GB2312" w:cs="仿宋_GB2312" w:eastAsia="仿宋_GB2312"/>
              </w:rPr>
              <w:t>(5)箱内元器件支架稳定，元器件完整齐全，固定牢靠，位置准确，动作灵活有效，导线相序一致。</w:t>
            </w:r>
          </w:p>
          <w:p>
            <w:pPr>
              <w:pStyle w:val="null3"/>
              <w:jc w:val="left"/>
            </w:pPr>
            <w:r>
              <w:rPr>
                <w:rFonts w:ascii="仿宋_GB2312" w:hAnsi="仿宋_GB2312" w:cs="仿宋_GB2312" w:eastAsia="仿宋_GB2312"/>
              </w:rPr>
              <w:t>(6)箱内线路导线排列整齐、美观，相序一致、接触紧密，固件完整、齐全，绝缘良好，相间或对构件的距离符合相关规范规定。</w:t>
            </w:r>
          </w:p>
          <w:p>
            <w:pPr>
              <w:pStyle w:val="null3"/>
              <w:jc w:val="left"/>
            </w:pPr>
            <w:r>
              <w:rPr>
                <w:rFonts w:ascii="仿宋_GB2312" w:hAnsi="仿宋_GB2312" w:cs="仿宋_GB2312" w:eastAsia="仿宋_GB2312"/>
              </w:rPr>
              <w:t>(7)路灯配电设备（供电部分）、基础设施的管理：</w:t>
            </w:r>
          </w:p>
          <w:p>
            <w:pPr>
              <w:pStyle w:val="null3"/>
              <w:jc w:val="left"/>
            </w:pPr>
            <w:r>
              <w:rPr>
                <w:rFonts w:ascii="仿宋_GB2312" w:hAnsi="仿宋_GB2312" w:cs="仿宋_GB2312" w:eastAsia="仿宋_GB2312"/>
              </w:rPr>
              <w:t>供应商负责采购人产权范围内高、低压配电、控制设施的日常维护、维修管理。道路开挖、开口等涉及路灯设施的工程，供应商应巡查到位，对未办理行政审批许可证的施工行为及损坏路灯设施的施工行为，应立即制止，并同时通知发包方进行处理；对已办理行政审批许可证的施工工程，供应商应加强监管，如由供应商负责路灯设施的移位、拆除、穿保护管等恢复施工，施工费用由供应商与申请单位协商进行结算，采购人负责工程监督与协调。</w:t>
            </w:r>
          </w:p>
          <w:p>
            <w:pPr>
              <w:pStyle w:val="null3"/>
              <w:jc w:val="left"/>
            </w:pPr>
            <w:r>
              <w:rPr>
                <w:rFonts w:ascii="仿宋_GB2312" w:hAnsi="仿宋_GB2312" w:cs="仿宋_GB2312" w:eastAsia="仿宋_GB2312"/>
              </w:rPr>
              <w:t>（</w:t>
            </w:r>
            <w:r>
              <w:rPr>
                <w:rFonts w:ascii="仿宋_GB2312" w:hAnsi="仿宋_GB2312" w:cs="仿宋_GB2312" w:eastAsia="仿宋_GB2312"/>
              </w:rPr>
              <w:t>8）定期对变压器加油、检测、维护，确保变压器正常运行。</w:t>
            </w:r>
          </w:p>
          <w:p>
            <w:pPr>
              <w:pStyle w:val="null3"/>
              <w:jc w:val="left"/>
            </w:pPr>
            <w:r>
              <w:rPr>
                <w:rFonts w:ascii="仿宋_GB2312" w:hAnsi="仿宋_GB2312" w:cs="仿宋_GB2312" w:eastAsia="仿宋_GB2312"/>
              </w:rPr>
              <w:t>（</w:t>
            </w:r>
            <w:r>
              <w:rPr>
                <w:rFonts w:ascii="仿宋_GB2312" w:hAnsi="仿宋_GB2312" w:cs="仿宋_GB2312" w:eastAsia="仿宋_GB2312"/>
              </w:rPr>
              <w:t>9）各配电设施设备周围无杂草丛生、杂物堆积、农作物、树木等。</w:t>
            </w:r>
          </w:p>
          <w:p>
            <w:pPr>
              <w:pStyle w:val="null3"/>
              <w:jc w:val="left"/>
            </w:pPr>
            <w:r>
              <w:rPr>
                <w:rFonts w:ascii="仿宋_GB2312" w:hAnsi="仿宋_GB2312" w:cs="仿宋_GB2312" w:eastAsia="仿宋_GB2312"/>
              </w:rPr>
              <w:t>（</w:t>
            </w:r>
            <w:r>
              <w:rPr>
                <w:rFonts w:ascii="仿宋_GB2312" w:hAnsi="仿宋_GB2312" w:cs="仿宋_GB2312" w:eastAsia="仿宋_GB2312"/>
              </w:rPr>
              <w:t>10）各配电设施必须粘贴统一规范的安全提示标识标牌。</w:t>
            </w:r>
          </w:p>
          <w:p>
            <w:pPr>
              <w:pStyle w:val="null3"/>
              <w:jc w:val="left"/>
            </w:pPr>
            <w:r>
              <w:rPr>
                <w:rFonts w:ascii="仿宋_GB2312" w:hAnsi="仿宋_GB2312" w:cs="仿宋_GB2312" w:eastAsia="仿宋_GB2312"/>
              </w:rPr>
              <w:t>2、线路设施：</w:t>
            </w:r>
          </w:p>
          <w:p>
            <w:pPr>
              <w:pStyle w:val="null3"/>
              <w:jc w:val="left"/>
            </w:pPr>
            <w:r>
              <w:rPr>
                <w:rFonts w:ascii="仿宋_GB2312" w:hAnsi="仿宋_GB2312" w:cs="仿宋_GB2312" w:eastAsia="仿宋_GB2312"/>
              </w:rPr>
              <w:t>(1)线路畅通，供电可靠。</w:t>
            </w:r>
          </w:p>
          <w:p>
            <w:pPr>
              <w:pStyle w:val="null3"/>
              <w:jc w:val="left"/>
            </w:pPr>
            <w:r>
              <w:rPr>
                <w:rFonts w:ascii="仿宋_GB2312" w:hAnsi="仿宋_GB2312" w:cs="仿宋_GB2312" w:eastAsia="仿宋_GB2312"/>
              </w:rPr>
              <w:t>(2)线路及附属配件完好齐全。</w:t>
            </w:r>
          </w:p>
          <w:p>
            <w:pPr>
              <w:pStyle w:val="null3"/>
              <w:jc w:val="left"/>
            </w:pPr>
            <w:r>
              <w:rPr>
                <w:rFonts w:ascii="仿宋_GB2312" w:hAnsi="仿宋_GB2312" w:cs="仿宋_GB2312" w:eastAsia="仿宋_GB2312"/>
              </w:rPr>
              <w:t>(3)金具、紧固件连接可靠，外观整洁、无锈蚀。</w:t>
            </w:r>
          </w:p>
          <w:p>
            <w:pPr>
              <w:pStyle w:val="null3"/>
              <w:jc w:val="left"/>
            </w:pPr>
            <w:r>
              <w:rPr>
                <w:rFonts w:ascii="仿宋_GB2312" w:hAnsi="仿宋_GB2312" w:cs="仿宋_GB2312" w:eastAsia="仿宋_GB2312"/>
              </w:rPr>
              <w:t>(4)地埋电缆敷设规范安全，保护措施齐全绝缘层良好，接地连接可靠，固件完整齐全。</w:t>
            </w:r>
          </w:p>
          <w:p>
            <w:pPr>
              <w:pStyle w:val="null3"/>
              <w:jc w:val="left"/>
            </w:pPr>
            <w:r>
              <w:rPr>
                <w:rFonts w:ascii="仿宋_GB2312" w:hAnsi="仿宋_GB2312" w:cs="仿宋_GB2312" w:eastAsia="仿宋_GB2312"/>
              </w:rPr>
              <w:t>(5)接线井内线路排列整齐，无杂物和积水。</w:t>
            </w:r>
          </w:p>
          <w:p>
            <w:pPr>
              <w:pStyle w:val="null3"/>
              <w:jc w:val="left"/>
            </w:pPr>
            <w:r>
              <w:rPr>
                <w:rFonts w:ascii="仿宋_GB2312" w:hAnsi="仿宋_GB2312" w:cs="仿宋_GB2312" w:eastAsia="仿宋_GB2312"/>
              </w:rPr>
              <w:t>(6)地埋线路无盗窃现象。</w:t>
            </w:r>
          </w:p>
          <w:p>
            <w:pPr>
              <w:pStyle w:val="null3"/>
              <w:jc w:val="left"/>
            </w:pPr>
            <w:r>
              <w:rPr>
                <w:rFonts w:ascii="仿宋_GB2312" w:hAnsi="仿宋_GB2312" w:cs="仿宋_GB2312" w:eastAsia="仿宋_GB2312"/>
              </w:rPr>
              <w:t>(7)处理地埋线路故障需对接的，必须使用热缩、冷缩方式进行线路对接（严禁采用干包方式），路灯杆之间每档线路存在2个或以上接头以及损毁严重的线路必须更换整档线路。</w:t>
            </w:r>
          </w:p>
          <w:p>
            <w:pPr>
              <w:pStyle w:val="null3"/>
              <w:jc w:val="left"/>
            </w:pPr>
            <w:r>
              <w:rPr>
                <w:rFonts w:ascii="仿宋_GB2312" w:hAnsi="仿宋_GB2312" w:cs="仿宋_GB2312" w:eastAsia="仿宋_GB2312"/>
              </w:rPr>
              <w:t>3、照明设施：</w:t>
            </w:r>
          </w:p>
          <w:p>
            <w:pPr>
              <w:pStyle w:val="null3"/>
              <w:jc w:val="left"/>
            </w:pPr>
            <w:r>
              <w:rPr>
                <w:rFonts w:ascii="仿宋_GB2312" w:hAnsi="仿宋_GB2312" w:cs="仿宋_GB2312" w:eastAsia="仿宋_GB2312"/>
              </w:rPr>
              <w:t>(1)路灯亮灯率</w:t>
            </w:r>
            <w:r>
              <w:rPr>
                <w:rFonts w:ascii="仿宋_GB2312" w:hAnsi="仿宋_GB2312" w:cs="仿宋_GB2312" w:eastAsia="仿宋_GB2312"/>
              </w:rPr>
              <w:t>达到</w:t>
            </w:r>
            <w:r>
              <w:rPr>
                <w:rFonts w:ascii="仿宋_GB2312" w:hAnsi="仿宋_GB2312" w:cs="仿宋_GB2312" w:eastAsia="仿宋_GB2312"/>
              </w:rPr>
              <w:t>98% 以上</w:t>
            </w:r>
            <w:r>
              <w:rPr>
                <w:rFonts w:ascii="仿宋_GB2312" w:hAnsi="仿宋_GB2312" w:cs="仿宋_GB2312" w:eastAsia="仿宋_GB2312"/>
              </w:rPr>
              <w:t>，维护达标率</w:t>
            </w:r>
            <w:r>
              <w:rPr>
                <w:rFonts w:ascii="仿宋_GB2312" w:hAnsi="仿宋_GB2312" w:cs="仿宋_GB2312" w:eastAsia="仿宋_GB2312"/>
              </w:rPr>
              <w:t>100%。</w:t>
            </w:r>
          </w:p>
          <w:p>
            <w:pPr>
              <w:pStyle w:val="null3"/>
              <w:jc w:val="left"/>
            </w:pPr>
            <w:r>
              <w:rPr>
                <w:rFonts w:ascii="仿宋_GB2312" w:hAnsi="仿宋_GB2312" w:cs="仿宋_GB2312" w:eastAsia="仿宋_GB2312"/>
              </w:rPr>
              <w:t>(2)灯杆、灯具、检修门、接地装置齐全，符合原设计及相关规范要求，设施完好率达</w:t>
            </w:r>
            <w:r>
              <w:rPr>
                <w:rFonts w:ascii="仿宋_GB2312" w:hAnsi="仿宋_GB2312" w:cs="仿宋_GB2312" w:eastAsia="仿宋_GB2312"/>
              </w:rPr>
              <w:t>95</w:t>
            </w:r>
            <w:r>
              <w:rPr>
                <w:rFonts w:ascii="仿宋_GB2312" w:hAnsi="仿宋_GB2312" w:cs="仿宋_GB2312" w:eastAsia="仿宋_GB2312"/>
              </w:rPr>
              <w:t>%。</w:t>
            </w:r>
          </w:p>
          <w:p>
            <w:pPr>
              <w:pStyle w:val="null3"/>
              <w:jc w:val="left"/>
            </w:pPr>
            <w:r>
              <w:rPr>
                <w:rFonts w:ascii="仿宋_GB2312" w:hAnsi="仿宋_GB2312" w:cs="仿宋_GB2312" w:eastAsia="仿宋_GB2312"/>
              </w:rPr>
              <w:t>(3)光源及电器齐全完整，连接准确，工作正常，安装稳固，外壳完整安全，绝缘层完好，接头规范。</w:t>
            </w:r>
          </w:p>
          <w:p>
            <w:pPr>
              <w:pStyle w:val="null3"/>
              <w:jc w:val="left"/>
            </w:pPr>
            <w:r>
              <w:rPr>
                <w:rFonts w:ascii="仿宋_GB2312" w:hAnsi="仿宋_GB2312" w:cs="仿宋_GB2312" w:eastAsia="仿宋_GB2312"/>
              </w:rPr>
              <w:t>(4)灯罩外观完整，绝缘良好，安装稳固，闭合紧密，保护层完好，部件齐全，支架稳定，元器件完整、无积尘、蜘蛛网。</w:t>
            </w:r>
          </w:p>
          <w:p>
            <w:pPr>
              <w:pStyle w:val="null3"/>
              <w:jc w:val="left"/>
            </w:pPr>
            <w:r>
              <w:rPr>
                <w:rFonts w:ascii="仿宋_GB2312" w:hAnsi="仿宋_GB2312" w:cs="仿宋_GB2312" w:eastAsia="仿宋_GB2312"/>
              </w:rPr>
              <w:t>(5)灯杆及灯架安装端正、稳固，接地可靠，外观整齐清洁，无积尘、无异物，保护层完好，无歪斜和松动。</w:t>
            </w:r>
          </w:p>
          <w:p>
            <w:pPr>
              <w:pStyle w:val="null3"/>
              <w:jc w:val="left"/>
            </w:pPr>
            <w:r>
              <w:rPr>
                <w:rFonts w:ascii="仿宋_GB2312" w:hAnsi="仿宋_GB2312" w:cs="仿宋_GB2312" w:eastAsia="仿宋_GB2312"/>
              </w:rPr>
              <w:t>(6)管护范围内路灯设施1年至少清洗1次，包括灯具、灯杆、各高低压配电箱体等，并做好日常保洁工作。</w:t>
            </w:r>
          </w:p>
          <w:p>
            <w:pPr>
              <w:pStyle w:val="null3"/>
              <w:jc w:val="left"/>
            </w:pPr>
            <w:r>
              <w:rPr>
                <w:rFonts w:ascii="仿宋_GB2312" w:hAnsi="仿宋_GB2312" w:cs="仿宋_GB2312" w:eastAsia="仿宋_GB2312"/>
              </w:rPr>
              <w:t>4、避雷、接地装置：</w:t>
            </w:r>
          </w:p>
          <w:p>
            <w:pPr>
              <w:pStyle w:val="null3"/>
              <w:jc w:val="left"/>
            </w:pPr>
            <w:r>
              <w:rPr>
                <w:rFonts w:ascii="仿宋_GB2312" w:hAnsi="仿宋_GB2312" w:cs="仿宋_GB2312" w:eastAsia="仿宋_GB2312"/>
              </w:rPr>
              <w:t>接地连接体无松动、脱落现象，连接紧密；每年至少进行一次测试，测试阻值</w:t>
            </w:r>
            <w:r>
              <w:rPr>
                <w:rFonts w:ascii="仿宋_GB2312" w:hAnsi="仿宋_GB2312" w:cs="仿宋_GB2312" w:eastAsia="仿宋_GB2312"/>
              </w:rPr>
              <w:t>≤4Ω。</w:t>
            </w:r>
          </w:p>
          <w:p>
            <w:pPr>
              <w:pStyle w:val="null3"/>
              <w:jc w:val="left"/>
            </w:pPr>
            <w:r>
              <w:rPr>
                <w:rFonts w:ascii="仿宋_GB2312" w:hAnsi="仿宋_GB2312" w:cs="仿宋_GB2312" w:eastAsia="仿宋_GB2312"/>
              </w:rPr>
              <w:t>5、其他要求</w:t>
            </w:r>
          </w:p>
          <w:p>
            <w:pPr>
              <w:pStyle w:val="null3"/>
              <w:jc w:val="left"/>
            </w:pPr>
            <w:r>
              <w:rPr>
                <w:rFonts w:ascii="仿宋_GB2312" w:hAnsi="仿宋_GB2312" w:cs="仿宋_GB2312" w:eastAsia="仿宋_GB2312"/>
              </w:rPr>
              <w:t>（</w:t>
            </w:r>
            <w:r>
              <w:rPr>
                <w:rFonts w:ascii="仿宋_GB2312" w:hAnsi="仿宋_GB2312" w:cs="仿宋_GB2312" w:eastAsia="仿宋_GB2312"/>
              </w:rPr>
              <w:t>1）城市路灯集中管控系统的维护管理，以及各控制点位智能路灯控制器的维护管理。</w:t>
            </w:r>
          </w:p>
          <w:p>
            <w:pPr>
              <w:pStyle w:val="null3"/>
              <w:jc w:val="left"/>
            </w:pPr>
            <w:r>
              <w:rPr>
                <w:rFonts w:ascii="仿宋_GB2312" w:hAnsi="仿宋_GB2312" w:cs="仿宋_GB2312" w:eastAsia="仿宋_GB2312"/>
              </w:rPr>
              <w:t>（</w:t>
            </w:r>
            <w:r>
              <w:rPr>
                <w:rFonts w:ascii="仿宋_GB2312" w:hAnsi="仿宋_GB2312" w:cs="仿宋_GB2312" w:eastAsia="仿宋_GB2312"/>
              </w:rPr>
              <w:t>2）管护使用的照明设施、灯具等必须使用符合国家规定的环保产品。涉及环保问题的废旧照明设施由采购人委托供应商交由有资质的公司按照国家标准进行集中处理。</w:t>
            </w:r>
          </w:p>
          <w:p>
            <w:pPr>
              <w:pStyle w:val="null3"/>
              <w:jc w:val="left"/>
            </w:pPr>
            <w:r>
              <w:rPr>
                <w:rFonts w:ascii="仿宋_GB2312" w:hAnsi="仿宋_GB2312" w:cs="仿宋_GB2312" w:eastAsia="仿宋_GB2312"/>
              </w:rPr>
              <w:t>（</w:t>
            </w:r>
            <w:r>
              <w:rPr>
                <w:rFonts w:ascii="仿宋_GB2312" w:hAnsi="仿宋_GB2312" w:cs="仿宋_GB2312" w:eastAsia="仿宋_GB2312"/>
              </w:rPr>
              <w:t>3）按照《城市照明管理规定》《城市道路照明设计标准》恢复人为破坏且无法界定事故责任的照明设施、设备故障。</w:t>
            </w:r>
          </w:p>
          <w:p>
            <w:pPr>
              <w:pStyle w:val="null3"/>
              <w:jc w:val="left"/>
            </w:pPr>
            <w:r>
              <w:rPr>
                <w:rFonts w:ascii="仿宋_GB2312" w:hAnsi="仿宋_GB2312" w:cs="仿宋_GB2312" w:eastAsia="仿宋_GB2312"/>
              </w:rPr>
              <w:t>（</w:t>
            </w:r>
            <w:r>
              <w:rPr>
                <w:rFonts w:ascii="仿宋_GB2312" w:hAnsi="仿宋_GB2312" w:cs="仿宋_GB2312" w:eastAsia="仿宋_GB2312"/>
              </w:rPr>
              <w:t>4）按照《城市照明管理规定》《城市道路照明设计标准》恢复路灯照明设施、设备、电路等被盗、损坏造成的故障，并必须按照原规格、型号、材质进行恢复。</w:t>
            </w:r>
          </w:p>
          <w:p>
            <w:pPr>
              <w:pStyle w:val="null3"/>
              <w:jc w:val="left"/>
            </w:pPr>
            <w:r>
              <w:rPr>
                <w:rFonts w:ascii="仿宋_GB2312" w:hAnsi="仿宋_GB2312" w:cs="仿宋_GB2312" w:eastAsia="仿宋_GB2312"/>
              </w:rPr>
              <w:t>（</w:t>
            </w:r>
            <w:r>
              <w:rPr>
                <w:rFonts w:ascii="仿宋_GB2312" w:hAnsi="仿宋_GB2312" w:cs="仿宋_GB2312" w:eastAsia="仿宋_GB2312"/>
              </w:rPr>
              <w:t>5）照明设施产权属于采购人所有，未经采购人同意不得挪作它用，不得随意同意他人私达电源。</w:t>
            </w:r>
          </w:p>
          <w:p>
            <w:pPr>
              <w:pStyle w:val="null3"/>
              <w:jc w:val="left"/>
            </w:pPr>
            <w:r>
              <w:rPr>
                <w:rFonts w:ascii="仿宋_GB2312" w:hAnsi="仿宋_GB2312" w:cs="仿宋_GB2312" w:eastAsia="仿宋_GB2312"/>
              </w:rPr>
              <w:t>（</w:t>
            </w:r>
            <w:r>
              <w:rPr>
                <w:rFonts w:ascii="仿宋_GB2312" w:hAnsi="仿宋_GB2312" w:cs="仿宋_GB2312" w:eastAsia="仿宋_GB2312"/>
              </w:rPr>
              <w:t>6）供应商负责合同期间发生的与路灯维护维修相关的一切安全事故并进行赔偿；</w:t>
            </w:r>
          </w:p>
          <w:p>
            <w:pPr>
              <w:pStyle w:val="null3"/>
              <w:jc w:val="left"/>
            </w:pPr>
            <w:r>
              <w:rPr>
                <w:rFonts w:ascii="仿宋_GB2312" w:hAnsi="仿宋_GB2312" w:cs="仿宋_GB2312" w:eastAsia="仿宋_GB2312"/>
              </w:rPr>
              <w:t>（</w:t>
            </w:r>
            <w:r>
              <w:rPr>
                <w:rFonts w:ascii="仿宋_GB2312" w:hAnsi="仿宋_GB2312" w:cs="仿宋_GB2312" w:eastAsia="仿宋_GB2312"/>
              </w:rPr>
              <w:t>7）供应商应加强日常巡查，并建立巡查台账，由于巡查不及时造成安全事故由供应商负责赔偿。</w:t>
            </w:r>
          </w:p>
          <w:p>
            <w:pPr>
              <w:pStyle w:val="null3"/>
              <w:jc w:val="left"/>
            </w:pPr>
            <w:r>
              <w:rPr>
                <w:rFonts w:ascii="仿宋_GB2312" w:hAnsi="仿宋_GB2312" w:cs="仿宋_GB2312" w:eastAsia="仿宋_GB2312"/>
              </w:rPr>
              <w:t>★</w:t>
            </w:r>
            <w:r>
              <w:rPr>
                <w:rFonts w:ascii="仿宋_GB2312" w:hAnsi="仿宋_GB2312" w:cs="仿宋_GB2312" w:eastAsia="仿宋_GB2312"/>
                <w:b/>
              </w:rPr>
              <w:t>（</w:t>
            </w:r>
            <w:r>
              <w:rPr>
                <w:rFonts w:ascii="仿宋_GB2312" w:hAnsi="仿宋_GB2312" w:cs="仿宋_GB2312" w:eastAsia="仿宋_GB2312"/>
                <w:b/>
              </w:rPr>
              <w:t>8）由于城区面积较大，供应商需配备照明设施维修人员低压不少于5人，高压不少于2人，所有作业人员均需持证上岗，具备作业能力，熟悉相关设施、设备，接受执法局管理人员查验。</w:t>
            </w:r>
            <w:r>
              <w:rPr>
                <w:rFonts w:ascii="仿宋_GB2312" w:hAnsi="仿宋_GB2312" w:cs="仿宋_GB2312" w:eastAsia="仿宋_GB2312"/>
                <w:b/>
              </w:rPr>
              <w:t>（</w:t>
            </w:r>
            <w:r>
              <w:rPr>
                <w:rFonts w:ascii="仿宋_GB2312" w:hAnsi="仿宋_GB2312" w:cs="仿宋_GB2312" w:eastAsia="仿宋_GB2312"/>
                <w:b/>
              </w:rPr>
              <w:t>投标时提供承诺函，签订采购合同前，由采购人查验。</w:t>
            </w:r>
            <w:r>
              <w:rPr>
                <w:rFonts w:ascii="仿宋_GB2312" w:hAnsi="仿宋_GB2312" w:cs="仿宋_GB2312" w:eastAsia="仿宋_GB2312"/>
                <w:b/>
              </w:rPr>
              <w:t>）</w:t>
            </w:r>
          </w:p>
          <w:p>
            <w:pPr>
              <w:pStyle w:val="null3"/>
              <w:jc w:val="left"/>
            </w:pPr>
            <w:r>
              <w:rPr>
                <w:rFonts w:ascii="仿宋_GB2312" w:hAnsi="仿宋_GB2312" w:cs="仿宋_GB2312" w:eastAsia="仿宋_GB2312"/>
              </w:rPr>
              <w:t>（</w:t>
            </w:r>
            <w:r>
              <w:rPr>
                <w:rFonts w:ascii="仿宋_GB2312" w:hAnsi="仿宋_GB2312" w:cs="仿宋_GB2312" w:eastAsia="仿宋_GB2312"/>
              </w:rPr>
              <w:t>9）供应商不得拖欠路灯管护作业人员工资。</w:t>
            </w:r>
          </w:p>
          <w:p>
            <w:pPr>
              <w:pStyle w:val="null3"/>
              <w:ind w:firstLine="440"/>
              <w:jc w:val="center"/>
            </w:pPr>
            <w:r>
              <w:rPr>
                <w:rFonts w:ascii="仿宋_GB2312" w:hAnsi="仿宋_GB2312" w:cs="仿宋_GB2312" w:eastAsia="仿宋_GB2312"/>
                <w:sz w:val="20"/>
                <w:b/>
              </w:rPr>
              <w:t>金堂县城市照明设施维护服务考核管理办法</w:t>
            </w:r>
          </w:p>
          <w:p>
            <w:pPr>
              <w:pStyle w:val="null3"/>
              <w:ind w:firstLine="440"/>
              <w:jc w:val="left"/>
            </w:pPr>
            <w:r>
              <w:rPr>
                <w:rFonts w:ascii="仿宋_GB2312" w:hAnsi="仿宋_GB2312" w:cs="仿宋_GB2312" w:eastAsia="仿宋_GB2312"/>
                <w:sz w:val="20"/>
                <w:shd w:fill="FFFFFF" w:val="clear"/>
              </w:rPr>
              <w:t>为保障金堂县城区照明设施正常运行，根据照明招标资料相关要求，将县城区照明设施授权委托给供应商进行维护，结合工作实际情况，特制定本管理办法。</w:t>
            </w:r>
          </w:p>
          <w:p>
            <w:pPr>
              <w:pStyle w:val="null3"/>
              <w:ind w:firstLine="400"/>
              <w:jc w:val="left"/>
            </w:pPr>
            <w:r>
              <w:rPr>
                <w:rFonts w:ascii="仿宋_GB2312" w:hAnsi="仿宋_GB2312" w:cs="仿宋_GB2312" w:eastAsia="仿宋_GB2312"/>
                <w:sz w:val="20"/>
                <w:shd w:fill="FFFFFF" w:val="clear"/>
              </w:rPr>
              <w:t>一、考核管理机制</w:t>
            </w:r>
          </w:p>
          <w:p>
            <w:pPr>
              <w:pStyle w:val="null3"/>
              <w:ind w:firstLine="400"/>
              <w:jc w:val="left"/>
            </w:pPr>
            <w:r>
              <w:rPr>
                <w:rFonts w:ascii="仿宋_GB2312" w:hAnsi="仿宋_GB2312" w:cs="仿宋_GB2312" w:eastAsia="仿宋_GB2312"/>
                <w:sz w:val="20"/>
                <w:b/>
                <w:shd w:fill="FFFFFF" w:val="clear"/>
              </w:rPr>
              <w:t>（一）考核管理主体</w:t>
            </w:r>
          </w:p>
          <w:p>
            <w:pPr>
              <w:pStyle w:val="null3"/>
              <w:ind w:firstLine="400"/>
              <w:jc w:val="both"/>
            </w:pPr>
            <w:r>
              <w:rPr>
                <w:rFonts w:ascii="仿宋_GB2312" w:hAnsi="仿宋_GB2312" w:cs="仿宋_GB2312" w:eastAsia="仿宋_GB2312"/>
                <w:sz w:val="20"/>
                <w:shd w:fill="FFFFFF" w:val="clear"/>
              </w:rPr>
              <w:t>按照中共金堂县综合行政执法局党组关于印发《金堂县综合行政执法局局属事业单位职能配置规定的通知》（金综执党组发〔</w:t>
            </w:r>
            <w:r>
              <w:rPr>
                <w:rFonts w:ascii="仿宋_GB2312" w:hAnsi="仿宋_GB2312" w:cs="仿宋_GB2312" w:eastAsia="仿宋_GB2312"/>
                <w:sz w:val="20"/>
                <w:shd w:fill="FFFFFF" w:val="clear"/>
              </w:rPr>
              <w:t>2019〕13）相关规定，由金堂县赵镇城市管理综合服务中心制定维护考核办法，对维护公司作业进行监督考核。</w:t>
            </w:r>
          </w:p>
          <w:p>
            <w:pPr>
              <w:pStyle w:val="null3"/>
              <w:ind w:firstLine="400"/>
              <w:jc w:val="left"/>
            </w:pPr>
            <w:r>
              <w:rPr>
                <w:rFonts w:ascii="仿宋_GB2312" w:hAnsi="仿宋_GB2312" w:cs="仿宋_GB2312" w:eastAsia="仿宋_GB2312"/>
                <w:sz w:val="20"/>
                <w:b/>
                <w:shd w:fill="FFFFFF" w:val="clear"/>
              </w:rPr>
              <w:t>（二）被考核对象</w:t>
            </w:r>
          </w:p>
          <w:p>
            <w:pPr>
              <w:pStyle w:val="null3"/>
              <w:spacing w:after="120"/>
              <w:ind w:firstLine="400"/>
              <w:jc w:val="both"/>
            </w:pPr>
            <w:r>
              <w:rPr>
                <w:rFonts w:ascii="仿宋_GB2312" w:hAnsi="仿宋_GB2312" w:cs="仿宋_GB2312" w:eastAsia="仿宋_GB2312"/>
                <w:sz w:val="20"/>
              </w:rPr>
              <w:t>根据中标通知书，</w:t>
            </w:r>
            <w:r>
              <w:rPr>
                <w:rFonts w:ascii="仿宋_GB2312" w:hAnsi="仿宋_GB2312" w:cs="仿宋_GB2312" w:eastAsia="仿宋_GB2312"/>
                <w:sz w:val="20"/>
              </w:rPr>
              <w:t>xxxx公司作为承接金堂城市照明设施的管护主体，为被考核对象，接受赵镇城市管理综合服务中心的监督考核，落实赵镇城市管理综合服务中心下达的城市照明工作任务。</w:t>
            </w:r>
          </w:p>
          <w:p>
            <w:pPr>
              <w:pStyle w:val="null3"/>
              <w:ind w:firstLine="400"/>
              <w:jc w:val="left"/>
            </w:pPr>
            <w:r>
              <w:rPr>
                <w:rFonts w:ascii="仿宋_GB2312" w:hAnsi="仿宋_GB2312" w:cs="仿宋_GB2312" w:eastAsia="仿宋_GB2312"/>
                <w:sz w:val="20"/>
                <w:shd w:fill="FFFFFF" w:val="clear"/>
              </w:rPr>
              <w:t>二、考核原则</w:t>
            </w:r>
          </w:p>
          <w:p>
            <w:pPr>
              <w:pStyle w:val="null3"/>
              <w:spacing w:after="120"/>
              <w:ind w:firstLine="400"/>
              <w:jc w:val="both"/>
            </w:pPr>
            <w:r>
              <w:rPr>
                <w:rFonts w:ascii="仿宋_GB2312" w:hAnsi="仿宋_GB2312" w:cs="仿宋_GB2312" w:eastAsia="仿宋_GB2312"/>
                <w:sz w:val="20"/>
              </w:rPr>
              <w:t>按照合同约定，照明设施的管理方和照明设施的维护方应按照各自职责履行义务并贯彻实施本考核办法。考核坚持以问题为导向，注重照明设施维护作业质量的客观评价，通过考核促进维护品质的提升。</w:t>
            </w:r>
          </w:p>
          <w:p>
            <w:pPr>
              <w:pStyle w:val="null3"/>
              <w:ind w:firstLine="400"/>
              <w:jc w:val="left"/>
            </w:pPr>
            <w:r>
              <w:rPr>
                <w:rFonts w:ascii="仿宋_GB2312" w:hAnsi="仿宋_GB2312" w:cs="仿宋_GB2312" w:eastAsia="仿宋_GB2312"/>
                <w:sz w:val="20"/>
              </w:rPr>
              <w:t>三、维护作业管理要求</w:t>
            </w:r>
          </w:p>
          <w:p>
            <w:pPr>
              <w:pStyle w:val="null3"/>
              <w:spacing w:after="120"/>
              <w:ind w:firstLine="630"/>
              <w:jc w:val="both"/>
            </w:pPr>
            <w:r>
              <w:rPr>
                <w:rFonts w:ascii="仿宋_GB2312" w:hAnsi="仿宋_GB2312" w:cs="仿宋_GB2312" w:eastAsia="仿宋_GB2312"/>
                <w:sz w:val="20"/>
              </w:rPr>
              <w:t>管护公司应严格遵守城市照明管理法律法规及行业技术规范，执行《照明设施维护作业标准》（附件</w:t>
            </w:r>
            <w:r>
              <w:rPr>
                <w:rFonts w:ascii="仿宋_GB2312" w:hAnsi="仿宋_GB2312" w:cs="仿宋_GB2312" w:eastAsia="仿宋_GB2312"/>
                <w:sz w:val="20"/>
              </w:rPr>
              <w:t>2），赵镇城市管理综合服务中心根据该作业标准履行考核评价。</w:t>
            </w:r>
          </w:p>
          <w:p>
            <w:pPr>
              <w:pStyle w:val="null3"/>
              <w:spacing w:after="120"/>
              <w:ind w:firstLine="300"/>
              <w:jc w:val="both"/>
            </w:pPr>
            <w:r>
              <w:rPr>
                <w:rFonts w:ascii="仿宋_GB2312" w:hAnsi="仿宋_GB2312" w:cs="仿宋_GB2312" w:eastAsia="仿宋_GB2312"/>
                <w:sz w:val="20"/>
              </w:rPr>
              <w:t>（一）确保照明设施亮灯率达到运行要求，故障处置及时，照明设施完好清洁；</w:t>
            </w:r>
          </w:p>
          <w:p>
            <w:pPr>
              <w:pStyle w:val="null3"/>
              <w:spacing w:after="120"/>
              <w:ind w:firstLine="300"/>
              <w:jc w:val="both"/>
            </w:pPr>
            <w:r>
              <w:rPr>
                <w:rFonts w:ascii="仿宋_GB2312" w:hAnsi="仿宋_GB2312" w:cs="仿宋_GB2312" w:eastAsia="仿宋_GB2312"/>
                <w:sz w:val="20"/>
              </w:rPr>
              <w:t>（二）建立年度设施维护计划申报制度，建立设施维护管理台账；</w:t>
            </w:r>
          </w:p>
          <w:p>
            <w:pPr>
              <w:pStyle w:val="null3"/>
              <w:spacing w:after="120"/>
              <w:ind w:firstLine="300"/>
              <w:jc w:val="both"/>
            </w:pPr>
            <w:r>
              <w:rPr>
                <w:rFonts w:ascii="仿宋_GB2312" w:hAnsi="仿宋_GB2312" w:cs="仿宋_GB2312" w:eastAsia="仿宋_GB2312"/>
                <w:sz w:val="20"/>
              </w:rPr>
              <w:t>（三）建立照明维护巡查制度，及时发现并处置照明故障问题，建立突发故障快速应急制度，涉及重大安全运行故障或出现突发事件，应及时安排设施检修，建立日常维护和专项维护工作档案和问题处置台账；</w:t>
            </w:r>
          </w:p>
          <w:p>
            <w:pPr>
              <w:pStyle w:val="null3"/>
              <w:spacing w:after="120"/>
              <w:ind w:firstLine="300"/>
              <w:jc w:val="both"/>
            </w:pPr>
            <w:r>
              <w:rPr>
                <w:rFonts w:ascii="仿宋_GB2312" w:hAnsi="仿宋_GB2312" w:cs="仿宋_GB2312" w:eastAsia="仿宋_GB2312"/>
                <w:sz w:val="20"/>
              </w:rPr>
              <w:t>（四）遵守照明设施维护安全作业规范，不得擅自降低照明设施品质，严格控制白天开灯检修设施；</w:t>
            </w:r>
          </w:p>
          <w:p>
            <w:pPr>
              <w:pStyle w:val="null3"/>
              <w:spacing w:after="120"/>
              <w:ind w:firstLine="300"/>
              <w:jc w:val="both"/>
            </w:pPr>
            <w:r>
              <w:rPr>
                <w:rFonts w:ascii="仿宋_GB2312" w:hAnsi="仿宋_GB2312" w:cs="仿宋_GB2312" w:eastAsia="仿宋_GB2312"/>
                <w:sz w:val="20"/>
              </w:rPr>
              <w:t>（五）建立照明投诉问题快速处理机制，严格执行社会承诺制度。应建立照明故障投诉热线，确保</w:t>
            </w:r>
            <w:r>
              <w:rPr>
                <w:rFonts w:ascii="仿宋_GB2312" w:hAnsi="仿宋_GB2312" w:cs="仿宋_GB2312" w:eastAsia="仿宋_GB2312"/>
                <w:sz w:val="20"/>
              </w:rPr>
              <w:t>24小时畅通，接到群众投诉、媒体曝光后，应立即组织维护和抢修；</w:t>
            </w:r>
          </w:p>
          <w:p>
            <w:pPr>
              <w:pStyle w:val="null3"/>
              <w:spacing w:after="120"/>
              <w:ind w:firstLine="300"/>
              <w:jc w:val="both"/>
            </w:pPr>
            <w:r>
              <w:rPr>
                <w:rFonts w:ascii="仿宋_GB2312" w:hAnsi="仿宋_GB2312" w:cs="仿宋_GB2312" w:eastAsia="仿宋_GB2312"/>
                <w:sz w:val="20"/>
              </w:rPr>
              <w:t>（六）应建立安全应急机制，编制应急预案组织应急演练。做好重大保障、重要节日照明保障，以及防汛、防雷、暴风雪等极端恶劣天气安全应急处置；</w:t>
            </w:r>
          </w:p>
          <w:p>
            <w:pPr>
              <w:pStyle w:val="null3"/>
              <w:spacing w:after="120"/>
              <w:ind w:firstLine="300"/>
              <w:jc w:val="both"/>
            </w:pPr>
            <w:r>
              <w:rPr>
                <w:rFonts w:ascii="仿宋_GB2312" w:hAnsi="仿宋_GB2312" w:cs="仿宋_GB2312" w:eastAsia="仿宋_GB2312"/>
                <w:sz w:val="20"/>
              </w:rPr>
              <w:t>（七）按时、按质完成市城管委交办的故障处置任务。</w:t>
            </w:r>
          </w:p>
          <w:p>
            <w:pPr>
              <w:pStyle w:val="null3"/>
              <w:ind w:firstLine="400"/>
              <w:jc w:val="left"/>
            </w:pPr>
            <w:r>
              <w:rPr>
                <w:rFonts w:ascii="仿宋_GB2312" w:hAnsi="仿宋_GB2312" w:cs="仿宋_GB2312" w:eastAsia="仿宋_GB2312"/>
                <w:sz w:val="20"/>
                <w:shd w:fill="FFFFFF" w:val="clear"/>
              </w:rPr>
              <w:t>四、维护作业考核</w:t>
            </w:r>
          </w:p>
          <w:p>
            <w:pPr>
              <w:pStyle w:val="null3"/>
              <w:spacing w:after="120"/>
              <w:ind w:firstLine="100"/>
              <w:jc w:val="both"/>
            </w:pPr>
            <w:r>
              <w:rPr>
                <w:rFonts w:ascii="仿宋_GB2312" w:hAnsi="仿宋_GB2312" w:cs="仿宋_GB2312" w:eastAsia="仿宋_GB2312"/>
              </w:rPr>
              <w:t xml:space="preserve">  </w:t>
            </w:r>
            <w:r>
              <w:rPr>
                <w:rFonts w:ascii="仿宋_GB2312" w:hAnsi="仿宋_GB2312" w:cs="仿宋_GB2312" w:eastAsia="仿宋_GB2312"/>
                <w:sz w:val="20"/>
              </w:rPr>
              <w:t>赵镇城市管理综合服务中心结合城市照明维护管理行业标准编制《金堂城市照明设施维护考核细则》，考核主要有以下几个部分。</w:t>
            </w:r>
          </w:p>
          <w:p>
            <w:pPr>
              <w:pStyle w:val="null3"/>
              <w:ind w:firstLine="400"/>
              <w:jc w:val="left"/>
            </w:pPr>
            <w:r>
              <w:rPr>
                <w:rFonts w:ascii="仿宋_GB2312" w:hAnsi="仿宋_GB2312" w:cs="仿宋_GB2312" w:eastAsia="仿宋_GB2312"/>
                <w:sz w:val="20"/>
                <w:b/>
                <w:shd w:fill="FFFFFF" w:val="clear"/>
              </w:rPr>
              <w:t>（一）照明设施运行及日常维护（</w:t>
            </w:r>
            <w:r>
              <w:rPr>
                <w:rFonts w:ascii="仿宋_GB2312" w:hAnsi="仿宋_GB2312" w:cs="仿宋_GB2312" w:eastAsia="仿宋_GB2312"/>
                <w:sz w:val="20"/>
                <w:b/>
                <w:shd w:fill="FFFFFF" w:val="clear"/>
              </w:rPr>
              <w:t>95分）</w:t>
            </w:r>
          </w:p>
          <w:p>
            <w:pPr>
              <w:pStyle w:val="null3"/>
              <w:ind w:firstLine="400"/>
              <w:jc w:val="both"/>
            </w:pPr>
            <w:r>
              <w:rPr>
                <w:rFonts w:ascii="仿宋_GB2312" w:hAnsi="仿宋_GB2312" w:cs="仿宋_GB2312" w:eastAsia="仿宋_GB2312"/>
                <w:sz w:val="20"/>
              </w:rPr>
              <w:t>1、照明设施亮灯率，照明故障处置及时率及设施完好率、路灯维护管理工作达标率、清洁状况的考核评价（50分）。由赵镇城市管理综合服务中心组织对照明设施亮灯率、故障处置及时率、设施完好率、管护达标率抽查统计，对设施清洁状况进行考核评价；道路照明亮灯率应达到98%以上、故障处置及时率达到100%、设施完好率达到95%以上、路灯维护管理工作达标率100%；</w:t>
            </w:r>
          </w:p>
          <w:p>
            <w:pPr>
              <w:pStyle w:val="null3"/>
              <w:ind w:firstLine="400"/>
              <w:jc w:val="both"/>
            </w:pPr>
            <w:r>
              <w:rPr>
                <w:rFonts w:ascii="仿宋_GB2312" w:hAnsi="仿宋_GB2312" w:cs="仿宋_GB2312" w:eastAsia="仿宋_GB2312"/>
                <w:sz w:val="20"/>
              </w:rPr>
              <w:t>2、照明设施运行管理质量（15分）。对维护单位落实照明启闭管理、设施管理、设施移交等进行考核评价；</w:t>
            </w:r>
          </w:p>
          <w:p>
            <w:pPr>
              <w:pStyle w:val="null3"/>
              <w:ind w:firstLine="400"/>
              <w:jc w:val="both"/>
            </w:pPr>
            <w:r>
              <w:rPr>
                <w:rFonts w:ascii="仿宋_GB2312" w:hAnsi="仿宋_GB2312" w:cs="仿宋_GB2312" w:eastAsia="仿宋_GB2312"/>
                <w:sz w:val="20"/>
              </w:rPr>
              <w:t>3、照明保障情况（10分）。由赵镇城市管理综合服务中心组织对重要节日、重大活动照明保障落实情况进行考核，重点考核维护单位落实保障要求的情况，保障期间确保照明设施正常运行及出现熄灯、线路等故障处置情况；</w:t>
            </w:r>
          </w:p>
          <w:p>
            <w:pPr>
              <w:pStyle w:val="null3"/>
              <w:ind w:firstLine="400"/>
              <w:jc w:val="both"/>
            </w:pPr>
            <w:r>
              <w:rPr>
                <w:rFonts w:ascii="仿宋_GB2312" w:hAnsi="仿宋_GB2312" w:cs="仿宋_GB2312" w:eastAsia="仿宋_GB2312"/>
                <w:sz w:val="20"/>
              </w:rPr>
              <w:t>4、安全应急处理（15分）。由赵镇城市管理综合服务中心对维护单位落实城市照明安全生产责任制及安全风险管控工作情况；大风暴雨等极端天气发生险情，出现设施被盗受损等突发问题的安全应急处置情况；发生设施安全事故情况进行考核；</w:t>
            </w:r>
          </w:p>
          <w:p>
            <w:pPr>
              <w:pStyle w:val="null3"/>
              <w:ind w:firstLine="400"/>
              <w:jc w:val="left"/>
            </w:pPr>
            <w:r>
              <w:rPr>
                <w:rFonts w:ascii="仿宋_GB2312" w:hAnsi="仿宋_GB2312" w:cs="仿宋_GB2312" w:eastAsia="仿宋_GB2312"/>
                <w:sz w:val="20"/>
              </w:rPr>
              <w:t>5、信息资料管理（5分）。每月按城管委要求报送相关资料，实时更新指标上屏数据，月底进行维修数据汇总。</w:t>
            </w:r>
          </w:p>
          <w:p>
            <w:pPr>
              <w:pStyle w:val="null3"/>
              <w:ind w:firstLine="400"/>
              <w:jc w:val="left"/>
            </w:pPr>
            <w:r>
              <w:rPr>
                <w:rFonts w:ascii="仿宋_GB2312" w:hAnsi="仿宋_GB2312" w:cs="仿宋_GB2312" w:eastAsia="仿宋_GB2312"/>
                <w:sz w:val="20"/>
                <w:b/>
                <w:shd w:fill="FFFFFF" w:val="clear"/>
              </w:rPr>
              <w:t>（二）其它照明管理情况</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5分）</w:t>
            </w:r>
          </w:p>
          <w:p>
            <w:pPr>
              <w:pStyle w:val="null3"/>
              <w:ind w:firstLine="400"/>
              <w:jc w:val="both"/>
            </w:pPr>
            <w:r>
              <w:rPr>
                <w:rFonts w:ascii="仿宋_GB2312" w:hAnsi="仿宋_GB2312" w:cs="仿宋_GB2312" w:eastAsia="仿宋_GB2312"/>
                <w:sz w:val="20"/>
              </w:rPr>
              <w:t>维护公司对属于维护单位责任范围的网络理政投诉，领导交办、上级督办、人大政协提案等问题要及时处置；对维护责任范围外的要进行巡查监管。赵镇城市管理综合服务中心坚持问题为导向，协调、督促解决，纳入每月考核台账。</w:t>
            </w:r>
          </w:p>
          <w:p>
            <w:pPr>
              <w:pStyle w:val="null3"/>
              <w:ind w:firstLine="400"/>
              <w:jc w:val="left"/>
            </w:pPr>
            <w:r>
              <w:rPr>
                <w:rFonts w:ascii="仿宋_GB2312" w:hAnsi="仿宋_GB2312" w:cs="仿宋_GB2312" w:eastAsia="仿宋_GB2312"/>
                <w:sz w:val="20"/>
                <w:b/>
              </w:rPr>
              <w:t>（三）考核评价要求</w:t>
            </w:r>
          </w:p>
          <w:p>
            <w:pPr>
              <w:pStyle w:val="null3"/>
              <w:ind w:firstLine="400"/>
              <w:jc w:val="both"/>
            </w:pPr>
            <w:r>
              <w:rPr>
                <w:rFonts w:ascii="仿宋_GB2312" w:hAnsi="仿宋_GB2312" w:cs="仿宋_GB2312" w:eastAsia="仿宋_GB2312"/>
                <w:sz w:val="20"/>
              </w:rPr>
              <w:t>赵镇城市管理综合服务中心应坚持</w:t>
            </w:r>
            <w:r>
              <w:rPr>
                <w:rFonts w:ascii="仿宋_GB2312" w:hAnsi="仿宋_GB2312" w:cs="仿宋_GB2312" w:eastAsia="仿宋_GB2312"/>
                <w:sz w:val="20"/>
              </w:rPr>
              <w:t>“实事求是、客观公正、奖惩有度、推进工作”的原则实施监督考核。坚持问题导向，协调避免推诿扯皮，督促维护单位快速解决问题，跟踪督办及现场复核情况纳入每月考核台账。考核结果应附相关明细。对考核中存在的疑义，建立申诉处理机制，及时沟通处理。</w:t>
            </w:r>
          </w:p>
          <w:p>
            <w:pPr>
              <w:pStyle w:val="null3"/>
              <w:spacing w:after="120"/>
              <w:ind w:firstLine="400"/>
              <w:jc w:val="both"/>
            </w:pPr>
            <w:r>
              <w:rPr>
                <w:rFonts w:ascii="仿宋_GB2312" w:hAnsi="仿宋_GB2312" w:cs="仿宋_GB2312" w:eastAsia="仿宋_GB2312"/>
                <w:sz w:val="20"/>
              </w:rPr>
              <w:t>五、结果运用</w:t>
            </w:r>
          </w:p>
          <w:p>
            <w:pPr>
              <w:pStyle w:val="null3"/>
              <w:ind w:firstLine="400"/>
              <w:jc w:val="both"/>
            </w:pPr>
            <w:r>
              <w:rPr>
                <w:rFonts w:ascii="仿宋_GB2312" w:hAnsi="仿宋_GB2312" w:cs="仿宋_GB2312" w:eastAsia="仿宋_GB2312"/>
                <w:sz w:val="20"/>
              </w:rPr>
              <w:t>（一）考核结果兑现方式。以维护公司中标金额为基准，依据考核情况进行扣减。</w:t>
            </w:r>
          </w:p>
          <w:p>
            <w:pPr>
              <w:pStyle w:val="null3"/>
              <w:ind w:firstLine="400"/>
              <w:jc w:val="both"/>
            </w:pPr>
            <w:r>
              <w:rPr>
                <w:rFonts w:ascii="仿宋_GB2312" w:hAnsi="仿宋_GB2312" w:cs="仿宋_GB2312" w:eastAsia="仿宋_GB2312"/>
                <w:sz w:val="20"/>
              </w:rPr>
              <w:t>（二）支付方式。依据考核情况按月支付。</w:t>
            </w:r>
          </w:p>
          <w:p>
            <w:pPr>
              <w:pStyle w:val="null3"/>
              <w:ind w:firstLine="440"/>
              <w:jc w:val="center"/>
            </w:pPr>
            <w:r>
              <w:rPr>
                <w:rFonts w:ascii="仿宋_GB2312" w:hAnsi="仿宋_GB2312" w:cs="仿宋_GB2312" w:eastAsia="仿宋_GB2312"/>
                <w:sz w:val="20"/>
                <w:b/>
              </w:rPr>
              <w:t>金堂县城市照明设施维护考核实施细则</w:t>
            </w:r>
          </w:p>
          <w:p>
            <w:pPr>
              <w:pStyle w:val="null3"/>
              <w:ind w:firstLine="400"/>
              <w:jc w:val="left"/>
            </w:pPr>
            <w:r>
              <w:rPr>
                <w:rFonts w:ascii="仿宋_GB2312" w:hAnsi="仿宋_GB2312" w:cs="仿宋_GB2312" w:eastAsia="仿宋_GB2312"/>
                <w:sz w:val="20"/>
              </w:rPr>
              <w:t>为切实落实《金堂城市照明设施维护服务考核管理办法》，履行</w:t>
            </w:r>
            <w:r>
              <w:rPr>
                <w:rFonts w:ascii="仿宋_GB2312" w:hAnsi="仿宋_GB2312" w:cs="仿宋_GB2312" w:eastAsia="仿宋_GB2312"/>
                <w:sz w:val="20"/>
              </w:rPr>
              <w:t>“实施主体”相关职责，公平公正、科学合理地对城市照明设施的维护作业开展考核评价，特制定本实施细则。</w:t>
            </w:r>
          </w:p>
          <w:p>
            <w:pPr>
              <w:pStyle w:val="null3"/>
              <w:ind w:firstLine="400"/>
              <w:jc w:val="left"/>
            </w:pPr>
            <w:r>
              <w:rPr>
                <w:rFonts w:ascii="仿宋_GB2312" w:hAnsi="仿宋_GB2312" w:cs="仿宋_GB2312" w:eastAsia="仿宋_GB2312"/>
                <w:sz w:val="20"/>
              </w:rPr>
              <w:t>一、城市照明设施运行及日常维护考核说明</w:t>
            </w:r>
          </w:p>
          <w:p>
            <w:pPr>
              <w:pStyle w:val="null3"/>
              <w:ind w:firstLine="400"/>
              <w:jc w:val="left"/>
            </w:pPr>
            <w:r>
              <w:rPr>
                <w:rFonts w:ascii="仿宋_GB2312" w:hAnsi="仿宋_GB2312" w:cs="仿宋_GB2312" w:eastAsia="仿宋_GB2312"/>
                <w:sz w:val="20"/>
              </w:rPr>
              <w:t>（一）考核人员：由赵镇城市管理综合服务中心照明管理工作人员随机组成，考核人员不低于</w:t>
            </w:r>
            <w:r>
              <w:rPr>
                <w:rFonts w:ascii="仿宋_GB2312" w:hAnsi="仿宋_GB2312" w:cs="仿宋_GB2312" w:eastAsia="仿宋_GB2312"/>
                <w:sz w:val="20"/>
              </w:rPr>
              <w:t>3名。</w:t>
            </w:r>
          </w:p>
          <w:p>
            <w:pPr>
              <w:pStyle w:val="null3"/>
              <w:ind w:firstLine="400"/>
              <w:jc w:val="left"/>
            </w:pPr>
            <w:r>
              <w:rPr>
                <w:rFonts w:ascii="仿宋_GB2312" w:hAnsi="仿宋_GB2312" w:cs="仿宋_GB2312" w:eastAsia="仿宋_GB2312"/>
                <w:sz w:val="20"/>
              </w:rPr>
              <w:t>（二）考核办法：将县城区划分为恒大、韩滩片区（毗河以南），新城区（毗河与中河之间），旧城、三星片区（中河以北）三大片区，每季度对乙方进行不定期抽片现场考核。</w:t>
            </w:r>
          </w:p>
          <w:p>
            <w:pPr>
              <w:pStyle w:val="null3"/>
              <w:ind w:firstLine="400"/>
              <w:jc w:val="left"/>
            </w:pPr>
            <w:r>
              <w:rPr>
                <w:rFonts w:ascii="仿宋_GB2312" w:hAnsi="仿宋_GB2312" w:cs="仿宋_GB2312" w:eastAsia="仿宋_GB2312"/>
                <w:sz w:val="20"/>
              </w:rPr>
              <w:t>二、城市照明设施运行及日常维护考核内容</w:t>
            </w:r>
          </w:p>
          <w:p>
            <w:pPr>
              <w:pStyle w:val="null3"/>
              <w:ind w:firstLine="400"/>
              <w:jc w:val="left"/>
            </w:pPr>
            <w:r>
              <w:rPr>
                <w:rFonts w:ascii="仿宋_GB2312" w:hAnsi="仿宋_GB2312" w:cs="仿宋_GB2312" w:eastAsia="仿宋_GB2312"/>
                <w:sz w:val="20"/>
                <w:b/>
              </w:rPr>
              <w:t>（一）照明设施运行指标考核实施细则（指标分值</w:t>
            </w:r>
            <w:r>
              <w:rPr>
                <w:rFonts w:ascii="仿宋_GB2312" w:hAnsi="仿宋_GB2312" w:cs="仿宋_GB2312" w:eastAsia="仿宋_GB2312"/>
                <w:sz w:val="20"/>
                <w:b/>
              </w:rPr>
              <w:t>50分）</w:t>
            </w:r>
          </w:p>
          <w:p>
            <w:pPr>
              <w:pStyle w:val="null3"/>
              <w:ind w:firstLine="400"/>
              <w:jc w:val="left"/>
            </w:pPr>
            <w:r>
              <w:rPr>
                <w:rFonts w:ascii="仿宋_GB2312" w:hAnsi="仿宋_GB2312" w:cs="仿宋_GB2312" w:eastAsia="仿宋_GB2312"/>
                <w:sz w:val="20"/>
              </w:rPr>
              <w:t>1.亮灯率</w:t>
            </w:r>
          </w:p>
          <w:p>
            <w:pPr>
              <w:pStyle w:val="null3"/>
              <w:ind w:firstLine="400"/>
              <w:jc w:val="both"/>
            </w:pPr>
            <w:r>
              <w:rPr>
                <w:rFonts w:ascii="仿宋_GB2312" w:hAnsi="仿宋_GB2312" w:cs="仿宋_GB2312" w:eastAsia="仿宋_GB2312"/>
                <w:sz w:val="20"/>
                <w:b/>
              </w:rPr>
              <w:t>考核周期及数量：</w:t>
            </w:r>
          </w:p>
          <w:p>
            <w:pPr>
              <w:pStyle w:val="null3"/>
              <w:ind w:firstLine="400"/>
              <w:jc w:val="both"/>
            </w:pPr>
            <w:r>
              <w:rPr>
                <w:rFonts w:ascii="仿宋_GB2312" w:hAnsi="仿宋_GB2312" w:cs="仿宋_GB2312" w:eastAsia="仿宋_GB2312"/>
                <w:sz w:val="20"/>
              </w:rPr>
              <w:t>以季度为周期，随机抽片检查路灯亮灯情况。</w:t>
            </w:r>
          </w:p>
          <w:p>
            <w:pPr>
              <w:pStyle w:val="null3"/>
              <w:ind w:firstLine="400"/>
              <w:jc w:val="both"/>
            </w:pPr>
            <w:r>
              <w:rPr>
                <w:rFonts w:ascii="仿宋_GB2312" w:hAnsi="仿宋_GB2312" w:cs="仿宋_GB2312" w:eastAsia="仿宋_GB2312"/>
                <w:sz w:val="20"/>
                <w:b/>
              </w:rPr>
              <w:t>亮灯率计算规则：</w:t>
            </w:r>
          </w:p>
          <w:p>
            <w:pPr>
              <w:pStyle w:val="null3"/>
              <w:ind w:firstLine="400"/>
              <w:jc w:val="both"/>
            </w:pPr>
            <w:r>
              <w:rPr>
                <w:rFonts w:ascii="仿宋_GB2312" w:hAnsi="仿宋_GB2312" w:cs="仿宋_GB2312" w:eastAsia="仿宋_GB2312"/>
                <w:sz w:val="20"/>
              </w:rPr>
              <w:t>季度亮灯率</w:t>
            </w:r>
            <w:r>
              <w:rPr>
                <w:rFonts w:ascii="仿宋_GB2312" w:hAnsi="仿宋_GB2312" w:cs="仿宋_GB2312" w:eastAsia="仿宋_GB2312"/>
                <w:sz w:val="20"/>
              </w:rPr>
              <w:t>=（季度度检查片区正常亮灯总量/季度检查片区路灯总量）*100%</w:t>
            </w:r>
          </w:p>
          <w:p>
            <w:pPr>
              <w:pStyle w:val="null3"/>
              <w:ind w:firstLine="400"/>
              <w:jc w:val="both"/>
            </w:pPr>
            <w:r>
              <w:rPr>
                <w:rFonts w:ascii="仿宋_GB2312" w:hAnsi="仿宋_GB2312" w:cs="仿宋_GB2312" w:eastAsia="仿宋_GB2312"/>
                <w:sz w:val="20"/>
                <w:b/>
              </w:rPr>
              <w:t>考核说明：</w:t>
            </w:r>
          </w:p>
          <w:p>
            <w:pPr>
              <w:pStyle w:val="null3"/>
              <w:ind w:firstLine="400"/>
              <w:jc w:val="both"/>
            </w:pPr>
            <w:r>
              <w:rPr>
                <w:rFonts w:ascii="仿宋_GB2312" w:hAnsi="仿宋_GB2312" w:cs="仿宋_GB2312" w:eastAsia="仿宋_GB2312"/>
                <w:sz w:val="20"/>
              </w:rPr>
              <w:t>道路照明设施不分灯型，以一个光源（高压钠灯）或一个光源模组（</w:t>
            </w:r>
            <w:r>
              <w:rPr>
                <w:rFonts w:ascii="仿宋_GB2312" w:hAnsi="仿宋_GB2312" w:cs="仿宋_GB2312" w:eastAsia="仿宋_GB2312"/>
                <w:sz w:val="20"/>
              </w:rPr>
              <w:t>LED灯）为一个部件进行计量。照明设施线路故障造成的缺相、大面积熄灯等不予计入。</w:t>
            </w:r>
          </w:p>
          <w:p>
            <w:pPr>
              <w:pStyle w:val="null3"/>
              <w:ind w:firstLine="400"/>
              <w:jc w:val="both"/>
            </w:pPr>
            <w:r>
              <w:rPr>
                <w:rFonts w:ascii="仿宋_GB2312" w:hAnsi="仿宋_GB2312" w:cs="仿宋_GB2312" w:eastAsia="仿宋_GB2312"/>
                <w:sz w:val="20"/>
                <w:b/>
              </w:rPr>
              <w:t>评分细则</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每季度检查亮灯率达到考核标准</w:t>
            </w:r>
            <w:r>
              <w:rPr>
                <w:rFonts w:ascii="仿宋_GB2312" w:hAnsi="仿宋_GB2312" w:cs="仿宋_GB2312" w:eastAsia="仿宋_GB2312"/>
                <w:sz w:val="20"/>
              </w:rPr>
              <w:t>98%的，每一盏熄灯扣0.1分；低于考核标准98%的，每一盏熄灯扣0.2分。</w:t>
            </w:r>
          </w:p>
          <w:p>
            <w:pPr>
              <w:pStyle w:val="null3"/>
              <w:ind w:firstLine="400"/>
              <w:jc w:val="both"/>
            </w:pPr>
            <w:r>
              <w:rPr>
                <w:rFonts w:ascii="仿宋_GB2312" w:hAnsi="仿宋_GB2312" w:cs="仿宋_GB2312" w:eastAsia="仿宋_GB2312"/>
                <w:sz w:val="20"/>
              </w:rPr>
              <w:t>2.故障处置及时率</w:t>
            </w:r>
          </w:p>
          <w:p>
            <w:pPr>
              <w:pStyle w:val="null3"/>
              <w:ind w:firstLine="400"/>
              <w:jc w:val="both"/>
            </w:pPr>
            <w:r>
              <w:rPr>
                <w:rFonts w:ascii="仿宋_GB2312" w:hAnsi="仿宋_GB2312" w:cs="仿宋_GB2312" w:eastAsia="仿宋_GB2312"/>
                <w:sz w:val="20"/>
                <w:b/>
              </w:rPr>
              <w:t>考核周期：</w:t>
            </w:r>
          </w:p>
          <w:p>
            <w:pPr>
              <w:pStyle w:val="null3"/>
              <w:ind w:firstLine="400"/>
              <w:jc w:val="both"/>
            </w:pPr>
            <w:r>
              <w:rPr>
                <w:rFonts w:ascii="仿宋_GB2312" w:hAnsi="仿宋_GB2312" w:cs="仿宋_GB2312" w:eastAsia="仿宋_GB2312"/>
                <w:sz w:val="20"/>
              </w:rPr>
              <w:t>以季度为周期，查看维修情况。</w:t>
            </w:r>
          </w:p>
          <w:p>
            <w:pPr>
              <w:pStyle w:val="null3"/>
              <w:ind w:firstLine="400"/>
              <w:jc w:val="both"/>
            </w:pPr>
            <w:r>
              <w:rPr>
                <w:rFonts w:ascii="仿宋_GB2312" w:hAnsi="仿宋_GB2312" w:cs="仿宋_GB2312" w:eastAsia="仿宋_GB2312"/>
                <w:sz w:val="20"/>
                <w:b/>
              </w:rPr>
              <w:t>故障处置及时率计算规则：</w:t>
            </w:r>
          </w:p>
          <w:p>
            <w:pPr>
              <w:pStyle w:val="null3"/>
              <w:ind w:firstLine="400"/>
              <w:jc w:val="both"/>
            </w:pPr>
            <w:r>
              <w:rPr>
                <w:rFonts w:ascii="仿宋_GB2312" w:hAnsi="仿宋_GB2312" w:cs="仿宋_GB2312" w:eastAsia="仿宋_GB2312"/>
                <w:sz w:val="20"/>
              </w:rPr>
              <w:t>季度故障处置及时率</w:t>
            </w:r>
            <w:r>
              <w:rPr>
                <w:rFonts w:ascii="仿宋_GB2312" w:hAnsi="仿宋_GB2312" w:cs="仿宋_GB2312" w:eastAsia="仿宋_GB2312"/>
                <w:sz w:val="20"/>
              </w:rPr>
              <w:t>=（当季度考核周期内按规定时限处置的故障数量/当季度考核周期内故障总数）*100%</w:t>
            </w:r>
          </w:p>
          <w:p>
            <w:pPr>
              <w:pStyle w:val="null3"/>
              <w:ind w:firstLine="400"/>
              <w:jc w:val="both"/>
            </w:pPr>
            <w:r>
              <w:rPr>
                <w:rFonts w:ascii="仿宋_GB2312" w:hAnsi="仿宋_GB2312" w:cs="仿宋_GB2312" w:eastAsia="仿宋_GB2312"/>
                <w:sz w:val="20"/>
                <w:b/>
              </w:rPr>
              <w:t>考核说明：</w:t>
            </w:r>
          </w:p>
          <w:p>
            <w:pPr>
              <w:pStyle w:val="null3"/>
              <w:ind w:firstLine="400"/>
              <w:jc w:val="both"/>
            </w:pPr>
            <w:r>
              <w:rPr>
                <w:rFonts w:ascii="仿宋_GB2312" w:hAnsi="仿宋_GB2312" w:cs="仿宋_GB2312" w:eastAsia="仿宋_GB2312"/>
                <w:sz w:val="20"/>
              </w:rPr>
              <w:t>“故障处置及时率”中的“故障”特指道路照明设施、电缆线路故障、控制系统故障、专用变压器及配电柜故障等运行故障。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1）按照低压故障处置时限为1日，高压故障处置时限为3日，线缆被盗处置时限为7日，交通事故更换灯杆时限为7日。时限内完成处置判定为“及时”，超出时限处置判定为“超时”。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2）因汛期恶劣天气、各种灾害性天气、市政道路施工等不可抗力的环境因素导致的故障处置不及时，不计入当月考核。</w:t>
            </w:r>
          </w:p>
          <w:p>
            <w:pPr>
              <w:pStyle w:val="null3"/>
              <w:ind w:firstLine="400"/>
              <w:jc w:val="both"/>
            </w:pPr>
            <w:r>
              <w:rPr>
                <w:rFonts w:ascii="仿宋_GB2312" w:hAnsi="仿宋_GB2312" w:cs="仿宋_GB2312" w:eastAsia="仿宋_GB2312"/>
                <w:sz w:val="20"/>
                <w:b/>
              </w:rPr>
              <w:t>评分细则</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每季度故障处置及时率达到</w:t>
            </w:r>
            <w:r>
              <w:rPr>
                <w:rFonts w:ascii="仿宋_GB2312" w:hAnsi="仿宋_GB2312" w:cs="仿宋_GB2312" w:eastAsia="仿宋_GB2312"/>
                <w:sz w:val="20"/>
              </w:rPr>
              <w:t>100%的，不扣分；超时每日累计扣除季度考核成绩0.1分，直至完成维修。</w:t>
            </w:r>
          </w:p>
          <w:p>
            <w:pPr>
              <w:pStyle w:val="null3"/>
              <w:ind w:firstLine="400"/>
              <w:jc w:val="both"/>
            </w:pPr>
            <w:r>
              <w:rPr>
                <w:rFonts w:ascii="仿宋_GB2312" w:hAnsi="仿宋_GB2312" w:cs="仿宋_GB2312" w:eastAsia="仿宋_GB2312"/>
                <w:sz w:val="20"/>
              </w:rPr>
              <w:t>3.设施完好率</w:t>
            </w:r>
          </w:p>
          <w:p>
            <w:pPr>
              <w:pStyle w:val="null3"/>
              <w:ind w:firstLine="400"/>
              <w:jc w:val="both"/>
            </w:pPr>
            <w:r>
              <w:rPr>
                <w:rFonts w:ascii="仿宋_GB2312" w:hAnsi="仿宋_GB2312" w:cs="仿宋_GB2312" w:eastAsia="仿宋_GB2312"/>
                <w:sz w:val="20"/>
                <w:b/>
              </w:rPr>
              <w:t>考核周期及数量：</w:t>
            </w:r>
          </w:p>
          <w:p>
            <w:pPr>
              <w:pStyle w:val="null3"/>
              <w:ind w:firstLine="400"/>
              <w:jc w:val="both"/>
            </w:pPr>
            <w:r>
              <w:rPr>
                <w:rFonts w:ascii="仿宋_GB2312" w:hAnsi="仿宋_GB2312" w:cs="仿宋_GB2312" w:eastAsia="仿宋_GB2312"/>
                <w:sz w:val="20"/>
              </w:rPr>
              <w:t>以日历月为周期，查看设施完好情况。</w:t>
            </w:r>
          </w:p>
          <w:p>
            <w:pPr>
              <w:pStyle w:val="null3"/>
              <w:ind w:firstLine="400"/>
              <w:jc w:val="both"/>
            </w:pPr>
            <w:r>
              <w:rPr>
                <w:rFonts w:ascii="仿宋_GB2312" w:hAnsi="仿宋_GB2312" w:cs="仿宋_GB2312" w:eastAsia="仿宋_GB2312"/>
                <w:sz w:val="20"/>
                <w:b/>
              </w:rPr>
              <w:t>设施完好率计算规则：</w:t>
            </w:r>
          </w:p>
          <w:p>
            <w:pPr>
              <w:pStyle w:val="null3"/>
              <w:ind w:firstLine="400"/>
              <w:jc w:val="both"/>
            </w:pPr>
            <w:r>
              <w:rPr>
                <w:rFonts w:ascii="仿宋_GB2312" w:hAnsi="仿宋_GB2312" w:cs="仿宋_GB2312" w:eastAsia="仿宋_GB2312"/>
                <w:sz w:val="20"/>
              </w:rPr>
              <w:t>季度设施完好率</w:t>
            </w:r>
            <w:r>
              <w:rPr>
                <w:rFonts w:ascii="仿宋_GB2312" w:hAnsi="仿宋_GB2312" w:cs="仿宋_GB2312" w:eastAsia="仿宋_GB2312"/>
                <w:sz w:val="20"/>
              </w:rPr>
              <w:t>=（季度检查无问题设施总量/季度考核检查片区设施总量）*100%</w:t>
            </w:r>
          </w:p>
          <w:p>
            <w:pPr>
              <w:pStyle w:val="null3"/>
              <w:ind w:firstLine="400"/>
              <w:jc w:val="both"/>
            </w:pPr>
            <w:r>
              <w:rPr>
                <w:rFonts w:ascii="仿宋_GB2312" w:hAnsi="仿宋_GB2312" w:cs="仿宋_GB2312" w:eastAsia="仿宋_GB2312"/>
                <w:sz w:val="20"/>
                <w:b/>
              </w:rPr>
              <w:t>考核说明：</w:t>
            </w:r>
          </w:p>
          <w:p>
            <w:pPr>
              <w:pStyle w:val="null3"/>
              <w:ind w:firstLine="400"/>
              <w:jc w:val="both"/>
            </w:pPr>
            <w:r>
              <w:rPr>
                <w:rFonts w:ascii="仿宋_GB2312" w:hAnsi="仿宋_GB2312" w:cs="仿宋_GB2312" w:eastAsia="仿宋_GB2312"/>
                <w:sz w:val="20"/>
              </w:rPr>
              <w:t>道路照明设施是否完好不分杆型，以一柱灯或一个独立箱体为一个部件进行检查考核。如杆门缺失，杆号码缺失、箱门破损、缺失、安全警示提示缺失等都计为不完好。</w:t>
            </w:r>
          </w:p>
          <w:p>
            <w:pPr>
              <w:pStyle w:val="null3"/>
              <w:ind w:firstLine="400"/>
              <w:jc w:val="left"/>
            </w:pPr>
            <w:r>
              <w:rPr>
                <w:rFonts w:ascii="仿宋_GB2312" w:hAnsi="仿宋_GB2312" w:cs="仿宋_GB2312" w:eastAsia="仿宋_GB2312"/>
                <w:sz w:val="20"/>
                <w:b/>
              </w:rPr>
              <w:t>评分细则</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每季度巡查考核设施完好率达到考核标准</w:t>
            </w:r>
            <w:r>
              <w:rPr>
                <w:rFonts w:ascii="仿宋_GB2312" w:hAnsi="仿宋_GB2312" w:cs="仿宋_GB2312" w:eastAsia="仿宋_GB2312"/>
                <w:sz w:val="20"/>
              </w:rPr>
              <w:t>95%的，每发现一处扣0.1分；低于考核标准95%的，每发现一处扣0.2分。</w:t>
            </w:r>
          </w:p>
          <w:p>
            <w:pPr>
              <w:pStyle w:val="null3"/>
              <w:ind w:firstLine="400"/>
              <w:jc w:val="both"/>
            </w:pPr>
            <w:r>
              <w:rPr>
                <w:rFonts w:ascii="仿宋_GB2312" w:hAnsi="仿宋_GB2312" w:cs="仿宋_GB2312" w:eastAsia="仿宋_GB2312"/>
                <w:sz w:val="20"/>
              </w:rPr>
              <w:t>4、维护质量达标率</w:t>
            </w:r>
          </w:p>
          <w:p>
            <w:pPr>
              <w:pStyle w:val="null3"/>
              <w:ind w:firstLine="400"/>
              <w:jc w:val="both"/>
            </w:pPr>
            <w:r>
              <w:rPr>
                <w:rFonts w:ascii="仿宋_GB2312" w:hAnsi="仿宋_GB2312" w:cs="仿宋_GB2312" w:eastAsia="仿宋_GB2312"/>
                <w:sz w:val="20"/>
                <w:b/>
              </w:rPr>
              <w:t>考核周期及数量：</w:t>
            </w:r>
          </w:p>
          <w:p>
            <w:pPr>
              <w:pStyle w:val="null3"/>
              <w:ind w:firstLine="400"/>
              <w:jc w:val="both"/>
            </w:pPr>
            <w:r>
              <w:rPr>
                <w:rFonts w:ascii="仿宋_GB2312" w:hAnsi="仿宋_GB2312" w:cs="仿宋_GB2312" w:eastAsia="仿宋_GB2312"/>
                <w:sz w:val="20"/>
              </w:rPr>
              <w:t>以季度为周期，查看维修处置情况。</w:t>
            </w:r>
          </w:p>
          <w:p>
            <w:pPr>
              <w:pStyle w:val="null3"/>
              <w:ind w:firstLine="400"/>
              <w:jc w:val="both"/>
            </w:pPr>
            <w:r>
              <w:rPr>
                <w:rFonts w:ascii="仿宋_GB2312" w:hAnsi="仿宋_GB2312" w:cs="仿宋_GB2312" w:eastAsia="仿宋_GB2312"/>
                <w:sz w:val="20"/>
                <w:b/>
              </w:rPr>
              <w:t>维护管理工作达标率计算规则：</w:t>
            </w:r>
          </w:p>
          <w:p>
            <w:pPr>
              <w:pStyle w:val="null3"/>
              <w:ind w:firstLine="400"/>
              <w:jc w:val="both"/>
            </w:pPr>
            <w:r>
              <w:rPr>
                <w:rFonts w:ascii="仿宋_GB2312" w:hAnsi="仿宋_GB2312" w:cs="仿宋_GB2312" w:eastAsia="仿宋_GB2312"/>
                <w:sz w:val="20"/>
              </w:rPr>
              <w:t>季度维护管理工作达标率</w:t>
            </w:r>
            <w:r>
              <w:rPr>
                <w:rFonts w:ascii="仿宋_GB2312" w:hAnsi="仿宋_GB2312" w:cs="仿宋_GB2312" w:eastAsia="仿宋_GB2312"/>
                <w:sz w:val="20"/>
              </w:rPr>
              <w:t>=（季度维修合格达标数量/季度维修总量）*100%</w:t>
            </w:r>
          </w:p>
          <w:p>
            <w:pPr>
              <w:pStyle w:val="null3"/>
              <w:ind w:firstLine="400"/>
              <w:jc w:val="both"/>
            </w:pPr>
            <w:r>
              <w:rPr>
                <w:rFonts w:ascii="仿宋_GB2312" w:hAnsi="仿宋_GB2312" w:cs="仿宋_GB2312" w:eastAsia="仿宋_GB2312"/>
                <w:sz w:val="20"/>
                <w:b/>
              </w:rPr>
              <w:t>考核说明：</w:t>
            </w:r>
          </w:p>
          <w:p>
            <w:pPr>
              <w:pStyle w:val="null3"/>
              <w:ind w:firstLine="400"/>
              <w:jc w:val="both"/>
            </w:pPr>
            <w:r>
              <w:rPr>
                <w:rFonts w:ascii="仿宋_GB2312" w:hAnsi="仿宋_GB2312" w:cs="仿宋_GB2312" w:eastAsia="仿宋_GB2312"/>
                <w:sz w:val="20"/>
              </w:rPr>
              <w:t>道路照明设施维修管理是否达标，主要是看使用的材料是否是国标，相关维修是否按规范维修。</w:t>
            </w:r>
          </w:p>
          <w:p>
            <w:pPr>
              <w:pStyle w:val="null3"/>
              <w:ind w:firstLine="400"/>
              <w:jc w:val="left"/>
            </w:pPr>
            <w:r>
              <w:rPr>
                <w:rFonts w:ascii="仿宋_GB2312" w:hAnsi="仿宋_GB2312" w:cs="仿宋_GB2312" w:eastAsia="仿宋_GB2312"/>
                <w:sz w:val="20"/>
                <w:b/>
              </w:rPr>
              <w:t>评分细则</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每季度道路照明设施维修管理达标率应为</w:t>
            </w:r>
            <w:r>
              <w:rPr>
                <w:rFonts w:ascii="仿宋_GB2312" w:hAnsi="仿宋_GB2312" w:cs="仿宋_GB2312" w:eastAsia="仿宋_GB2312"/>
                <w:sz w:val="20"/>
              </w:rPr>
              <w:t>100%，每发现一处不达标扣0.2分。</w:t>
            </w:r>
          </w:p>
          <w:p>
            <w:pPr>
              <w:pStyle w:val="null3"/>
              <w:ind w:firstLine="400"/>
              <w:jc w:val="both"/>
            </w:pPr>
            <w:r>
              <w:rPr>
                <w:rFonts w:ascii="仿宋_GB2312" w:hAnsi="仿宋_GB2312" w:cs="仿宋_GB2312" w:eastAsia="仿宋_GB2312"/>
                <w:sz w:val="20"/>
              </w:rPr>
              <w:t>5.照明设施保洁</w:t>
            </w:r>
          </w:p>
          <w:p>
            <w:pPr>
              <w:pStyle w:val="null3"/>
              <w:ind w:firstLine="400"/>
              <w:jc w:val="both"/>
            </w:pPr>
            <w:r>
              <w:rPr>
                <w:rFonts w:ascii="仿宋_GB2312" w:hAnsi="仿宋_GB2312" w:cs="仿宋_GB2312" w:eastAsia="仿宋_GB2312"/>
                <w:sz w:val="20"/>
                <w:b/>
              </w:rPr>
              <w:t>考核周期：</w:t>
            </w:r>
          </w:p>
          <w:p>
            <w:pPr>
              <w:pStyle w:val="null3"/>
              <w:spacing w:after="120"/>
              <w:ind w:firstLine="400"/>
              <w:jc w:val="both"/>
            </w:pPr>
            <w:r>
              <w:rPr>
                <w:rFonts w:ascii="仿宋_GB2312" w:hAnsi="仿宋_GB2312" w:cs="仿宋_GB2312" w:eastAsia="仿宋_GB2312"/>
                <w:sz w:val="20"/>
              </w:rPr>
              <w:t>以季度为周期，查看照明设施清洁情况</w:t>
            </w:r>
          </w:p>
          <w:p>
            <w:pPr>
              <w:pStyle w:val="null3"/>
              <w:ind w:firstLine="400"/>
              <w:jc w:val="both"/>
            </w:pPr>
            <w:r>
              <w:rPr>
                <w:rFonts w:ascii="仿宋_GB2312" w:hAnsi="仿宋_GB2312" w:cs="仿宋_GB2312" w:eastAsia="仿宋_GB2312"/>
                <w:sz w:val="20"/>
                <w:b/>
              </w:rPr>
              <w:t>考核说明：</w:t>
            </w:r>
          </w:p>
          <w:p>
            <w:pPr>
              <w:pStyle w:val="null3"/>
              <w:ind w:firstLine="400"/>
              <w:jc w:val="both"/>
            </w:pPr>
            <w:r>
              <w:rPr>
                <w:rFonts w:ascii="仿宋_GB2312" w:hAnsi="仿宋_GB2312" w:cs="仿宋_GB2312" w:eastAsia="仿宋_GB2312"/>
                <w:sz w:val="20"/>
              </w:rPr>
              <w:t>照明设施保洁即对灯杆距离地面</w:t>
            </w:r>
            <w:r>
              <w:rPr>
                <w:rFonts w:ascii="仿宋_GB2312" w:hAnsi="仿宋_GB2312" w:cs="仿宋_GB2312" w:eastAsia="仿宋_GB2312"/>
                <w:sz w:val="20"/>
              </w:rPr>
              <w:t>2.2米以内（含庭院灯、护栏灯整体）和配电箱、专用箱式变压器设施表面进行人工保洁工作，设施保洁后表面无明显污物及附着物。维护单位结合日常维护工作适时开展设施保洁工作，并按照保障工作要求强化重点区域设施保洁工作。</w:t>
            </w:r>
          </w:p>
          <w:p>
            <w:pPr>
              <w:pStyle w:val="null3"/>
              <w:ind w:firstLine="400"/>
              <w:jc w:val="both"/>
            </w:pPr>
            <w:r>
              <w:rPr>
                <w:rFonts w:ascii="仿宋_GB2312" w:hAnsi="仿宋_GB2312" w:cs="仿宋_GB2312" w:eastAsia="仿宋_GB2312"/>
                <w:sz w:val="20"/>
                <w:b/>
              </w:rPr>
              <w:t>评分细则</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照明设施保洁：每季度开展设施保洁检查，对当季度清洁工作情况进行检查，检查发现一条道路超过三分之一的路灯设施表面存在非法张贴物、污渍、积尘、蛛网、涂鸦等清洁不合格情况的，每条道路扣除</w:t>
            </w:r>
            <w:r>
              <w:rPr>
                <w:rFonts w:ascii="仿宋_GB2312" w:hAnsi="仿宋_GB2312" w:cs="仿宋_GB2312" w:eastAsia="仿宋_GB2312"/>
                <w:sz w:val="20"/>
              </w:rPr>
              <w:t>0.2分。各类箱体有明显污渍的扣0.1分。</w:t>
            </w:r>
          </w:p>
          <w:p>
            <w:pPr>
              <w:pStyle w:val="null3"/>
              <w:ind w:firstLine="400"/>
              <w:jc w:val="both"/>
            </w:pPr>
            <w:r>
              <w:rPr>
                <w:rFonts w:ascii="仿宋_GB2312" w:hAnsi="仿宋_GB2312" w:cs="仿宋_GB2312" w:eastAsia="仿宋_GB2312"/>
                <w:sz w:val="20"/>
                <w:b/>
              </w:rPr>
              <w:t>（二）照明设施运行管理质量考核实施细则（指标分值</w:t>
            </w:r>
            <w:r>
              <w:rPr>
                <w:rFonts w:ascii="仿宋_GB2312" w:hAnsi="仿宋_GB2312" w:cs="仿宋_GB2312" w:eastAsia="仿宋_GB2312"/>
                <w:sz w:val="20"/>
                <w:b/>
              </w:rPr>
              <w:t>15分）</w:t>
            </w:r>
          </w:p>
          <w:p>
            <w:pPr>
              <w:pStyle w:val="null3"/>
              <w:ind w:firstLine="400"/>
              <w:jc w:val="left"/>
            </w:pPr>
            <w:r>
              <w:rPr>
                <w:rFonts w:ascii="仿宋_GB2312" w:hAnsi="仿宋_GB2312" w:cs="仿宋_GB2312" w:eastAsia="仿宋_GB2312"/>
                <w:sz w:val="20"/>
              </w:rPr>
              <w:t>照明设施启闭</w:t>
            </w:r>
          </w:p>
          <w:p>
            <w:pPr>
              <w:pStyle w:val="null3"/>
              <w:ind w:firstLine="400"/>
              <w:jc w:val="both"/>
            </w:pPr>
            <w:r>
              <w:rPr>
                <w:rFonts w:ascii="仿宋_GB2312" w:hAnsi="仿宋_GB2312" w:cs="仿宋_GB2312" w:eastAsia="仿宋_GB2312"/>
                <w:sz w:val="20"/>
                <w:b/>
              </w:rPr>
              <w:t>考核周期：</w:t>
            </w:r>
          </w:p>
          <w:p>
            <w:pPr>
              <w:pStyle w:val="null3"/>
              <w:ind w:firstLine="400"/>
              <w:jc w:val="both"/>
            </w:pPr>
            <w:r>
              <w:rPr>
                <w:rFonts w:ascii="仿宋_GB2312" w:hAnsi="仿宋_GB2312" w:cs="仿宋_GB2312" w:eastAsia="仿宋_GB2312"/>
                <w:sz w:val="20"/>
              </w:rPr>
              <w:t>以季度为周期。</w:t>
            </w:r>
          </w:p>
          <w:p>
            <w:pPr>
              <w:pStyle w:val="null3"/>
              <w:ind w:firstLine="400"/>
              <w:jc w:val="both"/>
            </w:pPr>
            <w:r>
              <w:rPr>
                <w:rFonts w:ascii="仿宋_GB2312" w:hAnsi="仿宋_GB2312" w:cs="仿宋_GB2312" w:eastAsia="仿宋_GB2312"/>
                <w:sz w:val="20"/>
                <w:b/>
              </w:rPr>
              <w:t>考核说明：</w:t>
            </w:r>
          </w:p>
          <w:p>
            <w:pPr>
              <w:pStyle w:val="null3"/>
              <w:ind w:firstLine="400"/>
              <w:jc w:val="both"/>
            </w:pPr>
            <w:r>
              <w:rPr>
                <w:rFonts w:ascii="仿宋_GB2312" w:hAnsi="仿宋_GB2312" w:cs="仿宋_GB2312" w:eastAsia="仿宋_GB2312"/>
                <w:sz w:val="20"/>
              </w:rPr>
              <w:t>按照赵镇城市管理综合服务中心规定自然光照度值实施道路照明设施每日启闭；极端天气情况按应急管理规定启闭照明设施；重大保障、重大节日等特殊情况按保障通知要求启闭照明设施。</w:t>
            </w:r>
          </w:p>
          <w:p>
            <w:pPr>
              <w:pStyle w:val="null3"/>
              <w:ind w:firstLine="400"/>
              <w:jc w:val="both"/>
            </w:pPr>
            <w:r>
              <w:rPr>
                <w:rFonts w:ascii="仿宋_GB2312" w:hAnsi="仿宋_GB2312" w:cs="仿宋_GB2312" w:eastAsia="仿宋_GB2312"/>
                <w:sz w:val="20"/>
                <w:b/>
              </w:rPr>
              <w:t>评分细则</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未按要求启动或关闭城市照明设施的，每次扣除季度考核成绩</w:t>
            </w:r>
            <w:r>
              <w:rPr>
                <w:rFonts w:ascii="仿宋_GB2312" w:hAnsi="仿宋_GB2312" w:cs="仿宋_GB2312" w:eastAsia="仿宋_GB2312"/>
                <w:sz w:val="20"/>
              </w:rPr>
              <w:t>0.1分；</w:t>
            </w:r>
          </w:p>
          <w:p>
            <w:pPr>
              <w:pStyle w:val="null3"/>
              <w:numPr>
                <w:ilvl w:val="0"/>
                <w:numId w:val="1"/>
              </w:numPr>
              <w:jc w:val="both"/>
            </w:pPr>
            <w:r>
              <w:rPr>
                <w:rFonts w:ascii="仿宋_GB2312" w:hAnsi="仿宋_GB2312" w:cs="仿宋_GB2312" w:eastAsia="仿宋_GB2312"/>
                <w:sz w:val="20"/>
              </w:rPr>
              <w:t>重大保障期间，未按要求时间启闭城市照明设施，每次扣除季度考核成绩</w:t>
            </w:r>
            <w:r>
              <w:rPr>
                <w:rFonts w:ascii="仿宋_GB2312" w:hAnsi="仿宋_GB2312" w:cs="仿宋_GB2312" w:eastAsia="仿宋_GB2312"/>
                <w:sz w:val="20"/>
              </w:rPr>
              <w:t>0.2分。</w:t>
            </w:r>
          </w:p>
          <w:p>
            <w:pPr>
              <w:pStyle w:val="null3"/>
              <w:numPr>
                <w:ilvl w:val="0"/>
                <w:numId w:val="1"/>
              </w:numPr>
              <w:jc w:val="both"/>
            </w:pPr>
            <w:r>
              <w:rPr>
                <w:rFonts w:ascii="仿宋_GB2312" w:hAnsi="仿宋_GB2312" w:cs="仿宋_GB2312" w:eastAsia="仿宋_GB2312"/>
                <w:sz w:val="20"/>
              </w:rPr>
              <w:t>供电部门停电或断电致使路灯不亮，在来电后，维护公司未及时合闸的，按次扣</w:t>
            </w:r>
            <w:r>
              <w:rPr>
                <w:rFonts w:ascii="仿宋_GB2312" w:hAnsi="仿宋_GB2312" w:cs="仿宋_GB2312" w:eastAsia="仿宋_GB2312"/>
                <w:sz w:val="20"/>
              </w:rPr>
              <w:t>0.2分。</w:t>
            </w:r>
          </w:p>
          <w:p>
            <w:pPr>
              <w:pStyle w:val="null3"/>
              <w:ind w:firstLine="400"/>
              <w:jc w:val="left"/>
            </w:pPr>
            <w:r>
              <w:rPr>
                <w:rFonts w:ascii="仿宋_GB2312" w:hAnsi="仿宋_GB2312" w:cs="仿宋_GB2312" w:eastAsia="仿宋_GB2312"/>
                <w:sz w:val="20"/>
                <w:b/>
              </w:rPr>
              <w:t>（三）照明保障考核实施细则（指标分值</w:t>
            </w:r>
            <w:r>
              <w:rPr>
                <w:rFonts w:ascii="仿宋_GB2312" w:hAnsi="仿宋_GB2312" w:cs="仿宋_GB2312" w:eastAsia="仿宋_GB2312"/>
                <w:sz w:val="20"/>
                <w:b/>
              </w:rPr>
              <w:t>10分）</w:t>
            </w:r>
          </w:p>
          <w:p>
            <w:pPr>
              <w:pStyle w:val="null3"/>
              <w:ind w:firstLine="400"/>
              <w:jc w:val="both"/>
            </w:pPr>
            <w:r>
              <w:rPr>
                <w:rFonts w:ascii="仿宋_GB2312" w:hAnsi="仿宋_GB2312" w:cs="仿宋_GB2312" w:eastAsia="仿宋_GB2312"/>
                <w:sz w:val="20"/>
                <w:b/>
              </w:rPr>
              <w:t>考核周期：</w:t>
            </w:r>
          </w:p>
          <w:p>
            <w:pPr>
              <w:pStyle w:val="null3"/>
              <w:ind w:firstLine="400"/>
              <w:jc w:val="both"/>
            </w:pPr>
            <w:r>
              <w:rPr>
                <w:rFonts w:ascii="仿宋_GB2312" w:hAnsi="仿宋_GB2312" w:cs="仿宋_GB2312" w:eastAsia="仿宋_GB2312"/>
                <w:sz w:val="20"/>
              </w:rPr>
              <w:t>以季度为考核周期。</w:t>
            </w:r>
          </w:p>
          <w:p>
            <w:pPr>
              <w:pStyle w:val="null3"/>
              <w:ind w:firstLine="400"/>
              <w:jc w:val="both"/>
            </w:pPr>
            <w:r>
              <w:rPr>
                <w:rFonts w:ascii="仿宋_GB2312" w:hAnsi="仿宋_GB2312" w:cs="仿宋_GB2312" w:eastAsia="仿宋_GB2312"/>
                <w:sz w:val="20"/>
                <w:b/>
              </w:rPr>
              <w:t>考核说明：</w:t>
            </w:r>
          </w:p>
          <w:p>
            <w:pPr>
              <w:pStyle w:val="null3"/>
              <w:ind w:firstLine="400"/>
              <w:jc w:val="left"/>
            </w:pPr>
            <w:r>
              <w:rPr>
                <w:rFonts w:ascii="仿宋_GB2312" w:hAnsi="仿宋_GB2312" w:cs="仿宋_GB2312" w:eastAsia="仿宋_GB2312"/>
                <w:sz w:val="20"/>
              </w:rPr>
              <w:t>三级及以上等级保障工作即视为重大保障。重大活动、重大节日、重要接待等重大保障应按照相关通知要求开展保障，服从市、县主管部门统一指挥调度，加密巡查巡检频次，增加维护力量，确保城市照明设施高质量运行。</w:t>
            </w:r>
          </w:p>
          <w:p>
            <w:pPr>
              <w:pStyle w:val="null3"/>
              <w:ind w:firstLine="400"/>
              <w:jc w:val="both"/>
            </w:pPr>
            <w:r>
              <w:rPr>
                <w:rFonts w:ascii="仿宋_GB2312" w:hAnsi="仿宋_GB2312" w:cs="仿宋_GB2312" w:eastAsia="仿宋_GB2312"/>
                <w:sz w:val="20"/>
              </w:rPr>
              <w:t>重大保障工作强化保障线路、县委政府周边、城市主干道、重要交通枢纽、进出城通道等区域功能照明设施巡查检修、精准启闭及突发问题应急处置。不得出现保障区域大面积熄灯或非正常亮灯。</w:t>
            </w:r>
          </w:p>
          <w:p>
            <w:pPr>
              <w:pStyle w:val="null3"/>
              <w:ind w:firstLine="400"/>
              <w:jc w:val="both"/>
            </w:pPr>
            <w:r>
              <w:rPr>
                <w:rFonts w:ascii="仿宋_GB2312" w:hAnsi="仿宋_GB2312" w:cs="仿宋_GB2312" w:eastAsia="仿宋_GB2312"/>
                <w:sz w:val="20"/>
                <w:b/>
              </w:rPr>
              <w:t>评分细则</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重大保障期间落实要求不力的，保障区域出现整条街道熄灯等大面积熄灯情况或非正常亮灯等情况的，每次扣除季度考核成绩</w:t>
            </w:r>
            <w:r>
              <w:rPr>
                <w:rFonts w:ascii="仿宋_GB2312" w:hAnsi="仿宋_GB2312" w:cs="仿宋_GB2312" w:eastAsia="仿宋_GB2312"/>
                <w:sz w:val="20"/>
              </w:rPr>
              <w:t>0.5分；</w:t>
            </w:r>
          </w:p>
          <w:p>
            <w:pPr>
              <w:pStyle w:val="null3"/>
              <w:numPr>
                <w:ilvl w:val="0"/>
                <w:numId w:val="1"/>
              </w:numPr>
              <w:jc w:val="both"/>
            </w:pPr>
            <w:r>
              <w:rPr>
                <w:rFonts w:ascii="仿宋_GB2312" w:hAnsi="仿宋_GB2312" w:cs="仿宋_GB2312" w:eastAsia="仿宋_GB2312"/>
                <w:sz w:val="20"/>
              </w:rPr>
              <w:t>造成负面舆论影响、受到县级及以上部门通报批评的，每次扣除季度考核成绩</w:t>
            </w:r>
            <w:r>
              <w:rPr>
                <w:rFonts w:ascii="仿宋_GB2312" w:hAnsi="仿宋_GB2312" w:cs="仿宋_GB2312" w:eastAsia="仿宋_GB2312"/>
                <w:sz w:val="20"/>
              </w:rPr>
              <w:t>1分。</w:t>
            </w:r>
          </w:p>
          <w:p>
            <w:pPr>
              <w:pStyle w:val="null3"/>
              <w:ind w:firstLine="400"/>
              <w:jc w:val="both"/>
            </w:pPr>
            <w:r>
              <w:rPr>
                <w:rFonts w:ascii="仿宋_GB2312" w:hAnsi="仿宋_GB2312" w:cs="仿宋_GB2312" w:eastAsia="仿宋_GB2312"/>
                <w:sz w:val="20"/>
                <w:b/>
              </w:rPr>
              <w:t>（四）安全应急处理考核实施细则（指标分值</w:t>
            </w:r>
            <w:r>
              <w:rPr>
                <w:rFonts w:ascii="仿宋_GB2312" w:hAnsi="仿宋_GB2312" w:cs="仿宋_GB2312" w:eastAsia="仿宋_GB2312"/>
                <w:sz w:val="20"/>
                <w:b/>
              </w:rPr>
              <w:t>15分）</w:t>
            </w:r>
          </w:p>
          <w:p>
            <w:pPr>
              <w:pStyle w:val="null3"/>
              <w:ind w:firstLine="400"/>
              <w:jc w:val="both"/>
            </w:pPr>
            <w:r>
              <w:rPr>
                <w:rFonts w:ascii="仿宋_GB2312" w:hAnsi="仿宋_GB2312" w:cs="仿宋_GB2312" w:eastAsia="仿宋_GB2312"/>
                <w:sz w:val="20"/>
                <w:b/>
              </w:rPr>
              <w:t>考核周期：</w:t>
            </w:r>
          </w:p>
          <w:p>
            <w:pPr>
              <w:pStyle w:val="null3"/>
              <w:ind w:firstLine="400"/>
              <w:jc w:val="both"/>
            </w:pPr>
            <w:r>
              <w:rPr>
                <w:rFonts w:ascii="仿宋_GB2312" w:hAnsi="仿宋_GB2312" w:cs="仿宋_GB2312" w:eastAsia="仿宋_GB2312"/>
                <w:sz w:val="20"/>
              </w:rPr>
              <w:t>以季度为考核周期。</w:t>
            </w:r>
          </w:p>
          <w:p>
            <w:pPr>
              <w:pStyle w:val="null3"/>
              <w:ind w:firstLine="400"/>
              <w:jc w:val="both"/>
            </w:pPr>
            <w:r>
              <w:rPr>
                <w:rFonts w:ascii="仿宋_GB2312" w:hAnsi="仿宋_GB2312" w:cs="仿宋_GB2312" w:eastAsia="仿宋_GB2312"/>
                <w:sz w:val="20"/>
                <w:b/>
              </w:rPr>
              <w:t>考核说明：</w:t>
            </w:r>
          </w:p>
          <w:p>
            <w:pPr>
              <w:pStyle w:val="null3"/>
              <w:ind w:firstLine="400"/>
              <w:jc w:val="both"/>
            </w:pPr>
            <w:r>
              <w:rPr>
                <w:rFonts w:ascii="仿宋_GB2312" w:hAnsi="仿宋_GB2312" w:cs="仿宋_GB2312" w:eastAsia="仿宋_GB2312"/>
                <w:sz w:val="20"/>
              </w:rPr>
              <w:t>按照国家、省、市安全管理相关文件精神持续开展安全检查考核，对发现的设施安全规章制度、设施安全管理资料、安全风险分级管控、安全隐患排查治理及应急演练情况等问题予以通报说明，纳入考核扣分；承担设施安全事故中第三方人身伤害或财产损失赔偿责任的予以考核扣分；应急抢险期工作中，受到通报批评或造成负面舆论影响的，以通报批评文件及舆论报道为扣分依据。</w:t>
            </w:r>
          </w:p>
          <w:p>
            <w:pPr>
              <w:pStyle w:val="null3"/>
              <w:ind w:firstLine="400"/>
              <w:jc w:val="left"/>
            </w:pPr>
            <w:r>
              <w:rPr>
                <w:rFonts w:ascii="仿宋_GB2312" w:hAnsi="仿宋_GB2312" w:cs="仿宋_GB2312" w:eastAsia="仿宋_GB2312"/>
                <w:sz w:val="20"/>
                <w:b/>
              </w:rPr>
              <w:t>评分细则</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无设施安全规章制度或设施安全资料的；未按照安全生产标准化二级企业或安全主管部门相关要求制定应急预案的，或未按规定开展防汛应急演练的，每项扣除季度考核成绩</w:t>
            </w:r>
            <w:r>
              <w:rPr>
                <w:rFonts w:ascii="仿宋_GB2312" w:hAnsi="仿宋_GB2312" w:cs="仿宋_GB2312" w:eastAsia="仿宋_GB2312"/>
                <w:sz w:val="20"/>
              </w:rPr>
              <w:t>0.1分。</w:t>
            </w:r>
          </w:p>
          <w:p>
            <w:pPr>
              <w:pStyle w:val="null3"/>
              <w:numPr>
                <w:ilvl w:val="0"/>
                <w:numId w:val="1"/>
              </w:numPr>
              <w:jc w:val="both"/>
            </w:pPr>
            <w:r>
              <w:rPr>
                <w:rFonts w:ascii="仿宋_GB2312" w:hAnsi="仿宋_GB2312" w:cs="仿宋_GB2312" w:eastAsia="仿宋_GB2312"/>
                <w:sz w:val="20"/>
              </w:rPr>
              <w:t>发生设施安全事故（含交通），造成第三方人身伤害或财产损失的，属维护公司责任的，扣除季度考核成绩</w:t>
            </w:r>
            <w:r>
              <w:rPr>
                <w:rFonts w:ascii="仿宋_GB2312" w:hAnsi="仿宋_GB2312" w:cs="仿宋_GB2312" w:eastAsia="仿宋_GB2312"/>
                <w:sz w:val="20"/>
              </w:rPr>
              <w:t>0.5分。</w:t>
            </w:r>
          </w:p>
          <w:p>
            <w:pPr>
              <w:pStyle w:val="null3"/>
              <w:numPr>
                <w:ilvl w:val="0"/>
                <w:numId w:val="1"/>
              </w:numPr>
              <w:jc w:val="both"/>
            </w:pPr>
            <w:r>
              <w:rPr>
                <w:rFonts w:ascii="仿宋_GB2312" w:hAnsi="仿宋_GB2312" w:cs="仿宋_GB2312" w:eastAsia="仿宋_GB2312"/>
                <w:sz w:val="20"/>
              </w:rPr>
              <w:t>发生设施安全事故（含交通），未及时处置的，每项扣除季度考核成绩</w:t>
            </w:r>
            <w:r>
              <w:rPr>
                <w:rFonts w:ascii="仿宋_GB2312" w:hAnsi="仿宋_GB2312" w:cs="仿宋_GB2312" w:eastAsia="仿宋_GB2312"/>
                <w:sz w:val="20"/>
              </w:rPr>
              <w:t>0.2分，造成二次事故的按次扣1分并承担相应的经济赔偿和法律责任。</w:t>
            </w:r>
          </w:p>
          <w:p>
            <w:pPr>
              <w:pStyle w:val="null3"/>
              <w:numPr>
                <w:ilvl w:val="0"/>
                <w:numId w:val="1"/>
              </w:numPr>
              <w:jc w:val="both"/>
            </w:pPr>
            <w:r>
              <w:rPr>
                <w:rFonts w:ascii="仿宋_GB2312" w:hAnsi="仿宋_GB2312" w:cs="仿宋_GB2312" w:eastAsia="仿宋_GB2312"/>
                <w:sz w:val="20"/>
              </w:rPr>
              <w:t>未按要求建立安全风险分级管控与隐患排查治理</w:t>
            </w:r>
            <w:r>
              <w:rPr>
                <w:rFonts w:ascii="仿宋_GB2312" w:hAnsi="仿宋_GB2312" w:cs="仿宋_GB2312" w:eastAsia="仿宋_GB2312"/>
                <w:sz w:val="20"/>
              </w:rPr>
              <w:t>“双重预防”体系的每季度扣0.2分；</w:t>
            </w:r>
          </w:p>
          <w:p>
            <w:pPr>
              <w:pStyle w:val="null3"/>
              <w:numPr>
                <w:ilvl w:val="0"/>
                <w:numId w:val="1"/>
              </w:numPr>
              <w:jc w:val="both"/>
            </w:pPr>
            <w:r>
              <w:rPr>
                <w:rFonts w:ascii="仿宋_GB2312" w:hAnsi="仿宋_GB2312" w:cs="仿宋_GB2312" w:eastAsia="仿宋_GB2312"/>
                <w:sz w:val="20"/>
              </w:rPr>
              <w:t>未按安全生产相关规范维护作业，造成安全事故（含第三方），由乙方负责赔偿，扣减季度考核</w:t>
            </w:r>
            <w:r>
              <w:rPr>
                <w:rFonts w:ascii="仿宋_GB2312" w:hAnsi="仿宋_GB2312" w:cs="仿宋_GB2312" w:eastAsia="仿宋_GB2312"/>
                <w:sz w:val="20"/>
              </w:rPr>
              <w:t>0.2分。</w:t>
            </w:r>
          </w:p>
          <w:p>
            <w:pPr>
              <w:pStyle w:val="null3"/>
              <w:numPr>
                <w:ilvl w:val="0"/>
                <w:numId w:val="1"/>
              </w:numPr>
              <w:jc w:val="both"/>
            </w:pPr>
            <w:r>
              <w:rPr>
                <w:rFonts w:ascii="仿宋_GB2312" w:hAnsi="仿宋_GB2312" w:cs="仿宋_GB2312" w:eastAsia="仿宋_GB2312"/>
                <w:sz w:val="20"/>
              </w:rPr>
              <w:t>应急抢险期工作中，受到行业主管部门通报批评的，每次扣除季度考核成绩</w:t>
            </w:r>
            <w:r>
              <w:rPr>
                <w:rFonts w:ascii="仿宋_GB2312" w:hAnsi="仿宋_GB2312" w:cs="仿宋_GB2312" w:eastAsia="仿宋_GB2312"/>
                <w:sz w:val="20"/>
              </w:rPr>
              <w:t>0.5分；造成负面舆论影响、受到市级及以上部门通报批评或重大损失的，每次扣除季度考核成绩1分。</w:t>
            </w:r>
          </w:p>
          <w:p>
            <w:pPr>
              <w:pStyle w:val="null3"/>
              <w:ind w:firstLine="400"/>
              <w:jc w:val="left"/>
            </w:pPr>
            <w:r>
              <w:rPr>
                <w:rFonts w:ascii="仿宋_GB2312" w:hAnsi="仿宋_GB2312" w:cs="仿宋_GB2312" w:eastAsia="仿宋_GB2312"/>
                <w:sz w:val="20"/>
                <w:b/>
              </w:rPr>
              <w:t>（五）信息资料管理考核实施细则（指标分值</w:t>
            </w:r>
            <w:r>
              <w:rPr>
                <w:rFonts w:ascii="仿宋_GB2312" w:hAnsi="仿宋_GB2312" w:cs="仿宋_GB2312" w:eastAsia="仿宋_GB2312"/>
                <w:sz w:val="20"/>
                <w:b/>
              </w:rPr>
              <w:t>5分）</w:t>
            </w:r>
          </w:p>
          <w:p>
            <w:pPr>
              <w:pStyle w:val="null3"/>
              <w:ind w:firstLine="400"/>
              <w:jc w:val="both"/>
            </w:pPr>
            <w:r>
              <w:rPr>
                <w:rFonts w:ascii="仿宋_GB2312" w:hAnsi="仿宋_GB2312" w:cs="仿宋_GB2312" w:eastAsia="仿宋_GB2312"/>
                <w:sz w:val="20"/>
                <w:b/>
              </w:rPr>
              <w:t>考核周期：</w:t>
            </w:r>
          </w:p>
          <w:p>
            <w:pPr>
              <w:pStyle w:val="null3"/>
              <w:ind w:firstLine="400"/>
              <w:jc w:val="both"/>
            </w:pPr>
            <w:r>
              <w:rPr>
                <w:rFonts w:ascii="仿宋_GB2312" w:hAnsi="仿宋_GB2312" w:cs="仿宋_GB2312" w:eastAsia="仿宋_GB2312"/>
                <w:sz w:val="20"/>
              </w:rPr>
              <w:t>以季度为考核周期。</w:t>
            </w:r>
          </w:p>
          <w:p>
            <w:pPr>
              <w:pStyle w:val="null3"/>
              <w:ind w:firstLine="400"/>
              <w:jc w:val="both"/>
            </w:pPr>
            <w:r>
              <w:rPr>
                <w:rFonts w:ascii="仿宋_GB2312" w:hAnsi="仿宋_GB2312" w:cs="仿宋_GB2312" w:eastAsia="仿宋_GB2312"/>
                <w:sz w:val="20"/>
                <w:b/>
              </w:rPr>
              <w:t>考核说明：</w:t>
            </w:r>
          </w:p>
          <w:p>
            <w:pPr>
              <w:pStyle w:val="null3"/>
              <w:spacing w:after="120"/>
              <w:ind w:firstLine="400"/>
              <w:jc w:val="both"/>
            </w:pPr>
            <w:r>
              <w:rPr>
                <w:rFonts w:ascii="仿宋_GB2312" w:hAnsi="仿宋_GB2312" w:cs="仿宋_GB2312" w:eastAsia="仿宋_GB2312"/>
                <w:sz w:val="20"/>
              </w:rPr>
              <w:t>每季度按城管委要求报送相关资料，实时更新指标上屏数据，建立巡查维修台账和月底进行维修数据汇总并上报。</w:t>
            </w:r>
          </w:p>
          <w:p>
            <w:pPr>
              <w:pStyle w:val="null3"/>
              <w:ind w:firstLine="400"/>
              <w:jc w:val="left"/>
            </w:pPr>
            <w:r>
              <w:rPr>
                <w:rFonts w:ascii="仿宋_GB2312" w:hAnsi="仿宋_GB2312" w:cs="仿宋_GB2312" w:eastAsia="仿宋_GB2312"/>
                <w:sz w:val="20"/>
                <w:b/>
              </w:rPr>
              <w:t>评分细则</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1、未按要求报送相关资料的，扣除季度考核成绩0.1分。</w:t>
            </w:r>
          </w:p>
          <w:p>
            <w:pPr>
              <w:pStyle w:val="null3"/>
              <w:ind w:firstLine="400"/>
              <w:jc w:val="left"/>
            </w:pPr>
            <w:r>
              <w:rPr>
                <w:rFonts w:ascii="仿宋_GB2312" w:hAnsi="仿宋_GB2312" w:cs="仿宋_GB2312" w:eastAsia="仿宋_GB2312"/>
                <w:sz w:val="20"/>
              </w:rPr>
              <w:t>2、未按要求完成指标上屏工作的，每次扣除季度考核成绩0.1分。</w:t>
            </w:r>
          </w:p>
          <w:p>
            <w:pPr>
              <w:pStyle w:val="null3"/>
              <w:spacing w:after="120"/>
              <w:ind w:firstLine="400"/>
              <w:jc w:val="both"/>
            </w:pPr>
            <w:r>
              <w:rPr>
                <w:rFonts w:ascii="仿宋_GB2312" w:hAnsi="仿宋_GB2312" w:cs="仿宋_GB2312" w:eastAsia="仿宋_GB2312"/>
                <w:sz w:val="20"/>
              </w:rPr>
              <w:t>3、未按要求建立巡查维修台账的，每次扣除季度考核成绩0.1分。</w:t>
            </w:r>
          </w:p>
          <w:p>
            <w:pPr>
              <w:pStyle w:val="null3"/>
              <w:spacing w:after="120"/>
              <w:ind w:firstLine="400"/>
              <w:jc w:val="both"/>
            </w:pPr>
            <w:r>
              <w:rPr>
                <w:rFonts w:ascii="仿宋_GB2312" w:hAnsi="仿宋_GB2312" w:cs="仿宋_GB2312" w:eastAsia="仿宋_GB2312"/>
                <w:sz w:val="20"/>
              </w:rPr>
              <w:t>4、未按要求汇总维修数据上报的，每次扣除季度考核成绩0.1分。</w:t>
            </w:r>
          </w:p>
          <w:p>
            <w:pPr>
              <w:pStyle w:val="null3"/>
              <w:ind w:firstLine="400"/>
              <w:jc w:val="left"/>
            </w:pPr>
            <w:r>
              <w:rPr>
                <w:rFonts w:ascii="仿宋_GB2312" w:hAnsi="仿宋_GB2312" w:cs="仿宋_GB2312" w:eastAsia="仿宋_GB2312"/>
                <w:sz w:val="20"/>
                <w:b/>
              </w:rPr>
              <w:t>（六）其它管理考核实施细则（指标分值</w:t>
            </w:r>
            <w:r>
              <w:rPr>
                <w:rFonts w:ascii="仿宋_GB2312" w:hAnsi="仿宋_GB2312" w:cs="仿宋_GB2312" w:eastAsia="仿宋_GB2312"/>
                <w:sz w:val="20"/>
                <w:b/>
              </w:rPr>
              <w:t>5分）</w:t>
            </w:r>
          </w:p>
          <w:p>
            <w:pPr>
              <w:pStyle w:val="null3"/>
              <w:ind w:firstLine="400"/>
              <w:jc w:val="left"/>
            </w:pPr>
            <w:r>
              <w:rPr>
                <w:rFonts w:ascii="仿宋_GB2312" w:hAnsi="仿宋_GB2312" w:cs="仿宋_GB2312" w:eastAsia="仿宋_GB2312"/>
                <w:sz w:val="20"/>
              </w:rPr>
              <w:t>1、白天进行路灯检修需开电作业的，必须报请甲方同意，未按要求微信或电话等方式报送检修申请的，按次扣0.1分。</w:t>
            </w:r>
          </w:p>
          <w:p>
            <w:pPr>
              <w:pStyle w:val="null3"/>
              <w:ind w:firstLine="400"/>
              <w:jc w:val="both"/>
            </w:pPr>
            <w:r>
              <w:rPr>
                <w:rFonts w:ascii="仿宋_GB2312" w:hAnsi="仿宋_GB2312" w:cs="仿宋_GB2312" w:eastAsia="仿宋_GB2312"/>
                <w:sz w:val="20"/>
              </w:rPr>
              <w:t>2、市城管委考核城市照明管理工作排名在后3名，甲方按相关标准和办法约谈乙方，并按次扣减当季度维护考核1分。累积三次考核排名在后3名的，甲方有权直接解除管护合同。</w:t>
            </w:r>
          </w:p>
          <w:p>
            <w:pPr>
              <w:pStyle w:val="null3"/>
              <w:spacing w:after="120"/>
              <w:ind w:firstLine="480"/>
              <w:jc w:val="both"/>
            </w:pPr>
            <w:r>
              <w:rPr>
                <w:rFonts w:ascii="仿宋_GB2312" w:hAnsi="仿宋_GB2312" w:cs="仿宋_GB2312" w:eastAsia="仿宋_GB2312"/>
                <w:sz w:val="20"/>
              </w:rPr>
              <w:t xml:space="preserve"> </w:t>
            </w:r>
            <w:r>
              <w:rPr>
                <w:rFonts w:ascii="仿宋_GB2312" w:hAnsi="仿宋_GB2312" w:cs="仿宋_GB2312" w:eastAsia="仿宋_GB2312"/>
                <w:sz w:val="20"/>
              </w:rPr>
              <w:t>3、中央省市县媒体曝光（群众投诉）、领导批评、中央省市县检查、测评、暗访问题未按要求整改的，扣减当季度考核1分，经甲方约谈仍未按要求整改到位的，扣减当季度考核2分，并根据情况可以解除管护合同。</w:t>
            </w:r>
          </w:p>
          <w:p>
            <w:pPr>
              <w:pStyle w:val="null3"/>
              <w:ind w:firstLine="400"/>
              <w:jc w:val="left"/>
            </w:pPr>
            <w:r>
              <w:rPr>
                <w:rFonts w:ascii="仿宋_GB2312" w:hAnsi="仿宋_GB2312" w:cs="仿宋_GB2312" w:eastAsia="仿宋_GB2312"/>
                <w:sz w:val="20"/>
              </w:rPr>
              <w:t>三、结果运用细则</w:t>
            </w:r>
          </w:p>
          <w:p>
            <w:pPr>
              <w:pStyle w:val="null3"/>
              <w:ind w:firstLine="400"/>
              <w:jc w:val="both"/>
            </w:pPr>
            <w:r>
              <w:rPr>
                <w:rFonts w:ascii="仿宋_GB2312" w:hAnsi="仿宋_GB2312" w:cs="仿宋_GB2312" w:eastAsia="仿宋_GB2312"/>
                <w:sz w:val="20"/>
              </w:rPr>
              <w:t>1、每季度考核总分为100分，考核得分95（含）以上不扣减当月维修服务费；考核得分95（不含）分以下，则按1000元/分从当季度维修服务费中扣减。85分（含）以下为不合格，甲方应及时约谈乙方。</w:t>
            </w:r>
          </w:p>
          <w:p>
            <w:pPr>
              <w:pStyle w:val="null3"/>
              <w:ind w:firstLine="400"/>
              <w:jc w:val="both"/>
            </w:pPr>
            <w:r>
              <w:rPr>
                <w:rFonts w:ascii="仿宋_GB2312" w:hAnsi="仿宋_GB2312" w:cs="仿宋_GB2312" w:eastAsia="仿宋_GB2312"/>
                <w:sz w:val="20"/>
                <w:b/>
              </w:rPr>
              <w:t>四、约谈及退出机制</w:t>
            </w:r>
          </w:p>
          <w:p>
            <w:pPr>
              <w:pStyle w:val="null3"/>
              <w:spacing w:after="120"/>
              <w:ind w:firstLine="400"/>
              <w:jc w:val="both"/>
            </w:pPr>
            <w:r>
              <w:rPr>
                <w:rFonts w:ascii="仿宋_GB2312" w:hAnsi="仿宋_GB2312" w:cs="仿宋_GB2312" w:eastAsia="仿宋_GB2312"/>
                <w:sz w:val="20"/>
              </w:rPr>
              <w:t>乙方在一年内被甲方约谈二次的，甲方有权解除合同，乙方须无条件同意，且一切损失由乙方负责。</w:t>
            </w:r>
          </w:p>
          <w:tbl>
            <w:tblPr>
              <w:tblInd w:type="dxa" w:w="300"/>
              <w:tblBorders>
                <w:top w:val="none" w:color="000000" w:sz="4"/>
                <w:left w:val="none" w:color="000000" w:sz="4"/>
                <w:bottom w:val="none" w:color="000000" w:sz="4"/>
                <w:right w:val="none" w:color="000000" w:sz="4"/>
                <w:insideH w:val="none"/>
                <w:insideV w:val="none"/>
              </w:tblBorders>
            </w:tblPr>
            <w:tblGrid>
              <w:gridCol w:w="212"/>
              <w:gridCol w:w="287"/>
              <w:gridCol w:w="2875"/>
              <w:gridCol w:w="1846"/>
              <w:gridCol w:w="227"/>
              <w:gridCol w:w="151"/>
            </w:tblGrid>
            <w:tr>
              <w:tc>
                <w:tcPr>
                  <w:tcW w:type="dxa" w:w="559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金堂县城区城市照明考核表</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月</w:t>
                  </w:r>
                  <w:r>
                    <w:rPr>
                      <w:rFonts w:ascii="仿宋_GB2312" w:hAnsi="仿宋_GB2312" w:cs="仿宋_GB2312" w:eastAsia="仿宋_GB2312"/>
                      <w:sz w:val="20"/>
                    </w:rPr>
                    <w:t>)</w:t>
                  </w:r>
                </w:p>
              </w:tc>
            </w:tr>
            <w:tr>
              <w:tc>
                <w:tcPr>
                  <w:tcW w:type="dxa" w:w="21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序号</w:t>
                  </w:r>
                </w:p>
              </w:tc>
              <w:tc>
                <w:tcPr>
                  <w:tcW w:type="dxa" w:w="28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考核</w:t>
                  </w:r>
                </w:p>
                <w:p>
                  <w:pPr>
                    <w:pStyle w:val="null3"/>
                    <w:jc w:val="both"/>
                  </w:pPr>
                  <w:r>
                    <w:rPr>
                      <w:rFonts w:ascii="仿宋_GB2312" w:hAnsi="仿宋_GB2312" w:cs="仿宋_GB2312" w:eastAsia="仿宋_GB2312"/>
                      <w:sz w:val="20"/>
                      <w:b/>
                    </w:rPr>
                    <w:t>内容</w:t>
                  </w:r>
                </w:p>
              </w:tc>
              <w:tc>
                <w:tcPr>
                  <w:tcW w:type="dxa" w:w="28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考核说明</w:t>
                  </w:r>
                </w:p>
              </w:tc>
              <w:tc>
                <w:tcPr>
                  <w:tcW w:type="dxa" w:w="184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考核细则</w:t>
                  </w:r>
                </w:p>
              </w:tc>
              <w:tc>
                <w:tcPr>
                  <w:tcW w:type="dxa" w:w="22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扣减分值</w:t>
                  </w:r>
                </w:p>
              </w:tc>
              <w:tc>
                <w:tcPr>
                  <w:tcW w:type="dxa" w:w="15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备注</w:t>
                  </w:r>
                </w:p>
              </w:tc>
            </w:tr>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w:t>
                  </w:r>
                </w:p>
              </w:tc>
              <w:tc>
                <w:tcPr>
                  <w:tcW w:type="dxa" w:w="538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照明设施运行指标考核实施细则（指标分值</w:t>
                  </w:r>
                  <w:r>
                    <w:rPr>
                      <w:rFonts w:ascii="仿宋_GB2312" w:hAnsi="仿宋_GB2312" w:cs="仿宋_GB2312" w:eastAsia="仿宋_GB2312"/>
                      <w:sz w:val="20"/>
                      <w:b/>
                    </w:rPr>
                    <w:t>50分）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亮灯率</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道路照明设施不分灯型，以一个光源（高压钠灯）或一个光源模组（</w:t>
                  </w:r>
                  <w:r>
                    <w:rPr>
                      <w:rFonts w:ascii="仿宋_GB2312" w:hAnsi="仿宋_GB2312" w:cs="仿宋_GB2312" w:eastAsia="仿宋_GB2312"/>
                      <w:sz w:val="20"/>
                    </w:rPr>
                    <w:t>LED灯）为一个部件进行计量。照明设施线路故障造成的缺相、大面积熄灯等不予计入。</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每季度检查亮灯率达到考核标准</w:t>
                  </w:r>
                  <w:r>
                    <w:rPr>
                      <w:rFonts w:ascii="仿宋_GB2312" w:hAnsi="仿宋_GB2312" w:cs="仿宋_GB2312" w:eastAsia="仿宋_GB2312"/>
                      <w:sz w:val="20"/>
                    </w:rPr>
                    <w:t>98%的，每一盏熄灯扣0.1分；低于考核标准98%的，每一盏熄灯扣0.2分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故障处置及时率</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1）按照低压故障处置时限为1日，高压故障处置时限为3日，线缆被盗处置时限为7日，交通事故更换灯杆时限为7日。时限内完成处置判定为“及时”，超出时限处置判定为“超时”。</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0"/>
                    </w:rPr>
                    <w:t>2）因汛期恶劣天气、各种灾害性天气、市政道路施工等不可抗力的环境因素导致的故障处置不及时，不计入当月考核。</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每季度故障处置及时率达到考核标准</w:t>
                  </w:r>
                  <w:r>
                    <w:rPr>
                      <w:rFonts w:ascii="仿宋_GB2312" w:hAnsi="仿宋_GB2312" w:cs="仿宋_GB2312" w:eastAsia="仿宋_GB2312"/>
                      <w:sz w:val="20"/>
                    </w:rPr>
                    <w:t>100%的，不扣分；超时每日累计扣除季度考核成绩0.1分，直至完成维修。</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设施完好率</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道路照明设施是否完好不分杆型，以一柱灯或一个独立箱体为一个部件进行检查考核。如杆门缺失，杆号码缺失、箱门破损、缺失、安全警示提示缺失等都计为不完好。</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每季度巡查考核设施完好率达到考核标准</w:t>
                  </w:r>
                  <w:r>
                    <w:rPr>
                      <w:rFonts w:ascii="仿宋_GB2312" w:hAnsi="仿宋_GB2312" w:cs="仿宋_GB2312" w:eastAsia="仿宋_GB2312"/>
                      <w:sz w:val="20"/>
                    </w:rPr>
                    <w:t>95%的，每发现一处扣0.1分；低于考核标准95%的，每发现一处扣0.2分。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维护质量达标率</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道路照明设施维修管理是否达标，主要是看使用的材料是否是国标，相关维修是否按规范维修。</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每季度道路照明设施维修管理达标率应为</w:t>
                  </w:r>
                  <w:r>
                    <w:rPr>
                      <w:rFonts w:ascii="仿宋_GB2312" w:hAnsi="仿宋_GB2312" w:cs="仿宋_GB2312" w:eastAsia="仿宋_GB2312"/>
                      <w:sz w:val="20"/>
                    </w:rPr>
                    <w:t>100%，每发现一处不达标扣0.2分。</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照明设施保洁</w:t>
                  </w:r>
                </w:p>
              </w:tc>
              <w:tc>
                <w:tcPr>
                  <w:tcW w:type="dxa" w:w="28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照明设施保洁即对灯杆距离地面</w:t>
                  </w:r>
                  <w:r>
                    <w:rPr>
                      <w:rFonts w:ascii="仿宋_GB2312" w:hAnsi="仿宋_GB2312" w:cs="仿宋_GB2312" w:eastAsia="仿宋_GB2312"/>
                      <w:sz w:val="20"/>
                    </w:rPr>
                    <w:t>2.2米以内（含庭院灯、护栏灯整体）和配电箱、专用箱式变压器设施表面进行人工保洁工作，设施保洁后表面无明显污物及附着物。</w:t>
                  </w:r>
                </w:p>
                <w:p>
                  <w:pPr>
                    <w:pStyle w:val="null3"/>
                    <w:spacing w:after="120"/>
                    <w:jc w:val="both"/>
                  </w:pPr>
                  <w:r>
                    <w:rPr>
                      <w:rFonts w:ascii="仿宋_GB2312" w:hAnsi="仿宋_GB2312" w:cs="仿宋_GB2312" w:eastAsia="仿宋_GB2312"/>
                      <w:sz w:val="20"/>
                    </w:rPr>
                    <w:t>维护单位结合日常维护工作适时开展设施保洁工作，并按照保障工作要求强化重点区域设施保洁工作。</w:t>
                  </w:r>
                </w:p>
              </w:tc>
              <w:tc>
                <w:tcPr>
                  <w:tcW w:type="dxa" w:w="184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照明设施保洁：每季度开展设施保洁检查，对当季度清洁工作情况进行检查，检查发现一条道路超过三分之一的路灯设施表面存在非法张贴物、污渍、积尘、蛛网、涂鸦等清洁不合格情况的，每条道路扣除</w:t>
                  </w:r>
                  <w:r>
                    <w:rPr>
                      <w:rFonts w:ascii="仿宋_GB2312" w:hAnsi="仿宋_GB2312" w:cs="仿宋_GB2312" w:eastAsia="仿宋_GB2312"/>
                      <w:sz w:val="20"/>
                    </w:rPr>
                    <w:t>0.2分。各类箱体有明显污渍的扣0.1分。</w:t>
                  </w:r>
                </w:p>
              </w:tc>
              <w:tc>
                <w:tcPr>
                  <w:tcW w:type="dxa" w:w="22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二</w:t>
                  </w:r>
                </w:p>
              </w:tc>
              <w:tc>
                <w:tcPr>
                  <w:tcW w:type="dxa" w:w="538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照明设施运行管理质量考核实施细则（指标分值</w:t>
                  </w:r>
                  <w:r>
                    <w:rPr>
                      <w:rFonts w:ascii="仿宋_GB2312" w:hAnsi="仿宋_GB2312" w:cs="仿宋_GB2312" w:eastAsia="仿宋_GB2312"/>
                      <w:sz w:val="20"/>
                      <w:b/>
                    </w:rPr>
                    <w:t>15分）</w:t>
                  </w:r>
                </w:p>
              </w:tc>
            </w:tr>
            <w:tr>
              <w:tc>
                <w:tcPr>
                  <w:tcW w:type="dxa" w:w="21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照明设施启闭</w:t>
                  </w:r>
                </w:p>
              </w:tc>
              <w:tc>
                <w:tcPr>
                  <w:tcW w:type="dxa" w:w="28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按照赵镇城市管理综合服务中心规定自然光照度值实施道路照明设施每日启闭；极端天气情况按应急管理规定启闭照明设施；重大保障、重大节日等特殊情况按保障通知要求启闭照明设施。</w:t>
                  </w:r>
                </w:p>
              </w:tc>
              <w:tc>
                <w:tcPr>
                  <w:tcW w:type="dxa" w:w="184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1、未按要求启动或关闭城市照明设施的，每次扣除季度考核成绩0.1分；</w:t>
                  </w:r>
                </w:p>
                <w:p>
                  <w:pPr>
                    <w:pStyle w:val="null3"/>
                    <w:spacing w:after="120"/>
                    <w:jc w:val="both"/>
                  </w:pPr>
                  <w:r>
                    <w:rPr>
                      <w:rFonts w:ascii="仿宋_GB2312" w:hAnsi="仿宋_GB2312" w:cs="仿宋_GB2312" w:eastAsia="仿宋_GB2312"/>
                      <w:sz w:val="20"/>
                    </w:rPr>
                    <w:t>2、重大保障期间，未按要求时间启闭城市照明设施，每次扣除季度考核成绩0.2分。</w:t>
                  </w:r>
                </w:p>
                <w:p>
                  <w:pPr>
                    <w:pStyle w:val="null3"/>
                    <w:spacing w:after="120"/>
                    <w:jc w:val="both"/>
                  </w:pPr>
                  <w:r>
                    <w:rPr>
                      <w:rFonts w:ascii="仿宋_GB2312" w:hAnsi="仿宋_GB2312" w:cs="仿宋_GB2312" w:eastAsia="仿宋_GB2312"/>
                      <w:sz w:val="20"/>
                    </w:rPr>
                    <w:t>3、供电部门停电或断电致使路灯不亮，在来电后，维护公司未及时合闸的，按次扣0.2分。</w:t>
                  </w:r>
                </w:p>
              </w:tc>
              <w:tc>
                <w:tcPr>
                  <w:tcW w:type="dxa" w:w="22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三</w:t>
                  </w:r>
                </w:p>
              </w:tc>
              <w:tc>
                <w:tcPr>
                  <w:tcW w:type="dxa" w:w="538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照明保障考核实施细则（指标分值</w:t>
                  </w:r>
                  <w:r>
                    <w:rPr>
                      <w:rFonts w:ascii="仿宋_GB2312" w:hAnsi="仿宋_GB2312" w:cs="仿宋_GB2312" w:eastAsia="仿宋_GB2312"/>
                      <w:sz w:val="20"/>
                      <w:b/>
                    </w:rPr>
                    <w:t>10分）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照明保障</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级及以上等级保障工作即视为重大保障。重大活动、重大节日、重要接待等重大保障应按照相关通知要求开展保障，服从市、县主管部门统一指挥调度，加密巡查巡检频次，增加维护力量，确保城市照明设施高质量运行。</w:t>
                  </w:r>
                </w:p>
                <w:p>
                  <w:pPr>
                    <w:pStyle w:val="null3"/>
                    <w:spacing w:after="120"/>
                    <w:jc w:val="both"/>
                  </w:pPr>
                  <w:r>
                    <w:rPr>
                      <w:rFonts w:ascii="仿宋_GB2312" w:hAnsi="仿宋_GB2312" w:cs="仿宋_GB2312" w:eastAsia="仿宋_GB2312"/>
                      <w:sz w:val="20"/>
                    </w:rPr>
                    <w:t>重大保障工作强化保障线路、县委政府周边、城市主干道、重要交通枢纽、进出城通道等区域功能照明设施巡查检修、精准启闭及突发问题应急处置。不得出现保障区域大面积熄灯或非正常亮灯。</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1、重大保障期间落实要求不力的，保障区域出现整条街道熄灯等大面积熄灯情况或非正常亮灯等情况的，每次扣除季度考核成绩0.5分；</w:t>
                  </w:r>
                </w:p>
                <w:p>
                  <w:pPr>
                    <w:pStyle w:val="null3"/>
                    <w:spacing w:after="120"/>
                    <w:jc w:val="both"/>
                  </w:pPr>
                  <w:r>
                    <w:rPr>
                      <w:rFonts w:ascii="仿宋_GB2312" w:hAnsi="仿宋_GB2312" w:cs="仿宋_GB2312" w:eastAsia="仿宋_GB2312"/>
                      <w:sz w:val="20"/>
                    </w:rPr>
                    <w:t>2、造成负面舆论影响、受到县级及以上部门通报批评的，每次扣除季度考核成绩1分。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四</w:t>
                  </w:r>
                </w:p>
              </w:tc>
              <w:tc>
                <w:tcPr>
                  <w:tcW w:type="dxa" w:w="53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安全应急处理考核实施细则（指标分值</w:t>
                  </w:r>
                  <w:r>
                    <w:rPr>
                      <w:rFonts w:ascii="仿宋_GB2312" w:hAnsi="仿宋_GB2312" w:cs="仿宋_GB2312" w:eastAsia="仿宋_GB2312"/>
                      <w:sz w:val="20"/>
                      <w:b/>
                    </w:rPr>
                    <w:t>15分）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安全应急处理</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照国家、省、市安全管理相关文件精神持续开展安全检查考核，对发现的设施安全规章制度、设施安全管理资料、安全风险分级管控、安全隐患排查治理及应急演练情况等问题予以通报说明，纳入考核扣分；承担设施安全事故中第三方人身伤害或财产损失赔偿责任的予以考核扣分；应急抢险期工作中，受到通报批评或造成负面舆论影响的，以通报批评文件及舆论报道为扣分依据。</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1、无设施安全规章制度或设施安全资料的；未按照安全生产标准化二级企业或安全主管部门相关要求制定应急预案的，或未按规定开展防汛应急演练的，每项扣除季度考核成绩0.1分。</w:t>
                  </w:r>
                </w:p>
                <w:p>
                  <w:pPr>
                    <w:pStyle w:val="null3"/>
                    <w:spacing w:after="120"/>
                    <w:jc w:val="both"/>
                  </w:pPr>
                  <w:r>
                    <w:rPr>
                      <w:rFonts w:ascii="仿宋_GB2312" w:hAnsi="仿宋_GB2312" w:cs="仿宋_GB2312" w:eastAsia="仿宋_GB2312"/>
                      <w:sz w:val="20"/>
                    </w:rPr>
                    <w:t>2、发生设施安全事故（含交通），造成第三方人身伤害或财产损失的，属维护公司责任的，扣除季度考核成绩0.5分。</w:t>
                  </w:r>
                </w:p>
                <w:p>
                  <w:pPr>
                    <w:pStyle w:val="null3"/>
                    <w:spacing w:after="120"/>
                    <w:jc w:val="both"/>
                  </w:pPr>
                  <w:r>
                    <w:rPr>
                      <w:rFonts w:ascii="仿宋_GB2312" w:hAnsi="仿宋_GB2312" w:cs="仿宋_GB2312" w:eastAsia="仿宋_GB2312"/>
                      <w:sz w:val="20"/>
                    </w:rPr>
                    <w:t>3、发生设施安全事故（含交通），未及时处置的，每项扣除季度考核成绩0.2分，造成二次事故的按次扣1分并承担相应的经济赔偿和法律责任。</w:t>
                  </w:r>
                </w:p>
                <w:p>
                  <w:pPr>
                    <w:pStyle w:val="null3"/>
                    <w:spacing w:after="120"/>
                    <w:jc w:val="both"/>
                  </w:pPr>
                  <w:r>
                    <w:rPr>
                      <w:rFonts w:ascii="仿宋_GB2312" w:hAnsi="仿宋_GB2312" w:cs="仿宋_GB2312" w:eastAsia="仿宋_GB2312"/>
                      <w:sz w:val="20"/>
                    </w:rPr>
                    <w:t>4、未按要求建立安全风险分级管控与隐患排查治理“双重预防”体系的每季度扣0.2分；</w:t>
                  </w:r>
                </w:p>
                <w:p>
                  <w:pPr>
                    <w:pStyle w:val="null3"/>
                    <w:spacing w:after="120"/>
                    <w:jc w:val="both"/>
                  </w:pPr>
                  <w:r>
                    <w:rPr>
                      <w:rFonts w:ascii="仿宋_GB2312" w:hAnsi="仿宋_GB2312" w:cs="仿宋_GB2312" w:eastAsia="仿宋_GB2312"/>
                      <w:sz w:val="20"/>
                    </w:rPr>
                    <w:t>5、未按安全生产相关规范维护作业，造成安全事故（含第三方），由乙方负责赔偿，扣减季度考核0.2分。</w:t>
                  </w:r>
                </w:p>
                <w:p>
                  <w:pPr>
                    <w:pStyle w:val="null3"/>
                    <w:spacing w:after="120"/>
                    <w:jc w:val="both"/>
                  </w:pPr>
                  <w:r>
                    <w:rPr>
                      <w:rFonts w:ascii="仿宋_GB2312" w:hAnsi="仿宋_GB2312" w:cs="仿宋_GB2312" w:eastAsia="仿宋_GB2312"/>
                      <w:sz w:val="20"/>
                    </w:rPr>
                    <w:t>6、应急抢险期工作中，受到行业主管部门通报批评的，每次扣除季度考核成绩0.5分；造成负面舆论影响、受到市级及以上部门通报批评或重大损失的，每次扣除季度考核成绩1分。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五</w:t>
                  </w:r>
                </w:p>
              </w:tc>
              <w:tc>
                <w:tcPr>
                  <w:tcW w:type="dxa" w:w="53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信息资料管理考核实施细则（指标分值</w:t>
                  </w:r>
                  <w:r>
                    <w:rPr>
                      <w:rFonts w:ascii="仿宋_GB2312" w:hAnsi="仿宋_GB2312" w:cs="仿宋_GB2312" w:eastAsia="仿宋_GB2312"/>
                      <w:sz w:val="20"/>
                      <w:b/>
                    </w:rPr>
                    <w:t>5分）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信息报送</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每季度按城管委要求报送相关资料，</w:t>
                  </w:r>
                </w:p>
                <w:p>
                  <w:pPr>
                    <w:pStyle w:val="null3"/>
                    <w:spacing w:after="120"/>
                    <w:jc w:val="both"/>
                  </w:pPr>
                  <w:r>
                    <w:rPr>
                      <w:rFonts w:ascii="仿宋_GB2312" w:hAnsi="仿宋_GB2312" w:cs="仿宋_GB2312" w:eastAsia="仿宋_GB2312"/>
                      <w:sz w:val="20"/>
                    </w:rPr>
                    <w:t>实时更新指标上屏数据，建立巡查维修台账和月底进行维修数据汇总并上报。</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1、未按要求报送相关资料的，扣除季度考核成绩0.1分。</w:t>
                  </w:r>
                </w:p>
                <w:p>
                  <w:pPr>
                    <w:pStyle w:val="null3"/>
                    <w:spacing w:after="120"/>
                    <w:jc w:val="both"/>
                  </w:pPr>
                  <w:r>
                    <w:rPr>
                      <w:rFonts w:ascii="仿宋_GB2312" w:hAnsi="仿宋_GB2312" w:cs="仿宋_GB2312" w:eastAsia="仿宋_GB2312"/>
                      <w:sz w:val="20"/>
                    </w:rPr>
                    <w:t>2、未按要求完成指标上屏工作的，每次扣除季度考核成绩0.1分。</w:t>
                  </w:r>
                </w:p>
                <w:p>
                  <w:pPr>
                    <w:pStyle w:val="null3"/>
                    <w:spacing w:after="120"/>
                    <w:jc w:val="both"/>
                  </w:pPr>
                  <w:r>
                    <w:rPr>
                      <w:rFonts w:ascii="仿宋_GB2312" w:hAnsi="仿宋_GB2312" w:cs="仿宋_GB2312" w:eastAsia="仿宋_GB2312"/>
                      <w:sz w:val="20"/>
                    </w:rPr>
                    <w:t>3、未按要求建立巡查维修台账的，每次扣除季度考核成绩0.1分。</w:t>
                  </w:r>
                </w:p>
                <w:p>
                  <w:pPr>
                    <w:pStyle w:val="null3"/>
                    <w:spacing w:after="120"/>
                    <w:jc w:val="both"/>
                  </w:pPr>
                  <w:r>
                    <w:rPr>
                      <w:rFonts w:ascii="仿宋_GB2312" w:hAnsi="仿宋_GB2312" w:cs="仿宋_GB2312" w:eastAsia="仿宋_GB2312"/>
                      <w:sz w:val="20"/>
                    </w:rPr>
                    <w:t>4、未按要求汇总维修数据上报的，每次扣除季度考核成绩0.1分。</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六</w:t>
                  </w:r>
                </w:p>
              </w:tc>
              <w:tc>
                <w:tcPr>
                  <w:tcW w:type="dxa" w:w="538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其它管理考核实施细则（指标分值</w:t>
                  </w:r>
                  <w:r>
                    <w:rPr>
                      <w:rFonts w:ascii="仿宋_GB2312" w:hAnsi="仿宋_GB2312" w:cs="仿宋_GB2312" w:eastAsia="仿宋_GB2312"/>
                      <w:sz w:val="20"/>
                      <w:b/>
                    </w:rPr>
                    <w:t>5分）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其它管理</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1、白天进行路灯检修需开电作业的，必须报请甲方同意，未按要求微信或电话等方式报送检修申请的，按次扣0.1分。</w:t>
                  </w:r>
                </w:p>
                <w:p>
                  <w:pPr>
                    <w:pStyle w:val="null3"/>
                    <w:spacing w:after="120"/>
                    <w:jc w:val="both"/>
                  </w:pPr>
                  <w:r>
                    <w:rPr>
                      <w:rFonts w:ascii="仿宋_GB2312" w:hAnsi="仿宋_GB2312" w:cs="仿宋_GB2312" w:eastAsia="仿宋_GB2312"/>
                      <w:sz w:val="20"/>
                    </w:rPr>
                    <w:t>2、市城管委考核城市照明管理工作排名在后3名，甲方按相关标准和办法约谈乙方，并按次扣减当季度维护考核1分。累积三次考核排名在后3名的，甲方有权直接解除管护合同。</w:t>
                  </w:r>
                </w:p>
                <w:p>
                  <w:pPr>
                    <w:pStyle w:val="null3"/>
                    <w:spacing w:after="120"/>
                    <w:jc w:val="both"/>
                  </w:pPr>
                  <w:r>
                    <w:rPr>
                      <w:rFonts w:ascii="仿宋_GB2312" w:hAnsi="仿宋_GB2312" w:cs="仿宋_GB2312" w:eastAsia="仿宋_GB2312"/>
                      <w:sz w:val="20"/>
                    </w:rPr>
                    <w:t xml:space="preserve"> </w:t>
                  </w:r>
                  <w:r>
                    <w:rPr>
                      <w:rFonts w:ascii="仿宋_GB2312" w:hAnsi="仿宋_GB2312" w:cs="仿宋_GB2312" w:eastAsia="仿宋_GB2312"/>
                      <w:sz w:val="20"/>
                    </w:rPr>
                    <w:t>3、中央省市县媒体曝光（群众投诉）、领导批评、中央省市县检查、测评、暗访问题未按要求整改的，扣减当季度考核1分，经甲方约谈仍未按要求整改到位的，扣减当季度考核2分，并根据情况可以解除管护合同。</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七</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扣减分值</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合计</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八</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结果运用</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每季度考核扣除金额</w:t>
                  </w:r>
                  <w:r>
                    <w:rPr>
                      <w:rFonts w:ascii="仿宋_GB2312" w:hAnsi="仿宋_GB2312" w:cs="仿宋_GB2312" w:eastAsia="仿宋_GB2312"/>
                      <w:sz w:val="20"/>
                    </w:rPr>
                    <w:t>=扣减分值×1000</w:t>
                  </w:r>
                </w:p>
              </w:tc>
              <w:tc>
                <w:tcPr>
                  <w:tcW w:type="dxa" w:w="22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1"/>
              </w:rPr>
              <w:t>注：若有最新国家相关标准、行业标准、地方标准或者其他标准、规范的按照最新文件执行。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合同签订生效之日起两年，合同一年一签。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采购人指定地点（成都市金堂县城区）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国家有关规定以及磋商文件的技术和服务要求、商务要求、供应商的响应文件及承诺与合同约定标准进行验收；双方如对技术和服务要求、商务要求的约定标准有相互抵触或异议的事项，由采购人按照采购文件与响应文件中技术和服务要求、商务要求比较优胜的原则确定该项目的约定标准进行验收。2.其他未尽事宜应严格按照《政府采购需求管理办法》 财库〔2021〕22号和《财政部关于进一步加强政府采购需求和履约验收管理的指导意见》（财库〔2016〕205号）以及主管部门的相关要求进行验收。3.供应商应严格按照《城市照明设施维护要求》、《照明设施维护作业标准》《城市道路照明设施建设技术导则》相关规定进行施工，并接受采购人的监督指导，所有质量验收必须达到合格。4.供应商自项目验收合格签字之日起一周内向采购人提供项目竣工结算资料一式四套。</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每季度支付（每季度最终支付金额为每季度审定金额-每季度考核扣除金额），达到付款条件起10日内，据实结算说明为1、服务费结算价=收方量*计算价格{以《建设工程工程量清单计价标准》（GB/T50500-2024）,2020《四川省建设工程清单计价定额》及其配套文件结算价格基础（项目具体实施时间）×（1-合同签订的下浮比例），然后送第三方审计。2、依据中标通知书，本项目中标价为定额单价下浮。3、2020《四川省建设工程清单计价定额》及其配套文件中未涉及项目维修服务，其价格参照市场价甲乙双方议定。</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按照国家有关规定以及磋商文件的技术和服务要求、商务要求、供应商的响应文件及承诺与合同约定标准进行验收；双方如对技术和服务要求、商务要求的约定标准有相互抵触或异议的事项，由采购人按照采购文件与响应文件中技术和服务要求、商务要求比较优胜的原则确定该项目的约定标准进行验收。2.其他未尽事宜应严格按照《政府采购需求管理办法》 财库〔2021〕22号和《财政部关于进一步加强政府采购需求和履约验收管理的指导意见》（财库〔2016〕205号）以及主管部门的相关要求进行验收。3.供应商应严格按照《城市照明设施维护要求》、《照明设施维护作业标准》《城市道路照明设施建设技术导则》相关规定进行施工，并接受采购人的监督指导，所有质量验收必须达到合格。4.供应商自项目验收合格签字之日起一周内向采购人提供项目竣工结算资料一式四套。</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1.供应商可自行对采购范围道路桥梁照明设施进行现场调查，并编制本采购项目的实施方案和安全管理方案。（1）项目实施方案包括：①对服务范围内的照明设施现状分析，②路灯设施养护方案，③桥梁景观照明设施日常养护方案，④涉及多功能综合杆的其他单位、部门的综合协调方案，⑤本项目所需的车辆、设备、工具等的保养、维修、使用方案，⑥内部管理方案（针对本项目的内部各项制度，主要包括安全生产管理、工具管理、员工管理、档案管理、财务管理、备件管理、考核奖惩管理），⑦网络理政投诉处置及回复方案，⑧应急处置方案，强降雨、大风、冰雪等极端天气的应急巡查处置方案，重大节假日巡查方案，⑨项目维护质量保证措施。（2）安全管理方案内容包括：①正常营运及养护作业时的交通组织和安全防护措施（主要包含：正常营运期间的交通组织与安全防护和养护作业期间的交通组织与安全防护），②发生事故时的交通组织和安全防护措施（主要包含事故现场交通组织和事故现场安全防护措施），③各项紧急预案（主要包含应急组织机构及职责和各类紧急预案）。 2.供应商具有类似项目业绩。 3.在满足采购文件第三章 3.3.1 款服务内容要求的人员配备要求基础上，供应商拟派本项目新增人员：（1）具有机电工程专业或电力专业或市政工程专业初级及以上职称证书；（2）具有安全生产考核合格证；（3）具有中华人民共和国特种作业操作证（作业类别：电工作业，操作项目：高压电工作业）；（4）具有中华人民共和国特种作业操作证（作业类别：电工作业，操作项目：低压电工作业）。 注：以上1至3项要求不作为实质性要求，仅作为评审因素，具体评审标准详见本项目采购文件“5.4.2.评审细则及标准”。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b/>
        </w:rPr>
        <w:t>在磋商过程中，磋商小组可以根据磋商文件和磋商情况实质性变动磋商文件的技术、服务要求条款，但不得变动磋商文件中的其他内容。实质性变动的内容，须经采购人代表书面确认。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b/>
        </w:rPr>
        <w:t>在磋商过程中，磋商小组可以根据磋商文件和磋商情况实质性变动磋商文件的合同草案条款，但不得变动磋商文件中的其他内容。实质性变动的内容，须经采购人代表书面确认。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①-④项具有同等的效力，供应商可根据自身实际情况选择提供其中任意一项。</w:t>
            </w:r>
          </w:p>
        </w:tc>
        <w:tc>
          <w:tcPr>
            <w:tcW w:type="dxa" w:w="1661"/>
          </w:tcPr>
          <w:p>
            <w:pPr>
              <w:pStyle w:val="null3"/>
              <w:jc w:val="left"/>
            </w:pPr>
            <w:r>
              <w:rPr>
                <w:rFonts w:ascii="仿宋_GB2312" w:hAnsi="仿宋_GB2312" w:cs="仿宋_GB2312" w:eastAsia="仿宋_GB2312"/>
              </w:rPr>
              <w:t>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响应文件封面。</w:t>
            </w:r>
          </w:p>
        </w:tc>
        <w:tc>
          <w:tcPr>
            <w:tcW w:type="dxa" w:w="3322"/>
          </w:tcPr>
          <w:p>
            <w:pPr>
              <w:pStyle w:val="null3"/>
              <w:jc w:val="left"/>
            </w:pPr>
            <w:r>
              <w:rPr>
                <w:rFonts w:ascii="仿宋_GB2312" w:hAnsi="仿宋_GB2312" w:cs="仿宋_GB2312" w:eastAsia="仿宋_GB2312"/>
              </w:rPr>
              <w:t>满足本项目响应文件封面格式要求。</w:t>
            </w:r>
          </w:p>
        </w:tc>
        <w:tc>
          <w:tcPr>
            <w:tcW w:type="dxa" w:w="1661"/>
          </w:tcPr>
          <w:p>
            <w:pPr>
              <w:pStyle w:val="null3"/>
              <w:jc w:val="left"/>
            </w:pPr>
            <w:r>
              <w:rPr>
                <w:rFonts w:ascii="仿宋_GB2312" w:hAnsi="仿宋_GB2312" w:cs="仿宋_GB2312" w:eastAsia="仿宋_GB2312"/>
              </w:rPr>
              <w:t>响应文件封面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服务要求偏离表。</w:t>
            </w:r>
          </w:p>
        </w:tc>
        <w:tc>
          <w:tcPr>
            <w:tcW w:type="dxa" w:w="3322"/>
          </w:tcPr>
          <w:p>
            <w:pPr>
              <w:pStyle w:val="null3"/>
              <w:jc w:val="left"/>
            </w:pPr>
            <w:r>
              <w:rPr>
                <w:rFonts w:ascii="仿宋_GB2312" w:hAnsi="仿宋_GB2312" w:cs="仿宋_GB2312" w:eastAsia="仿宋_GB2312"/>
              </w:rPr>
              <w:t>满足本项目服务要求偏离表格式要求。</w:t>
            </w:r>
          </w:p>
        </w:tc>
        <w:tc>
          <w:tcPr>
            <w:tcW w:type="dxa" w:w="1661"/>
          </w:tcPr>
          <w:p>
            <w:pPr>
              <w:pStyle w:val="null3"/>
              <w:jc w:val="left"/>
            </w:pPr>
            <w:r>
              <w:rPr>
                <w:rFonts w:ascii="仿宋_GB2312" w:hAnsi="仿宋_GB2312" w:cs="仿宋_GB2312" w:eastAsia="仿宋_GB2312"/>
              </w:rPr>
              <w:t>服务要求偏离表.docx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商务应答表。</w:t>
            </w:r>
          </w:p>
        </w:tc>
        <w:tc>
          <w:tcPr>
            <w:tcW w:type="dxa" w:w="3322"/>
          </w:tcPr>
          <w:p>
            <w:pPr>
              <w:pStyle w:val="null3"/>
              <w:jc w:val="left"/>
            </w:pPr>
            <w:r>
              <w:rPr>
                <w:rFonts w:ascii="仿宋_GB2312" w:hAnsi="仿宋_GB2312" w:cs="仿宋_GB2312" w:eastAsia="仿宋_GB2312"/>
              </w:rPr>
              <w:t>满足本项目商务应答表格式要求。</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供应商应提交的相关证明材料。</w:t>
            </w:r>
          </w:p>
        </w:tc>
        <w:tc>
          <w:tcPr>
            <w:tcW w:type="dxa" w:w="3322"/>
          </w:tcPr>
          <w:p>
            <w:pPr>
              <w:pStyle w:val="null3"/>
              <w:jc w:val="left"/>
            </w:pPr>
            <w:r>
              <w:rPr>
                <w:rFonts w:ascii="仿宋_GB2312" w:hAnsi="仿宋_GB2312" w:cs="仿宋_GB2312" w:eastAsia="仿宋_GB2312"/>
              </w:rPr>
              <w:t>按需填写。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技术评审因素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供应商提供自2022年 1 月 1 日（含）至本项目响应文件递交截止日，每具有一个道路照明设施管护服务或公共照明设施维护或供电施工或电力施工或电力线路及电缆敷设施工或用电设施维护类似项目业绩的得5分，本项最高得 10 分。 注：提供合同复印件，项目业绩时间以合同签订日期为准。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在满足采购文件第三章 3.3.1 款服务内容要求的人员配备要求基础上： 1.供应商每增加一名具有机电工程专业或电力专业或市政工程专业初级职称证书的人员得2 分；每增加一名具有机电工程专业或电力专业或市政工程专业中级及以上职称证书的人员得 4 分，本项最多得 8 分。 2.供应商每增加一名具有安全生产考核合格证的人员得 4 分，本项最多得 4 分。 3.供应商每增加一名具有中华人民共和国特种作业操作证（作业类别：电工作业，操作项目：高压电工作业）的人员得 4 分，最多得 4 分。 4.供应商每增加一名具有中华人民共和国特种作业操作证（作业类别：电工作业，操作项目：低压电工作业）的人员得 4分，本项最多得 4 分。 注：（1）以上人员须提供有效期内的证书复印件，未提供不得分。（2）以上人员一人多证不重复得分。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项目管理、服务人员情况表.docx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供应商可自行对采购范围道路桥梁照明设施进行现场调查，并编制本采购项目的实施方案。 1、评审委员会根据供应商提供的项目实施方案（包括：①对服务范围内的照明设施现状分析，②路灯设施养护方案，③桥梁景观照明设施日常养护方案，④涉及多功能综合杆的其他单位、部门的综合协调方案，⑤本项目所需的车辆、设备、工具等的保养、维修、使用方案，⑥内部管理方案（针对本项目的内部各项制度，主要包括安全生产管理、工具管理、员工管理、档案管理、财务管理、备件管理、考核奖惩管理），⑦网络理政投诉处置及回复方案，⑧应急处置方案，强降雨、大风、冰雪等极端天气的应急巡查处置方案，重大节假日巡查方案，⑨项目维护质量保证措施。以上内容完整且无缺陷的满分为45分；每缺少一项内容扣5分；每有一项内容存在缺陷扣2.5分，该项分值扣完为止。注：缺陷是指：“①内容仅有标题或框架缺乏具体说明阐述;②内容不符合国家、地方、行业标准或语言、项目名称、实施地点错误;③方案存在明显抄袭、套用其他地区及项目的内容。”的任意一种情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项目评审方案.docx</w:t>
            </w:r>
          </w:p>
        </w:tc>
      </w:tr>
      <w:tr>
        <w:tc>
          <w:tcPr>
            <w:tcW w:type="dxa" w:w="831"/>
            <w:vMerge/>
          </w:tcPr>
          <w:p/>
        </w:tc>
        <w:tc>
          <w:tcPr>
            <w:tcW w:type="dxa" w:w="1661"/>
          </w:tcPr>
          <w:p>
            <w:pPr>
              <w:pStyle w:val="null3"/>
              <w:jc w:val="left"/>
            </w:pPr>
            <w:r>
              <w:rPr>
                <w:rFonts w:ascii="仿宋_GB2312" w:hAnsi="仿宋_GB2312" w:cs="仿宋_GB2312" w:eastAsia="仿宋_GB2312"/>
              </w:rPr>
              <w:t>安全管理方案</w:t>
            </w:r>
          </w:p>
        </w:tc>
        <w:tc>
          <w:tcPr>
            <w:tcW w:type="dxa" w:w="2575"/>
          </w:tcPr>
          <w:p>
            <w:pPr>
              <w:pStyle w:val="null3"/>
              <w:jc w:val="left"/>
            </w:pPr>
            <w:r>
              <w:rPr>
                <w:rFonts w:ascii="仿宋_GB2312" w:hAnsi="仿宋_GB2312" w:cs="仿宋_GB2312" w:eastAsia="仿宋_GB2312"/>
              </w:rPr>
              <w:t>根据供应商针对本项目提供的安全管理方案进行综合评审，内容包括：①正常营运及养护作业时的交通组织和安全防护措施（主要包含：正常营运期间的交通组织与安全防护和养护作业期间的交通组织与安全防护），②发生事故时的交通组织和安全防护措施（主要包含事故现场交通组织和事故现场安全防护措施 ），③各项紧急预案（主要包含应急组织机构及职责 和各类紧急预案）。以上内容完整且无缺陷的满分为15分；每缺少一项内容扣5分；每有一项内容存在缺陷扣2.5分，该项分值扣完为止。注：缺陷是指：“①内容仅有标题或框架缺乏具体说明阐述;②内容不符合国家、地方、行业标准或语言、项目名称、实施地点错误;③方案存在明显抄袭、套用其他地区及项目的内容。”的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项目评审方案.docx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2026年县城区道路照明设施管护服务报价</w:t>
            </w:r>
          </w:p>
        </w:tc>
        <w:tc>
          <w:tcPr>
            <w:tcW w:type="dxa" w:w="2575"/>
          </w:tcPr>
          <w:p>
            <w:pPr>
              <w:pStyle w:val="null3"/>
              <w:jc w:val="left"/>
            </w:pPr>
            <w:r>
              <w:rPr>
                <w:rFonts w:ascii="仿宋_GB2312" w:hAnsi="仿宋_GB2312" w:cs="仿宋_GB2312" w:eastAsia="仿宋_GB2312"/>
              </w:rPr>
              <w:t>满足采购文件要求且（1-最高报价下浮比率）的响应报价为基准价，其价格分为满分。其他供投标人的价格分统一按照下列公式计算：报价得分=[(1-最高下浮率）／（1-投标报价下浮率)]*10 注：保留至小数点</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详见附件：服务要求偏离表.docx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详见附件：项目管理、服务人员情况表.docx</w:t>
      </w:r>
    </w:p>
    <w:p>
      <w:pPr>
        <w:pStyle w:val="null3"/>
        <w:ind w:firstLine="960"/>
        <w:jc w:val="left"/>
      </w:pPr>
      <w:r>
        <w:rPr>
          <w:rFonts w:ascii="仿宋_GB2312" w:hAnsi="仿宋_GB2312" w:cs="仿宋_GB2312" w:eastAsia="仿宋_GB2312"/>
        </w:rPr>
        <w:t>详见附件：项目评审方案.docx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详见附件：2026年县城区道路照明设施管护服务采购项目合同.docx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