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val="0"/>
        <w:overflowPunct/>
        <w:topLinePunct w:val="0"/>
        <w:autoSpaceDE/>
        <w:autoSpaceDN/>
        <w:bidi w:val="0"/>
        <w:adjustRightInd w:val="0"/>
        <w:snapToGrid w:val="0"/>
        <w:spacing w:line="590" w:lineRule="exact"/>
        <w:ind w:left="0" w:leftChars="0" w:right="185" w:rightChars="66" w:firstLine="0" w:firstLineChars="0"/>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若投标人因履约或招标文件要求由投标人承担且支付的费用，分项报价明细表未列出的报价项目，须在分项报价明细表中自行另行添加并逐项列出计入投标报价中，未按要求进行分项报价，视为未实质性响应。</w:t>
      </w:r>
    </w:p>
    <w:p>
      <w:pPr>
        <w:pStyle w:val="3"/>
        <w:ind w:left="0" w:leftChars="0" w:right="185" w:rightChars="66" w:firstLine="0" w:firstLineChars="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附：分项报价明细表</w:t>
      </w:r>
    </w:p>
    <w:p>
      <w:pPr>
        <w:pStyle w:val="8"/>
        <w:shd w:val="clear"/>
        <w:spacing w:before="105" w:after="105"/>
        <w:ind w:firstLine="560"/>
        <w:jc w:val="both"/>
        <w:rPr>
          <w:rFonts w:hint="eastAsia" w:ascii="仿宋" w:hAnsi="仿宋" w:eastAsia="仿宋" w:cs="仿宋"/>
          <w:highlight w:val="none"/>
        </w:rPr>
      </w:pPr>
      <w:r>
        <w:rPr>
          <w:rFonts w:hint="eastAsia" w:ascii="仿宋" w:hAnsi="仿宋" w:eastAsia="仿宋" w:cs="仿宋"/>
          <w:b/>
          <w:bCs/>
          <w:i w:val="0"/>
          <w:iCs w:val="0"/>
          <w:color w:val="000000"/>
          <w:kern w:val="0"/>
          <w:sz w:val="21"/>
          <w:szCs w:val="21"/>
          <w:highlight w:val="none"/>
          <w:u w:val="none"/>
          <w:lang w:val="en-US" w:eastAsia="zh-CN" w:bidi="ar"/>
        </w:rPr>
        <w:t>一、员工工资、福利待遇</w:t>
      </w:r>
    </w:p>
    <w:tbl>
      <w:tblPr>
        <w:tblStyle w:val="6"/>
        <w:tblW w:w="8240"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01"/>
        <w:gridCol w:w="1070"/>
        <w:gridCol w:w="5"/>
        <w:gridCol w:w="1023"/>
        <w:gridCol w:w="5"/>
        <w:gridCol w:w="1040"/>
        <w:gridCol w:w="5"/>
        <w:gridCol w:w="1796"/>
        <w:gridCol w:w="664"/>
        <w:gridCol w:w="872"/>
        <w:gridCol w:w="11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228" w:hRule="atLeast"/>
          <w:jc w:val="center"/>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i w:val="0"/>
                <w:iCs w:val="0"/>
                <w:color w:val="000000"/>
                <w:kern w:val="0"/>
                <w:sz w:val="21"/>
                <w:szCs w:val="21"/>
                <w:highlight w:val="none"/>
                <w:u w:val="none"/>
                <w:lang w:val="en-US" w:eastAsia="zh-CN" w:bidi="ar"/>
              </w:rPr>
              <w:t>序号</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i w:val="0"/>
                <w:iCs w:val="0"/>
                <w:color w:val="000000"/>
                <w:kern w:val="0"/>
                <w:sz w:val="21"/>
                <w:szCs w:val="21"/>
                <w:highlight w:val="none"/>
                <w:u w:val="none"/>
                <w:lang w:val="en-US" w:eastAsia="zh-CN" w:bidi="ar"/>
              </w:rPr>
              <w:t>岗位</w:t>
            </w:r>
          </w:p>
        </w:tc>
        <w:tc>
          <w:tcPr>
            <w:tcW w:w="10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岗位人</w:t>
            </w:r>
          </w:p>
          <w:p>
            <w:pPr>
              <w:keepNext w:val="0"/>
              <w:keepLines w:val="0"/>
              <w:widowControl/>
              <w:suppressLineNumbers w:val="0"/>
              <w:shd w:val="clear"/>
              <w:jc w:val="center"/>
              <w:textAlignment w:val="center"/>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i w:val="0"/>
                <w:iCs w:val="0"/>
                <w:color w:val="000000"/>
                <w:kern w:val="0"/>
                <w:sz w:val="21"/>
                <w:szCs w:val="21"/>
                <w:highlight w:val="none"/>
                <w:u w:val="none"/>
                <w:lang w:val="en-US" w:eastAsia="zh-CN" w:bidi="ar"/>
              </w:rPr>
              <w:t>员数量</w:t>
            </w:r>
          </w:p>
        </w:tc>
        <w:tc>
          <w:tcPr>
            <w:tcW w:w="10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基本工资</w:t>
            </w:r>
          </w:p>
          <w:p>
            <w:pPr>
              <w:keepNext w:val="0"/>
              <w:keepLines w:val="0"/>
              <w:widowControl/>
              <w:suppressLineNumbers w:val="0"/>
              <w:shd w:val="clear"/>
              <w:jc w:val="center"/>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（元/</w:t>
            </w:r>
          </w:p>
          <w:p>
            <w:pPr>
              <w:keepNext w:val="0"/>
              <w:keepLines w:val="0"/>
              <w:widowControl/>
              <w:suppressLineNumbers w:val="0"/>
              <w:shd w:val="clear"/>
              <w:jc w:val="center"/>
              <w:textAlignment w:val="center"/>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i w:val="0"/>
                <w:iCs w:val="0"/>
                <w:color w:val="000000"/>
                <w:kern w:val="0"/>
                <w:sz w:val="21"/>
                <w:szCs w:val="21"/>
                <w:highlight w:val="none"/>
                <w:u w:val="none"/>
                <w:lang w:val="en-US" w:eastAsia="zh-CN" w:bidi="ar"/>
              </w:rPr>
              <w:t>月·人）</w:t>
            </w:r>
          </w:p>
        </w:tc>
        <w:tc>
          <w:tcPr>
            <w:tcW w:w="18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单位缴纳社保</w:t>
            </w:r>
          </w:p>
          <w:p>
            <w:pPr>
              <w:keepNext w:val="0"/>
              <w:keepLines w:val="0"/>
              <w:widowControl/>
              <w:suppressLineNumbers w:val="0"/>
              <w:shd w:val="clear"/>
              <w:jc w:val="center"/>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金额（元/</w:t>
            </w:r>
          </w:p>
          <w:p>
            <w:pPr>
              <w:keepNext w:val="0"/>
              <w:keepLines w:val="0"/>
              <w:widowControl/>
              <w:suppressLineNumbers w:val="0"/>
              <w:shd w:val="clear"/>
              <w:jc w:val="center"/>
              <w:textAlignment w:val="center"/>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i w:val="0"/>
                <w:iCs w:val="0"/>
                <w:color w:val="000000"/>
                <w:kern w:val="0"/>
                <w:sz w:val="21"/>
                <w:szCs w:val="21"/>
                <w:highlight w:val="none"/>
                <w:u w:val="none"/>
                <w:lang w:val="en-US" w:eastAsia="zh-CN" w:bidi="ar"/>
              </w:rPr>
              <w:t>月·人）</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加班费</w:t>
            </w:r>
          </w:p>
          <w:p>
            <w:pPr>
              <w:keepNext w:val="0"/>
              <w:keepLines w:val="0"/>
              <w:widowControl/>
              <w:suppressLineNumbers w:val="0"/>
              <w:shd w:val="clear"/>
              <w:jc w:val="center"/>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（元/</w:t>
            </w:r>
          </w:p>
          <w:p>
            <w:pPr>
              <w:keepNext w:val="0"/>
              <w:keepLines w:val="0"/>
              <w:widowControl/>
              <w:suppressLineNumbers w:val="0"/>
              <w:shd w:val="clear"/>
              <w:jc w:val="center"/>
              <w:textAlignment w:val="center"/>
              <w:rPr>
                <w:rFonts w:hint="eastAsia" w:ascii="仿宋" w:hAnsi="仿宋" w:eastAsia="仿宋" w:cs="仿宋"/>
                <w:b w:val="0"/>
                <w:bCs w:val="0"/>
                <w:i w:val="0"/>
                <w:iCs w:val="0"/>
                <w:color w:val="000000"/>
                <w:sz w:val="21"/>
                <w:szCs w:val="21"/>
                <w:highlight w:val="none"/>
                <w:u w:val="none"/>
              </w:rPr>
            </w:pPr>
            <w:bookmarkStart w:id="0" w:name="_GoBack"/>
            <w:bookmarkEnd w:id="0"/>
            <w:r>
              <w:rPr>
                <w:rFonts w:hint="eastAsia" w:ascii="仿宋" w:hAnsi="仿宋" w:eastAsia="仿宋" w:cs="仿宋"/>
                <w:b w:val="0"/>
                <w:bCs w:val="0"/>
                <w:i w:val="0"/>
                <w:iCs w:val="0"/>
                <w:color w:val="000000"/>
                <w:kern w:val="0"/>
                <w:sz w:val="21"/>
                <w:szCs w:val="21"/>
                <w:highlight w:val="none"/>
                <w:u w:val="none"/>
                <w:lang w:val="en-US" w:eastAsia="zh-CN" w:bidi="ar"/>
              </w:rPr>
              <w:t>年）</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合计</w:t>
            </w:r>
          </w:p>
          <w:p>
            <w:pPr>
              <w:keepNext w:val="0"/>
              <w:keepLines w:val="0"/>
              <w:widowControl/>
              <w:suppressLineNumbers w:val="0"/>
              <w:shd w:val="clear"/>
              <w:jc w:val="center"/>
              <w:textAlignment w:val="center"/>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i w:val="0"/>
                <w:iCs w:val="0"/>
                <w:color w:val="000000"/>
                <w:kern w:val="0"/>
                <w:sz w:val="21"/>
                <w:szCs w:val="21"/>
                <w:highlight w:val="none"/>
                <w:u w:val="none"/>
                <w:lang w:val="en-US" w:eastAsia="zh-CN" w:bidi="ar"/>
              </w:rPr>
              <w:t>（元/年）</w:t>
            </w:r>
          </w:p>
        </w:tc>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b w:val="0"/>
                <w:bCs w:val="0"/>
                <w:i w:val="0"/>
                <w:iCs w:val="0"/>
                <w:color w:val="000000"/>
                <w:sz w:val="21"/>
                <w:szCs w:val="21"/>
                <w:highlight w:val="none"/>
                <w:u w:val="none"/>
              </w:rPr>
            </w:pPr>
            <w:r>
              <w:rPr>
                <w:rFonts w:hint="eastAsia" w:ascii="仿宋" w:hAnsi="仿宋" w:eastAsia="仿宋" w:cs="仿宋"/>
                <w:b w:val="0"/>
                <w:bCs w:val="0"/>
                <w:i w:val="0"/>
                <w:iCs w:val="0"/>
                <w:color w:val="000000"/>
                <w:kern w:val="0"/>
                <w:sz w:val="21"/>
                <w:szCs w:val="21"/>
                <w:highlight w:val="none"/>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19" w:hRule="atLeast"/>
          <w:jc w:val="center"/>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项目经理</w:t>
            </w:r>
          </w:p>
        </w:tc>
        <w:tc>
          <w:tcPr>
            <w:tcW w:w="10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0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80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仿宋" w:hAnsi="仿宋" w:eastAsia="仿宋" w:cs="仿宋"/>
                <w:i w:val="0"/>
                <w:iCs w:val="0"/>
                <w:color w:val="000000"/>
                <w:sz w:val="21"/>
                <w:szCs w:val="21"/>
                <w:highlight w:val="none"/>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仿宋" w:hAnsi="仿宋" w:eastAsia="仿宋" w:cs="仿宋"/>
                <w:i w:val="0"/>
                <w:iCs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19" w:hRule="atLeast"/>
          <w:jc w:val="center"/>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2</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客服</w:t>
            </w:r>
          </w:p>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服务</w:t>
            </w:r>
          </w:p>
        </w:tc>
        <w:tc>
          <w:tcPr>
            <w:tcW w:w="10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0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80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仿宋" w:hAnsi="仿宋" w:eastAsia="仿宋" w:cs="仿宋"/>
                <w:i w:val="0"/>
                <w:iCs w:val="0"/>
                <w:color w:val="000000"/>
                <w:sz w:val="21"/>
                <w:szCs w:val="21"/>
                <w:highlight w:val="none"/>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仿宋" w:hAnsi="仿宋" w:eastAsia="仿宋" w:cs="仿宋"/>
                <w:i w:val="0"/>
                <w:iCs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879" w:hRule="exact"/>
          <w:jc w:val="center"/>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3</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综合维</w:t>
            </w:r>
          </w:p>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修人员</w:t>
            </w:r>
          </w:p>
        </w:tc>
        <w:tc>
          <w:tcPr>
            <w:tcW w:w="10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0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80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19" w:hRule="atLeast"/>
          <w:jc w:val="center"/>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4</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环境</w:t>
            </w:r>
          </w:p>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维护员</w:t>
            </w:r>
          </w:p>
        </w:tc>
        <w:tc>
          <w:tcPr>
            <w:tcW w:w="10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0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80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09" w:hRule="atLeast"/>
          <w:jc w:val="center"/>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1070"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秩序</w:t>
            </w:r>
          </w:p>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维护员</w:t>
            </w:r>
          </w:p>
        </w:tc>
        <w:tc>
          <w:tcPr>
            <w:tcW w:w="1028" w:type="dxa"/>
            <w:gridSpan w:val="2"/>
            <w:tcBorders>
              <w:top w:val="single" w:color="000000" w:sz="4" w:space="0"/>
              <w:left w:val="single" w:color="auto" w:sz="4" w:space="0"/>
              <w:bottom w:val="single" w:color="000000" w:sz="4" w:space="0"/>
              <w:right w:val="single" w:color="auto"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045" w:type="dxa"/>
            <w:gridSpan w:val="2"/>
            <w:tcBorders>
              <w:top w:val="single" w:color="000000" w:sz="4" w:space="0"/>
              <w:left w:val="single" w:color="auto" w:sz="4" w:space="0"/>
              <w:bottom w:val="single" w:color="000000" w:sz="4" w:space="0"/>
              <w:right w:val="single" w:color="auto"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801"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664"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59" w:hRule="atLeast"/>
          <w:jc w:val="center"/>
        </w:trPr>
        <w:tc>
          <w:tcPr>
            <w:tcW w:w="1676" w:type="dxa"/>
            <w:gridSpan w:val="3"/>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b/>
                <w:bCs/>
                <w:i w:val="0"/>
                <w:iCs w:val="0"/>
                <w:color w:val="000000"/>
                <w:sz w:val="21"/>
                <w:szCs w:val="21"/>
                <w:highlight w:val="none"/>
                <w:u w:val="none"/>
              </w:rPr>
            </w:pPr>
            <w:r>
              <w:rPr>
                <w:rFonts w:hint="eastAsia" w:ascii="仿宋" w:hAnsi="仿宋" w:eastAsia="仿宋" w:cs="仿宋"/>
                <w:b/>
                <w:bCs/>
                <w:i w:val="0"/>
                <w:iCs w:val="0"/>
                <w:color w:val="000000"/>
                <w:kern w:val="0"/>
                <w:sz w:val="21"/>
                <w:szCs w:val="21"/>
                <w:highlight w:val="none"/>
                <w:u w:val="none"/>
                <w:lang w:val="en-US" w:eastAsia="zh-CN" w:bidi="ar"/>
              </w:rPr>
              <w:t>合计</w:t>
            </w:r>
          </w:p>
        </w:tc>
        <w:tc>
          <w:tcPr>
            <w:tcW w:w="1028" w:type="dxa"/>
            <w:gridSpan w:val="2"/>
            <w:tcBorders>
              <w:top w:val="single" w:color="000000" w:sz="4" w:space="0"/>
              <w:left w:val="single" w:color="auto" w:sz="4" w:space="0"/>
              <w:bottom w:val="single" w:color="000000" w:sz="4" w:space="0"/>
              <w:right w:val="single" w:color="auto"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b/>
                <w:bCs/>
                <w:i w:val="0"/>
                <w:iCs w:val="0"/>
                <w:color w:val="000000"/>
                <w:kern w:val="0"/>
                <w:sz w:val="21"/>
                <w:szCs w:val="21"/>
                <w:highlight w:val="none"/>
                <w:u w:val="none"/>
                <w:lang w:val="en-US" w:eastAsia="zh-CN" w:bidi="ar"/>
              </w:rPr>
            </w:pPr>
          </w:p>
        </w:tc>
        <w:tc>
          <w:tcPr>
            <w:tcW w:w="1045" w:type="dxa"/>
            <w:gridSpan w:val="2"/>
            <w:tcBorders>
              <w:top w:val="single" w:color="000000" w:sz="4" w:space="0"/>
              <w:left w:val="single" w:color="auto" w:sz="4" w:space="0"/>
              <w:bottom w:val="single" w:color="000000" w:sz="4" w:space="0"/>
              <w:right w:val="single" w:color="auto"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b/>
                <w:bCs/>
                <w:i w:val="0"/>
                <w:iCs w:val="0"/>
                <w:color w:val="000000"/>
                <w:kern w:val="0"/>
                <w:sz w:val="21"/>
                <w:szCs w:val="21"/>
                <w:highlight w:val="none"/>
                <w:u w:val="none"/>
                <w:lang w:val="en-US" w:eastAsia="zh-CN" w:bidi="ar"/>
              </w:rPr>
            </w:pPr>
          </w:p>
        </w:tc>
        <w:tc>
          <w:tcPr>
            <w:tcW w:w="1796" w:type="dxa"/>
            <w:tcBorders>
              <w:top w:val="single" w:color="000000" w:sz="4" w:space="0"/>
              <w:left w:val="single" w:color="auto" w:sz="4" w:space="0"/>
              <w:bottom w:val="single" w:color="000000" w:sz="4" w:space="0"/>
              <w:right w:val="single" w:color="auto"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b/>
                <w:bCs/>
                <w:i w:val="0"/>
                <w:iCs w:val="0"/>
                <w:color w:val="000000"/>
                <w:kern w:val="0"/>
                <w:sz w:val="21"/>
                <w:szCs w:val="21"/>
                <w:highlight w:val="none"/>
                <w:u w:val="none"/>
                <w:lang w:val="en-US" w:eastAsia="zh-CN" w:bidi="ar"/>
              </w:rPr>
            </w:pPr>
          </w:p>
        </w:tc>
        <w:tc>
          <w:tcPr>
            <w:tcW w:w="664"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b/>
                <w:bCs/>
                <w:i w:val="0"/>
                <w:iCs w:val="0"/>
                <w:color w:val="000000"/>
                <w:kern w:val="0"/>
                <w:sz w:val="21"/>
                <w:szCs w:val="21"/>
                <w:highlight w:val="none"/>
                <w:u w:val="none"/>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hd w:val="clear"/>
              <w:rPr>
                <w:rFonts w:hint="eastAsia" w:ascii="仿宋" w:hAnsi="仿宋" w:eastAsia="仿宋" w:cs="仿宋"/>
                <w:i w:val="0"/>
                <w:iCs w:val="0"/>
                <w:color w:val="000000"/>
                <w:sz w:val="21"/>
                <w:szCs w:val="21"/>
                <w:highlight w:val="none"/>
                <w:u w:val="none"/>
              </w:rPr>
            </w:pPr>
          </w:p>
        </w:tc>
      </w:tr>
    </w:tbl>
    <w:p>
      <w:pPr>
        <w:pStyle w:val="8"/>
        <w:shd w:val="clear"/>
        <w:jc w:val="both"/>
        <w:rPr>
          <w:rFonts w:hint="eastAsia" w:ascii="仿宋" w:hAnsi="仿宋" w:eastAsia="仿宋" w:cs="仿宋"/>
          <w:b/>
          <w:bCs/>
          <w:i w:val="0"/>
          <w:iCs w:val="0"/>
          <w:color w:val="000000"/>
          <w:kern w:val="0"/>
          <w:sz w:val="21"/>
          <w:szCs w:val="21"/>
          <w:highlight w:val="none"/>
          <w:u w:val="none"/>
          <w:lang w:val="en-US" w:eastAsia="zh-CN" w:bidi="ar"/>
        </w:rPr>
      </w:pPr>
    </w:p>
    <w:p>
      <w:pPr>
        <w:pStyle w:val="8"/>
        <w:shd w:val="clear"/>
        <w:jc w:val="both"/>
        <w:rPr>
          <w:rFonts w:hint="eastAsia" w:ascii="仿宋" w:hAnsi="仿宋" w:eastAsia="仿宋" w:cs="仿宋"/>
          <w:highlight w:val="none"/>
        </w:rPr>
      </w:pPr>
      <w:r>
        <w:rPr>
          <w:rFonts w:hint="eastAsia" w:ascii="仿宋" w:hAnsi="仿宋" w:eastAsia="仿宋" w:cs="仿宋"/>
          <w:b/>
          <w:bCs/>
          <w:i w:val="0"/>
          <w:iCs w:val="0"/>
          <w:color w:val="000000"/>
          <w:kern w:val="0"/>
          <w:sz w:val="21"/>
          <w:szCs w:val="21"/>
          <w:highlight w:val="none"/>
          <w:u w:val="none"/>
          <w:lang w:val="en-US" w:eastAsia="zh-CN" w:bidi="ar"/>
        </w:rPr>
        <w:t>二、服装费</w:t>
      </w:r>
    </w:p>
    <w:tbl>
      <w:tblPr>
        <w:tblStyle w:val="6"/>
        <w:tblW w:w="817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94"/>
        <w:gridCol w:w="1234"/>
        <w:gridCol w:w="1187"/>
        <w:gridCol w:w="1206"/>
        <w:gridCol w:w="1167"/>
        <w:gridCol w:w="1304"/>
        <w:gridCol w:w="13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24" w:hRule="atLeast"/>
        </w:trPr>
        <w:tc>
          <w:tcPr>
            <w:tcW w:w="6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both"/>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序号</w:t>
            </w:r>
          </w:p>
        </w:tc>
        <w:tc>
          <w:tcPr>
            <w:tcW w:w="12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服装种类</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套（或顶）</w:t>
            </w:r>
          </w:p>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/年</w:t>
            </w: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元/套</w:t>
            </w:r>
          </w:p>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（顶）</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小计</w:t>
            </w:r>
          </w:p>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（元/年）</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计算</w:t>
            </w:r>
          </w:p>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依据</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22" w:hRule="atLeast"/>
        </w:trPr>
        <w:tc>
          <w:tcPr>
            <w:tcW w:w="6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2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仿宋" w:hAnsi="仿宋" w:eastAsia="仿宋" w:cs="仿宋"/>
                <w:i w:val="0"/>
                <w:iCs w:val="0"/>
                <w:color w:val="000000"/>
                <w:sz w:val="21"/>
                <w:szCs w:val="21"/>
                <w:highlight w:val="none"/>
                <w:u w:val="none"/>
              </w:rPr>
            </w:pP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仿宋" w:hAnsi="仿宋" w:eastAsia="仿宋" w:cs="仿宋"/>
                <w:i w:val="0"/>
                <w:iCs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22" w:hRule="atLeast"/>
        </w:trPr>
        <w:tc>
          <w:tcPr>
            <w:tcW w:w="6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2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仿宋" w:hAnsi="仿宋" w:eastAsia="仿宋" w:cs="仿宋"/>
                <w:i w:val="0"/>
                <w:iCs w:val="0"/>
                <w:color w:val="000000"/>
                <w:sz w:val="21"/>
                <w:szCs w:val="21"/>
                <w:highlight w:val="none"/>
                <w:u w:val="none"/>
              </w:rPr>
            </w:pP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仿宋" w:hAnsi="仿宋" w:eastAsia="仿宋" w:cs="仿宋"/>
                <w:i w:val="0"/>
                <w:iCs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22" w:hRule="atLeast"/>
        </w:trPr>
        <w:tc>
          <w:tcPr>
            <w:tcW w:w="6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2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仿宋" w:hAnsi="仿宋" w:eastAsia="仿宋" w:cs="仿宋"/>
                <w:i w:val="0"/>
                <w:iCs w:val="0"/>
                <w:color w:val="000000"/>
                <w:sz w:val="21"/>
                <w:szCs w:val="21"/>
                <w:highlight w:val="none"/>
                <w:u w:val="none"/>
              </w:rPr>
            </w:pP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仿宋" w:hAnsi="仿宋" w:eastAsia="仿宋" w:cs="仿宋"/>
                <w:i w:val="0"/>
                <w:iCs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22" w:hRule="atLeast"/>
        </w:trPr>
        <w:tc>
          <w:tcPr>
            <w:tcW w:w="6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2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仿宋" w:hAnsi="仿宋" w:eastAsia="仿宋" w:cs="仿宋"/>
                <w:i w:val="0"/>
                <w:iCs w:val="0"/>
                <w:color w:val="000000"/>
                <w:sz w:val="21"/>
                <w:szCs w:val="21"/>
                <w:highlight w:val="none"/>
                <w:u w:val="none"/>
              </w:rPr>
            </w:pP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仿宋" w:hAnsi="仿宋" w:eastAsia="仿宋" w:cs="仿宋"/>
                <w:i w:val="0"/>
                <w:iCs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22" w:hRule="atLeast"/>
        </w:trPr>
        <w:tc>
          <w:tcPr>
            <w:tcW w:w="6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2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仿宋" w:hAnsi="仿宋" w:eastAsia="仿宋" w:cs="仿宋"/>
                <w:i w:val="0"/>
                <w:iCs w:val="0"/>
                <w:color w:val="000000"/>
                <w:sz w:val="21"/>
                <w:szCs w:val="21"/>
                <w:highlight w:val="none"/>
                <w:u w:val="none"/>
              </w:rPr>
            </w:pP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仿宋" w:hAnsi="仿宋" w:eastAsia="仿宋" w:cs="仿宋"/>
                <w:i w:val="0"/>
                <w:iCs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39" w:hRule="atLeast"/>
        </w:trPr>
        <w:tc>
          <w:tcPr>
            <w:tcW w:w="432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本项合计（元/年）</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仿宋" w:hAnsi="仿宋" w:eastAsia="仿宋" w:cs="仿宋"/>
                <w:i w:val="0"/>
                <w:iCs w:val="0"/>
                <w:color w:val="000000"/>
                <w:sz w:val="21"/>
                <w:szCs w:val="21"/>
                <w:highlight w:val="none"/>
                <w:u w:val="none"/>
              </w:rPr>
            </w:pP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hd w:val="clear"/>
              <w:rPr>
                <w:rFonts w:hint="eastAsia" w:ascii="仿宋" w:hAnsi="仿宋" w:eastAsia="仿宋" w:cs="仿宋"/>
                <w:i w:val="0"/>
                <w:iCs w:val="0"/>
                <w:color w:val="000000"/>
                <w:sz w:val="21"/>
                <w:szCs w:val="21"/>
                <w:highlight w:val="none"/>
                <w:u w:val="none"/>
              </w:rPr>
            </w:pPr>
          </w:p>
        </w:tc>
      </w:tr>
    </w:tbl>
    <w:p>
      <w:pPr>
        <w:pStyle w:val="8"/>
        <w:shd w:val="clear"/>
        <w:jc w:val="both"/>
        <w:rPr>
          <w:rFonts w:hint="eastAsia" w:ascii="仿宋" w:hAnsi="仿宋" w:eastAsia="仿宋" w:cs="仿宋"/>
          <w:b/>
          <w:bCs/>
          <w:i w:val="0"/>
          <w:iCs w:val="0"/>
          <w:color w:val="000000"/>
          <w:kern w:val="0"/>
          <w:sz w:val="21"/>
          <w:szCs w:val="21"/>
          <w:highlight w:val="none"/>
          <w:u w:val="none"/>
          <w:lang w:val="en-US" w:eastAsia="zh-CN" w:bidi="ar"/>
        </w:rPr>
      </w:pPr>
    </w:p>
    <w:p>
      <w:pPr>
        <w:pStyle w:val="8"/>
        <w:shd w:val="clear"/>
        <w:jc w:val="both"/>
        <w:rPr>
          <w:rFonts w:hint="eastAsia" w:ascii="仿宋" w:hAnsi="仿宋" w:eastAsia="仿宋" w:cs="仿宋"/>
          <w:highlight w:val="none"/>
        </w:rPr>
      </w:pPr>
      <w:r>
        <w:rPr>
          <w:rFonts w:hint="eastAsia" w:ascii="仿宋" w:hAnsi="仿宋" w:eastAsia="仿宋" w:cs="仿宋"/>
          <w:b/>
          <w:bCs/>
          <w:i w:val="0"/>
          <w:iCs w:val="0"/>
          <w:color w:val="000000"/>
          <w:kern w:val="0"/>
          <w:sz w:val="21"/>
          <w:szCs w:val="21"/>
          <w:highlight w:val="none"/>
          <w:u w:val="none"/>
          <w:lang w:val="en-US" w:eastAsia="zh-CN" w:bidi="ar"/>
        </w:rPr>
        <w:t>三、其它费用</w:t>
      </w:r>
    </w:p>
    <w:tbl>
      <w:tblPr>
        <w:tblStyle w:val="6"/>
        <w:tblW w:w="809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024"/>
        <w:gridCol w:w="1822"/>
        <w:gridCol w:w="1752"/>
        <w:gridCol w:w="1779"/>
        <w:gridCol w:w="17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626" w:hRule="atLeast"/>
          <w:jc w:val="center"/>
        </w:trPr>
        <w:tc>
          <w:tcPr>
            <w:tcW w:w="1024" w:type="dxa"/>
            <w:shd w:val="clear" w:color="auto" w:fill="auto"/>
            <w:vAlign w:val="center"/>
          </w:tcPr>
          <w:p>
            <w:pPr>
              <w:keepNext w:val="0"/>
              <w:keepLines w:val="0"/>
              <w:widowControl/>
              <w:suppressLineNumbers w:val="0"/>
              <w:shd w:val="clear"/>
              <w:jc w:val="center"/>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序号</w:t>
            </w:r>
          </w:p>
        </w:tc>
        <w:tc>
          <w:tcPr>
            <w:tcW w:w="3574" w:type="dxa"/>
            <w:gridSpan w:val="2"/>
            <w:shd w:val="clear" w:color="auto" w:fill="auto"/>
            <w:vAlign w:val="center"/>
          </w:tcPr>
          <w:p>
            <w:pPr>
              <w:keepNext w:val="0"/>
              <w:keepLines w:val="0"/>
              <w:widowControl/>
              <w:suppressLineNumbers w:val="0"/>
              <w:shd w:val="clear"/>
              <w:jc w:val="center"/>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费用类别</w:t>
            </w:r>
          </w:p>
        </w:tc>
        <w:tc>
          <w:tcPr>
            <w:tcW w:w="1779" w:type="dxa"/>
            <w:shd w:val="clear" w:color="auto" w:fill="auto"/>
            <w:vAlign w:val="center"/>
          </w:tcPr>
          <w:p>
            <w:pPr>
              <w:keepNext w:val="0"/>
              <w:keepLines w:val="0"/>
              <w:widowControl/>
              <w:suppressLineNumbers w:val="0"/>
              <w:shd w:val="clear"/>
              <w:jc w:val="center"/>
              <w:textAlignment w:val="top"/>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合计</w:t>
            </w:r>
          </w:p>
          <w:p>
            <w:pPr>
              <w:keepNext w:val="0"/>
              <w:keepLines w:val="0"/>
              <w:widowControl/>
              <w:suppressLineNumbers w:val="0"/>
              <w:shd w:val="clear"/>
              <w:jc w:val="center"/>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（元/年）</w:t>
            </w:r>
          </w:p>
        </w:tc>
        <w:tc>
          <w:tcPr>
            <w:tcW w:w="1722" w:type="dxa"/>
            <w:shd w:val="clear" w:color="auto" w:fill="auto"/>
            <w:vAlign w:val="center"/>
          </w:tcPr>
          <w:p>
            <w:pPr>
              <w:keepNext w:val="0"/>
              <w:keepLines w:val="0"/>
              <w:widowControl/>
              <w:suppressLineNumbers w:val="0"/>
              <w:shd w:val="clear"/>
              <w:jc w:val="center"/>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602" w:hRule="atLeast"/>
          <w:jc w:val="center"/>
        </w:trPr>
        <w:tc>
          <w:tcPr>
            <w:tcW w:w="1024" w:type="dxa"/>
            <w:shd w:val="clear" w:color="auto" w:fill="auto"/>
            <w:vAlign w:val="center"/>
          </w:tcPr>
          <w:p>
            <w:pPr>
              <w:keepNext w:val="0"/>
              <w:keepLines w:val="0"/>
              <w:widowControl/>
              <w:suppressLineNumbers w:val="0"/>
              <w:shd w:val="clear"/>
              <w:jc w:val="center"/>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w:t>
            </w:r>
          </w:p>
        </w:tc>
        <w:tc>
          <w:tcPr>
            <w:tcW w:w="3574" w:type="dxa"/>
            <w:gridSpan w:val="2"/>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办公及防汛物资</w:t>
            </w:r>
          </w:p>
        </w:tc>
        <w:tc>
          <w:tcPr>
            <w:tcW w:w="1779" w:type="dxa"/>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722" w:type="dxa"/>
            <w:shd w:val="clear" w:color="auto" w:fill="auto"/>
            <w:vAlign w:val="center"/>
          </w:tcPr>
          <w:p>
            <w:pPr>
              <w:shd w:val="clear"/>
              <w:jc w:val="center"/>
              <w:rPr>
                <w:rFonts w:hint="eastAsia" w:ascii="仿宋" w:hAnsi="仿宋" w:eastAsia="仿宋" w:cs="仿宋"/>
                <w:i w:val="0"/>
                <w:iCs w:val="0"/>
                <w:color w:val="000000"/>
                <w:sz w:val="21"/>
                <w:szCs w:val="21"/>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617" w:hRule="atLeast"/>
          <w:jc w:val="center"/>
        </w:trPr>
        <w:tc>
          <w:tcPr>
            <w:tcW w:w="1024" w:type="dxa"/>
            <w:shd w:val="clear" w:color="auto" w:fill="auto"/>
            <w:vAlign w:val="center"/>
          </w:tcPr>
          <w:p>
            <w:pPr>
              <w:keepNext w:val="0"/>
              <w:keepLines w:val="0"/>
              <w:widowControl/>
              <w:suppressLineNumbers w:val="0"/>
              <w:shd w:val="clear"/>
              <w:jc w:val="center"/>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2</w:t>
            </w:r>
          </w:p>
        </w:tc>
        <w:tc>
          <w:tcPr>
            <w:tcW w:w="3574" w:type="dxa"/>
            <w:gridSpan w:val="2"/>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日常耗材工具</w:t>
            </w:r>
          </w:p>
        </w:tc>
        <w:tc>
          <w:tcPr>
            <w:tcW w:w="1779" w:type="dxa"/>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722" w:type="dxa"/>
            <w:shd w:val="clear" w:color="auto" w:fill="auto"/>
            <w:vAlign w:val="center"/>
          </w:tcPr>
          <w:p>
            <w:pPr>
              <w:shd w:val="clear"/>
              <w:jc w:val="center"/>
              <w:rPr>
                <w:rFonts w:hint="eastAsia" w:ascii="仿宋" w:hAnsi="仿宋" w:eastAsia="仿宋" w:cs="仿宋"/>
                <w:i w:val="0"/>
                <w:iCs w:val="0"/>
                <w:color w:val="000000"/>
                <w:sz w:val="21"/>
                <w:szCs w:val="21"/>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626" w:hRule="atLeast"/>
          <w:jc w:val="center"/>
        </w:trPr>
        <w:tc>
          <w:tcPr>
            <w:tcW w:w="1024" w:type="dxa"/>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3</w:t>
            </w:r>
          </w:p>
        </w:tc>
        <w:tc>
          <w:tcPr>
            <w:tcW w:w="1822" w:type="dxa"/>
            <w:vMerge w:val="restart"/>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综合维修日</w:t>
            </w:r>
          </w:p>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常维护费</w:t>
            </w:r>
          </w:p>
        </w:tc>
        <w:tc>
          <w:tcPr>
            <w:tcW w:w="1752" w:type="dxa"/>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电梯维保</w:t>
            </w:r>
          </w:p>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（含年检送检服务）</w:t>
            </w:r>
          </w:p>
        </w:tc>
        <w:tc>
          <w:tcPr>
            <w:tcW w:w="1779" w:type="dxa"/>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722" w:type="dxa"/>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626" w:hRule="atLeast"/>
          <w:jc w:val="center"/>
        </w:trPr>
        <w:tc>
          <w:tcPr>
            <w:tcW w:w="1024" w:type="dxa"/>
            <w:shd w:val="clear" w:color="auto" w:fill="auto"/>
            <w:vAlign w:val="center"/>
          </w:tcPr>
          <w:p>
            <w:pPr>
              <w:keepNext w:val="0"/>
              <w:keepLines w:val="0"/>
              <w:widowControl/>
              <w:suppressLineNumbers w:val="0"/>
              <w:shd w:val="clear"/>
              <w:jc w:val="center"/>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4</w:t>
            </w:r>
          </w:p>
        </w:tc>
        <w:tc>
          <w:tcPr>
            <w:tcW w:w="1822" w:type="dxa"/>
            <w:vMerge w:val="continue"/>
            <w:shd w:val="clear" w:color="auto" w:fill="auto"/>
            <w:vAlign w:val="center"/>
          </w:tcPr>
          <w:p>
            <w:pPr>
              <w:shd w:val="clear"/>
              <w:jc w:val="center"/>
              <w:rPr>
                <w:rFonts w:hint="eastAsia" w:ascii="仿宋" w:hAnsi="仿宋" w:eastAsia="仿宋" w:cs="仿宋"/>
                <w:i w:val="0"/>
                <w:iCs w:val="0"/>
                <w:color w:val="000000"/>
                <w:sz w:val="21"/>
                <w:szCs w:val="21"/>
                <w:highlight w:val="none"/>
                <w:u w:val="none"/>
              </w:rPr>
            </w:pPr>
          </w:p>
        </w:tc>
        <w:tc>
          <w:tcPr>
            <w:tcW w:w="1752" w:type="dxa"/>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二次供水检测及清</w:t>
            </w:r>
          </w:p>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洗消毒费用</w:t>
            </w:r>
          </w:p>
        </w:tc>
        <w:tc>
          <w:tcPr>
            <w:tcW w:w="1779" w:type="dxa"/>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722" w:type="dxa"/>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626" w:hRule="atLeast"/>
          <w:jc w:val="center"/>
        </w:trPr>
        <w:tc>
          <w:tcPr>
            <w:tcW w:w="1024" w:type="dxa"/>
            <w:shd w:val="clear" w:color="auto" w:fill="auto"/>
            <w:vAlign w:val="center"/>
          </w:tcPr>
          <w:p>
            <w:pPr>
              <w:keepNext w:val="0"/>
              <w:keepLines w:val="0"/>
              <w:widowControl/>
              <w:suppressLineNumbers w:val="0"/>
              <w:shd w:val="clear"/>
              <w:jc w:val="center"/>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1822" w:type="dxa"/>
            <w:vMerge w:val="continue"/>
            <w:shd w:val="clear" w:color="auto" w:fill="auto"/>
            <w:vAlign w:val="center"/>
          </w:tcPr>
          <w:p>
            <w:pPr>
              <w:shd w:val="clear"/>
              <w:jc w:val="center"/>
              <w:rPr>
                <w:rFonts w:hint="eastAsia" w:ascii="仿宋" w:hAnsi="仿宋" w:eastAsia="仿宋" w:cs="仿宋"/>
                <w:i w:val="0"/>
                <w:iCs w:val="0"/>
                <w:color w:val="000000"/>
                <w:sz w:val="21"/>
                <w:szCs w:val="21"/>
                <w:highlight w:val="none"/>
                <w:u w:val="none"/>
              </w:rPr>
            </w:pPr>
          </w:p>
        </w:tc>
        <w:tc>
          <w:tcPr>
            <w:tcW w:w="1752" w:type="dxa"/>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化粪池</w:t>
            </w:r>
          </w:p>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清理维护费用</w:t>
            </w:r>
          </w:p>
        </w:tc>
        <w:tc>
          <w:tcPr>
            <w:tcW w:w="1779" w:type="dxa"/>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722" w:type="dxa"/>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602" w:hRule="atLeast"/>
          <w:jc w:val="center"/>
        </w:trPr>
        <w:tc>
          <w:tcPr>
            <w:tcW w:w="1024" w:type="dxa"/>
            <w:shd w:val="clear" w:color="auto" w:fill="auto"/>
            <w:vAlign w:val="center"/>
          </w:tcPr>
          <w:p>
            <w:pPr>
              <w:keepNext w:val="0"/>
              <w:keepLines w:val="0"/>
              <w:widowControl/>
              <w:suppressLineNumbers w:val="0"/>
              <w:shd w:val="clear"/>
              <w:jc w:val="center"/>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6</w:t>
            </w:r>
          </w:p>
        </w:tc>
        <w:tc>
          <w:tcPr>
            <w:tcW w:w="1822" w:type="dxa"/>
            <w:vMerge w:val="continue"/>
            <w:shd w:val="clear" w:color="auto" w:fill="auto"/>
            <w:vAlign w:val="center"/>
          </w:tcPr>
          <w:p>
            <w:pPr>
              <w:shd w:val="clear"/>
              <w:jc w:val="center"/>
              <w:rPr>
                <w:rFonts w:hint="eastAsia" w:ascii="仿宋" w:hAnsi="仿宋" w:eastAsia="仿宋" w:cs="仿宋"/>
                <w:i w:val="0"/>
                <w:iCs w:val="0"/>
                <w:color w:val="000000"/>
                <w:sz w:val="21"/>
                <w:szCs w:val="21"/>
                <w:highlight w:val="none"/>
                <w:u w:val="none"/>
              </w:rPr>
            </w:pPr>
          </w:p>
        </w:tc>
        <w:tc>
          <w:tcPr>
            <w:tcW w:w="1752" w:type="dxa"/>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消防系统</w:t>
            </w:r>
          </w:p>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维保费</w:t>
            </w:r>
          </w:p>
        </w:tc>
        <w:tc>
          <w:tcPr>
            <w:tcW w:w="1779" w:type="dxa"/>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722" w:type="dxa"/>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602" w:hRule="atLeast"/>
          <w:jc w:val="center"/>
        </w:trPr>
        <w:tc>
          <w:tcPr>
            <w:tcW w:w="1024" w:type="dxa"/>
            <w:shd w:val="clear" w:color="auto" w:fill="auto"/>
            <w:vAlign w:val="center"/>
          </w:tcPr>
          <w:p>
            <w:pPr>
              <w:keepNext w:val="0"/>
              <w:keepLines w:val="0"/>
              <w:widowControl/>
              <w:suppressLineNumbers w:val="0"/>
              <w:shd w:val="clear"/>
              <w:jc w:val="center"/>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7</w:t>
            </w:r>
          </w:p>
        </w:tc>
        <w:tc>
          <w:tcPr>
            <w:tcW w:w="1822" w:type="dxa"/>
            <w:vMerge w:val="continue"/>
            <w:shd w:val="clear" w:color="auto" w:fill="auto"/>
            <w:vAlign w:val="center"/>
          </w:tcPr>
          <w:p>
            <w:pPr>
              <w:shd w:val="clear"/>
              <w:jc w:val="center"/>
              <w:rPr>
                <w:rFonts w:hint="eastAsia" w:ascii="仿宋" w:hAnsi="仿宋" w:eastAsia="仿宋" w:cs="仿宋"/>
                <w:i w:val="0"/>
                <w:iCs w:val="0"/>
                <w:color w:val="000000"/>
                <w:sz w:val="21"/>
                <w:szCs w:val="21"/>
                <w:highlight w:val="none"/>
                <w:u w:val="none"/>
              </w:rPr>
            </w:pPr>
          </w:p>
        </w:tc>
        <w:tc>
          <w:tcPr>
            <w:tcW w:w="1752" w:type="dxa"/>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避雷系统</w:t>
            </w:r>
          </w:p>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检测费</w:t>
            </w:r>
          </w:p>
        </w:tc>
        <w:tc>
          <w:tcPr>
            <w:tcW w:w="1779" w:type="dxa"/>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722" w:type="dxa"/>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626" w:hRule="atLeast"/>
          <w:jc w:val="center"/>
        </w:trPr>
        <w:tc>
          <w:tcPr>
            <w:tcW w:w="1024" w:type="dxa"/>
            <w:shd w:val="clear" w:color="auto" w:fill="auto"/>
            <w:vAlign w:val="center"/>
          </w:tcPr>
          <w:p>
            <w:pPr>
              <w:keepNext w:val="0"/>
              <w:keepLines w:val="0"/>
              <w:widowControl/>
              <w:suppressLineNumbers w:val="0"/>
              <w:shd w:val="clear"/>
              <w:jc w:val="center"/>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9</w:t>
            </w:r>
          </w:p>
        </w:tc>
        <w:tc>
          <w:tcPr>
            <w:tcW w:w="1822" w:type="dxa"/>
            <w:vMerge w:val="restart"/>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共用设施设备</w:t>
            </w:r>
          </w:p>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日常能耗费</w:t>
            </w:r>
          </w:p>
        </w:tc>
        <w:tc>
          <w:tcPr>
            <w:tcW w:w="1752" w:type="dxa"/>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公共照明及其</w:t>
            </w:r>
          </w:p>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他设施能耗电费</w:t>
            </w:r>
          </w:p>
        </w:tc>
        <w:tc>
          <w:tcPr>
            <w:tcW w:w="1779" w:type="dxa"/>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722" w:type="dxa"/>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602" w:hRule="atLeast"/>
          <w:jc w:val="center"/>
        </w:trPr>
        <w:tc>
          <w:tcPr>
            <w:tcW w:w="1024" w:type="dxa"/>
            <w:shd w:val="clear" w:color="auto" w:fill="auto"/>
            <w:vAlign w:val="center"/>
          </w:tcPr>
          <w:p>
            <w:pPr>
              <w:keepNext w:val="0"/>
              <w:keepLines w:val="0"/>
              <w:widowControl/>
              <w:suppressLineNumbers w:val="0"/>
              <w:shd w:val="clear"/>
              <w:jc w:val="center"/>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10</w:t>
            </w:r>
          </w:p>
        </w:tc>
        <w:tc>
          <w:tcPr>
            <w:tcW w:w="1822" w:type="dxa"/>
            <w:vMerge w:val="continue"/>
            <w:shd w:val="clear" w:color="auto" w:fill="auto"/>
            <w:vAlign w:val="center"/>
          </w:tcPr>
          <w:p>
            <w:pPr>
              <w:shd w:val="clear"/>
              <w:jc w:val="center"/>
              <w:rPr>
                <w:rFonts w:hint="eastAsia" w:ascii="仿宋" w:hAnsi="仿宋" w:eastAsia="仿宋" w:cs="仿宋"/>
                <w:i w:val="0"/>
                <w:iCs w:val="0"/>
                <w:color w:val="000000"/>
                <w:sz w:val="21"/>
                <w:szCs w:val="21"/>
                <w:highlight w:val="none"/>
                <w:u w:val="none"/>
              </w:rPr>
            </w:pPr>
          </w:p>
        </w:tc>
        <w:tc>
          <w:tcPr>
            <w:tcW w:w="1752" w:type="dxa"/>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电梯电费</w:t>
            </w:r>
          </w:p>
        </w:tc>
        <w:tc>
          <w:tcPr>
            <w:tcW w:w="1779" w:type="dxa"/>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722" w:type="dxa"/>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626" w:hRule="atLeast"/>
          <w:jc w:val="center"/>
        </w:trPr>
        <w:tc>
          <w:tcPr>
            <w:tcW w:w="1024" w:type="dxa"/>
            <w:shd w:val="clear" w:color="auto" w:fill="auto"/>
            <w:vAlign w:val="center"/>
          </w:tcPr>
          <w:p>
            <w:pPr>
              <w:keepNext w:val="0"/>
              <w:keepLines w:val="0"/>
              <w:widowControl/>
              <w:suppressLineNumbers w:val="0"/>
              <w:shd w:val="clear"/>
              <w:jc w:val="center"/>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11</w:t>
            </w:r>
          </w:p>
        </w:tc>
        <w:tc>
          <w:tcPr>
            <w:tcW w:w="1822" w:type="dxa"/>
            <w:vMerge w:val="continue"/>
            <w:shd w:val="clear" w:color="auto" w:fill="auto"/>
            <w:vAlign w:val="center"/>
          </w:tcPr>
          <w:p>
            <w:pPr>
              <w:shd w:val="clear"/>
              <w:jc w:val="center"/>
              <w:rPr>
                <w:rFonts w:hint="eastAsia" w:ascii="仿宋" w:hAnsi="仿宋" w:eastAsia="仿宋" w:cs="仿宋"/>
                <w:i w:val="0"/>
                <w:iCs w:val="0"/>
                <w:color w:val="000000"/>
                <w:sz w:val="21"/>
                <w:szCs w:val="21"/>
                <w:highlight w:val="none"/>
                <w:u w:val="none"/>
              </w:rPr>
            </w:pPr>
          </w:p>
        </w:tc>
        <w:tc>
          <w:tcPr>
            <w:tcW w:w="1752" w:type="dxa"/>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保洁绿化</w:t>
            </w:r>
          </w:p>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用水费用</w:t>
            </w:r>
          </w:p>
        </w:tc>
        <w:tc>
          <w:tcPr>
            <w:tcW w:w="1779" w:type="dxa"/>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722" w:type="dxa"/>
            <w:shd w:val="clear" w:color="auto" w:fill="auto"/>
            <w:vAlign w:val="center"/>
          </w:tcPr>
          <w:p>
            <w:pPr>
              <w:shd w:val="clear"/>
              <w:jc w:val="center"/>
              <w:rPr>
                <w:rFonts w:hint="eastAsia" w:ascii="仿宋" w:hAnsi="仿宋" w:eastAsia="仿宋" w:cs="仿宋"/>
                <w:i w:val="0"/>
                <w:iCs w:val="0"/>
                <w:color w:val="000000"/>
                <w:sz w:val="21"/>
                <w:szCs w:val="21"/>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602" w:hRule="atLeast"/>
          <w:jc w:val="center"/>
        </w:trPr>
        <w:tc>
          <w:tcPr>
            <w:tcW w:w="1024" w:type="dxa"/>
            <w:shd w:val="clear" w:color="auto" w:fill="auto"/>
            <w:vAlign w:val="center"/>
          </w:tcPr>
          <w:p>
            <w:pPr>
              <w:keepNext w:val="0"/>
              <w:keepLines w:val="0"/>
              <w:widowControl/>
              <w:suppressLineNumbers w:val="0"/>
              <w:shd w:val="clear"/>
              <w:jc w:val="center"/>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12</w:t>
            </w:r>
          </w:p>
        </w:tc>
        <w:tc>
          <w:tcPr>
            <w:tcW w:w="1822" w:type="dxa"/>
            <w:vMerge w:val="restart"/>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法定计提</w:t>
            </w:r>
          </w:p>
        </w:tc>
        <w:tc>
          <w:tcPr>
            <w:tcW w:w="1752" w:type="dxa"/>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工会经费</w:t>
            </w:r>
          </w:p>
        </w:tc>
        <w:tc>
          <w:tcPr>
            <w:tcW w:w="1779" w:type="dxa"/>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722" w:type="dxa"/>
            <w:shd w:val="clear" w:color="auto" w:fill="auto"/>
            <w:vAlign w:val="center"/>
          </w:tcPr>
          <w:p>
            <w:pPr>
              <w:shd w:val="clear"/>
              <w:jc w:val="center"/>
              <w:rPr>
                <w:rFonts w:hint="eastAsia" w:ascii="仿宋" w:hAnsi="仿宋" w:eastAsia="仿宋" w:cs="仿宋"/>
                <w:i w:val="0"/>
                <w:iCs w:val="0"/>
                <w:color w:val="000000"/>
                <w:sz w:val="21"/>
                <w:szCs w:val="21"/>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602" w:hRule="atLeast"/>
          <w:jc w:val="center"/>
        </w:trPr>
        <w:tc>
          <w:tcPr>
            <w:tcW w:w="1024" w:type="dxa"/>
            <w:shd w:val="clear" w:color="auto" w:fill="auto"/>
            <w:vAlign w:val="center"/>
          </w:tcPr>
          <w:p>
            <w:pPr>
              <w:keepNext w:val="0"/>
              <w:keepLines w:val="0"/>
              <w:widowControl/>
              <w:suppressLineNumbers w:val="0"/>
              <w:shd w:val="clear"/>
              <w:jc w:val="center"/>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13</w:t>
            </w:r>
          </w:p>
        </w:tc>
        <w:tc>
          <w:tcPr>
            <w:tcW w:w="1822" w:type="dxa"/>
            <w:vMerge w:val="continue"/>
            <w:shd w:val="clear" w:color="auto" w:fill="auto"/>
            <w:vAlign w:val="center"/>
          </w:tcPr>
          <w:p>
            <w:pPr>
              <w:shd w:val="clear"/>
              <w:jc w:val="center"/>
              <w:rPr>
                <w:rFonts w:hint="eastAsia" w:ascii="仿宋" w:hAnsi="仿宋" w:eastAsia="仿宋" w:cs="仿宋"/>
                <w:i w:val="0"/>
                <w:iCs w:val="0"/>
                <w:color w:val="000000"/>
                <w:sz w:val="21"/>
                <w:szCs w:val="21"/>
                <w:highlight w:val="none"/>
                <w:u w:val="none"/>
              </w:rPr>
            </w:pPr>
          </w:p>
        </w:tc>
        <w:tc>
          <w:tcPr>
            <w:tcW w:w="1752" w:type="dxa"/>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教育经费</w:t>
            </w:r>
          </w:p>
        </w:tc>
        <w:tc>
          <w:tcPr>
            <w:tcW w:w="1779" w:type="dxa"/>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722" w:type="dxa"/>
            <w:shd w:val="clear" w:color="auto" w:fill="auto"/>
            <w:vAlign w:val="center"/>
          </w:tcPr>
          <w:p>
            <w:pPr>
              <w:shd w:val="clear"/>
              <w:jc w:val="center"/>
              <w:rPr>
                <w:rFonts w:hint="eastAsia" w:ascii="仿宋" w:hAnsi="仿宋" w:eastAsia="仿宋" w:cs="仿宋"/>
                <w:i w:val="0"/>
                <w:iCs w:val="0"/>
                <w:color w:val="000000"/>
                <w:sz w:val="21"/>
                <w:szCs w:val="21"/>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626" w:hRule="atLeast"/>
          <w:jc w:val="center"/>
        </w:trPr>
        <w:tc>
          <w:tcPr>
            <w:tcW w:w="1024" w:type="dxa"/>
            <w:shd w:val="clear" w:color="auto" w:fill="auto"/>
            <w:vAlign w:val="center"/>
          </w:tcPr>
          <w:p>
            <w:pPr>
              <w:keepNext w:val="0"/>
              <w:keepLines w:val="0"/>
              <w:widowControl/>
              <w:suppressLineNumbers w:val="0"/>
              <w:shd w:val="clear"/>
              <w:jc w:val="center"/>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14</w:t>
            </w:r>
          </w:p>
        </w:tc>
        <w:tc>
          <w:tcPr>
            <w:tcW w:w="1822" w:type="dxa"/>
            <w:vMerge w:val="continue"/>
            <w:shd w:val="clear" w:color="auto" w:fill="auto"/>
            <w:vAlign w:val="center"/>
          </w:tcPr>
          <w:p>
            <w:pPr>
              <w:shd w:val="clear"/>
              <w:jc w:val="center"/>
              <w:rPr>
                <w:rFonts w:hint="eastAsia" w:ascii="仿宋" w:hAnsi="仿宋" w:eastAsia="仿宋" w:cs="仿宋"/>
                <w:i w:val="0"/>
                <w:iCs w:val="0"/>
                <w:color w:val="000000"/>
                <w:sz w:val="21"/>
                <w:szCs w:val="21"/>
                <w:highlight w:val="none"/>
                <w:u w:val="none"/>
              </w:rPr>
            </w:pPr>
          </w:p>
        </w:tc>
        <w:tc>
          <w:tcPr>
            <w:tcW w:w="1752" w:type="dxa"/>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残疾人</w:t>
            </w:r>
          </w:p>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就业保障金</w:t>
            </w:r>
          </w:p>
        </w:tc>
        <w:tc>
          <w:tcPr>
            <w:tcW w:w="1779" w:type="dxa"/>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722" w:type="dxa"/>
            <w:shd w:val="clear" w:color="auto" w:fill="auto"/>
            <w:vAlign w:val="center"/>
          </w:tcPr>
          <w:p>
            <w:pPr>
              <w:shd w:val="clear"/>
              <w:jc w:val="center"/>
              <w:rPr>
                <w:rFonts w:hint="eastAsia" w:ascii="仿宋" w:hAnsi="仿宋" w:eastAsia="仿宋" w:cs="仿宋"/>
                <w:i w:val="0"/>
                <w:iCs w:val="0"/>
                <w:color w:val="000000"/>
                <w:sz w:val="21"/>
                <w:szCs w:val="21"/>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602" w:hRule="atLeast"/>
          <w:jc w:val="center"/>
        </w:trPr>
        <w:tc>
          <w:tcPr>
            <w:tcW w:w="1024" w:type="dxa"/>
            <w:shd w:val="clear" w:color="auto" w:fill="auto"/>
            <w:vAlign w:val="center"/>
          </w:tcPr>
          <w:p>
            <w:pPr>
              <w:keepNext w:val="0"/>
              <w:keepLines w:val="0"/>
              <w:widowControl/>
              <w:suppressLineNumbers w:val="0"/>
              <w:shd w:val="clear"/>
              <w:jc w:val="center"/>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15</w:t>
            </w:r>
          </w:p>
        </w:tc>
        <w:tc>
          <w:tcPr>
            <w:tcW w:w="1822" w:type="dxa"/>
            <w:vMerge w:val="continue"/>
            <w:shd w:val="clear" w:color="auto" w:fill="auto"/>
            <w:vAlign w:val="center"/>
          </w:tcPr>
          <w:p>
            <w:pPr>
              <w:shd w:val="clear"/>
              <w:jc w:val="center"/>
              <w:rPr>
                <w:rFonts w:hint="eastAsia" w:ascii="仿宋" w:hAnsi="仿宋" w:eastAsia="仿宋" w:cs="仿宋"/>
                <w:i w:val="0"/>
                <w:iCs w:val="0"/>
                <w:color w:val="000000"/>
                <w:sz w:val="21"/>
                <w:szCs w:val="21"/>
                <w:highlight w:val="none"/>
                <w:u w:val="none"/>
              </w:rPr>
            </w:pPr>
          </w:p>
        </w:tc>
        <w:tc>
          <w:tcPr>
            <w:tcW w:w="1752" w:type="dxa"/>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公积金</w:t>
            </w:r>
          </w:p>
        </w:tc>
        <w:tc>
          <w:tcPr>
            <w:tcW w:w="1779" w:type="dxa"/>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722" w:type="dxa"/>
            <w:shd w:val="clear" w:color="auto" w:fill="auto"/>
            <w:vAlign w:val="center"/>
          </w:tcPr>
          <w:p>
            <w:pPr>
              <w:shd w:val="clear"/>
              <w:jc w:val="center"/>
              <w:rPr>
                <w:rFonts w:hint="eastAsia" w:ascii="仿宋" w:hAnsi="仿宋" w:eastAsia="仿宋" w:cs="仿宋"/>
                <w:i w:val="0"/>
                <w:iCs w:val="0"/>
                <w:color w:val="000000"/>
                <w:sz w:val="21"/>
                <w:szCs w:val="21"/>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602" w:hRule="atLeast"/>
          <w:jc w:val="center"/>
        </w:trPr>
        <w:tc>
          <w:tcPr>
            <w:tcW w:w="1024" w:type="dxa"/>
            <w:shd w:val="clear" w:color="auto" w:fill="auto"/>
            <w:vAlign w:val="center"/>
          </w:tcPr>
          <w:p>
            <w:pPr>
              <w:keepNext w:val="0"/>
              <w:keepLines w:val="0"/>
              <w:widowControl/>
              <w:suppressLineNumbers w:val="0"/>
              <w:shd w:val="clear"/>
              <w:jc w:val="center"/>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16</w:t>
            </w:r>
          </w:p>
        </w:tc>
        <w:tc>
          <w:tcPr>
            <w:tcW w:w="3574" w:type="dxa"/>
            <w:gridSpan w:val="2"/>
            <w:shd w:val="clear" w:color="auto" w:fill="auto"/>
            <w:vAlign w:val="center"/>
          </w:tcPr>
          <w:p>
            <w:pPr>
              <w:shd w:val="clear"/>
              <w:jc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高温津贴</w:t>
            </w:r>
          </w:p>
        </w:tc>
        <w:tc>
          <w:tcPr>
            <w:tcW w:w="1779" w:type="dxa"/>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722" w:type="dxa"/>
            <w:shd w:val="clear" w:color="auto" w:fill="auto"/>
            <w:vAlign w:val="center"/>
          </w:tcPr>
          <w:p>
            <w:pPr>
              <w:shd w:val="clear"/>
              <w:jc w:val="center"/>
              <w:rPr>
                <w:rFonts w:hint="eastAsia" w:ascii="仿宋" w:hAnsi="仿宋" w:eastAsia="仿宋" w:cs="仿宋"/>
                <w:i w:val="0"/>
                <w:iCs w:val="0"/>
                <w:color w:val="000000"/>
                <w:sz w:val="21"/>
                <w:szCs w:val="21"/>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602" w:hRule="atLeast"/>
          <w:jc w:val="center"/>
        </w:trPr>
        <w:tc>
          <w:tcPr>
            <w:tcW w:w="1024" w:type="dxa"/>
            <w:shd w:val="clear" w:color="auto" w:fill="auto"/>
            <w:vAlign w:val="center"/>
          </w:tcPr>
          <w:p>
            <w:pPr>
              <w:keepNext w:val="0"/>
              <w:keepLines w:val="0"/>
              <w:widowControl/>
              <w:suppressLineNumbers w:val="0"/>
              <w:shd w:val="clear"/>
              <w:jc w:val="center"/>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17</w:t>
            </w:r>
          </w:p>
        </w:tc>
        <w:tc>
          <w:tcPr>
            <w:tcW w:w="3574" w:type="dxa"/>
            <w:gridSpan w:val="2"/>
            <w:shd w:val="clear" w:color="auto" w:fill="auto"/>
            <w:vAlign w:val="center"/>
          </w:tcPr>
          <w:p>
            <w:pPr>
              <w:shd w:val="clear"/>
              <w:jc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奖金</w:t>
            </w:r>
          </w:p>
        </w:tc>
        <w:tc>
          <w:tcPr>
            <w:tcW w:w="1779" w:type="dxa"/>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722" w:type="dxa"/>
            <w:shd w:val="clear" w:color="auto" w:fill="auto"/>
            <w:vAlign w:val="center"/>
          </w:tcPr>
          <w:p>
            <w:pPr>
              <w:shd w:val="clear"/>
              <w:jc w:val="center"/>
              <w:rPr>
                <w:rFonts w:hint="eastAsia" w:ascii="仿宋" w:hAnsi="仿宋" w:eastAsia="仿宋" w:cs="仿宋"/>
                <w:i w:val="0"/>
                <w:iCs w:val="0"/>
                <w:color w:val="000000"/>
                <w:sz w:val="21"/>
                <w:szCs w:val="21"/>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918" w:hRule="atLeast"/>
          <w:jc w:val="center"/>
        </w:trPr>
        <w:tc>
          <w:tcPr>
            <w:tcW w:w="1024" w:type="dxa"/>
            <w:shd w:val="clear" w:color="auto" w:fill="auto"/>
            <w:vAlign w:val="center"/>
          </w:tcPr>
          <w:p>
            <w:pPr>
              <w:keepNext w:val="0"/>
              <w:keepLines w:val="0"/>
              <w:widowControl/>
              <w:suppressLineNumbers w:val="0"/>
              <w:shd w:val="clear"/>
              <w:jc w:val="center"/>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18</w:t>
            </w:r>
          </w:p>
        </w:tc>
        <w:tc>
          <w:tcPr>
            <w:tcW w:w="3574" w:type="dxa"/>
            <w:gridSpan w:val="2"/>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招标文件要求由</w:t>
            </w:r>
          </w:p>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供应商承担的其他费用</w:t>
            </w:r>
          </w:p>
        </w:tc>
        <w:tc>
          <w:tcPr>
            <w:tcW w:w="1779" w:type="dxa"/>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722" w:type="dxa"/>
            <w:shd w:val="clear" w:color="auto" w:fill="auto"/>
            <w:vAlign w:val="center"/>
          </w:tcPr>
          <w:p>
            <w:pPr>
              <w:shd w:val="clear"/>
              <w:jc w:val="center"/>
              <w:rPr>
                <w:rFonts w:hint="eastAsia" w:ascii="仿宋" w:hAnsi="仿宋" w:eastAsia="仿宋" w:cs="仿宋"/>
                <w:i w:val="0"/>
                <w:iCs w:val="0"/>
                <w:color w:val="000000"/>
                <w:sz w:val="21"/>
                <w:szCs w:val="21"/>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612" w:hRule="atLeast"/>
          <w:jc w:val="center"/>
        </w:trPr>
        <w:tc>
          <w:tcPr>
            <w:tcW w:w="4598" w:type="dxa"/>
            <w:gridSpan w:val="3"/>
            <w:shd w:val="clear" w:color="auto" w:fill="auto"/>
            <w:vAlign w:val="center"/>
          </w:tcPr>
          <w:p>
            <w:pPr>
              <w:keepNext w:val="0"/>
              <w:keepLines w:val="0"/>
              <w:widowControl/>
              <w:suppressLineNumbers w:val="0"/>
              <w:shd w:val="clear"/>
              <w:jc w:val="center"/>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本项合计（元/年）</w:t>
            </w:r>
          </w:p>
        </w:tc>
        <w:tc>
          <w:tcPr>
            <w:tcW w:w="1779" w:type="dxa"/>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722" w:type="dxa"/>
            <w:shd w:val="clear" w:color="auto" w:fill="auto"/>
            <w:vAlign w:val="center"/>
          </w:tcPr>
          <w:p>
            <w:pPr>
              <w:shd w:val="clear"/>
              <w:jc w:val="center"/>
              <w:rPr>
                <w:rFonts w:hint="eastAsia" w:ascii="仿宋" w:hAnsi="仿宋" w:eastAsia="仿宋" w:cs="仿宋"/>
                <w:i w:val="0"/>
                <w:iCs w:val="0"/>
                <w:color w:val="000000"/>
                <w:sz w:val="21"/>
                <w:szCs w:val="21"/>
                <w:highlight w:val="none"/>
                <w:u w:val="none"/>
              </w:rPr>
            </w:pPr>
          </w:p>
        </w:tc>
      </w:tr>
    </w:tbl>
    <w:p>
      <w:pPr>
        <w:pStyle w:val="8"/>
        <w:shd w:val="clear"/>
        <w:jc w:val="both"/>
        <w:rPr>
          <w:rFonts w:hint="eastAsia" w:ascii="仿宋" w:hAnsi="仿宋" w:eastAsia="仿宋" w:cs="仿宋"/>
          <w:b/>
          <w:bCs/>
          <w:i w:val="0"/>
          <w:iCs w:val="0"/>
          <w:color w:val="000000"/>
          <w:kern w:val="0"/>
          <w:sz w:val="21"/>
          <w:szCs w:val="21"/>
          <w:highlight w:val="none"/>
          <w:u w:val="none"/>
          <w:lang w:val="en-US" w:eastAsia="zh-CN" w:bidi="ar"/>
        </w:rPr>
      </w:pPr>
    </w:p>
    <w:p>
      <w:pPr>
        <w:pStyle w:val="8"/>
        <w:shd w:val="clear"/>
        <w:jc w:val="both"/>
        <w:rPr>
          <w:rFonts w:hint="eastAsia" w:ascii="仿宋" w:hAnsi="仿宋" w:eastAsia="仿宋" w:cs="仿宋"/>
          <w:highlight w:val="none"/>
        </w:rPr>
      </w:pPr>
      <w:r>
        <w:rPr>
          <w:rFonts w:hint="eastAsia" w:ascii="仿宋" w:hAnsi="仿宋" w:eastAsia="仿宋" w:cs="仿宋"/>
          <w:b/>
          <w:bCs/>
          <w:i w:val="0"/>
          <w:iCs w:val="0"/>
          <w:color w:val="000000"/>
          <w:kern w:val="0"/>
          <w:sz w:val="21"/>
          <w:szCs w:val="21"/>
          <w:highlight w:val="none"/>
          <w:u w:val="none"/>
          <w:lang w:val="en-US" w:eastAsia="zh-CN" w:bidi="ar"/>
        </w:rPr>
        <w:t>四、管理费、利润及税费</w:t>
      </w:r>
    </w:p>
    <w:tbl>
      <w:tblPr>
        <w:tblStyle w:val="6"/>
        <w:tblW w:w="8159"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32"/>
        <w:gridCol w:w="1835"/>
        <w:gridCol w:w="1765"/>
        <w:gridCol w:w="1792"/>
        <w:gridCol w:w="17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91" w:hRule="atLeast"/>
          <w:jc w:val="center"/>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序号</w:t>
            </w:r>
          </w:p>
        </w:tc>
        <w:tc>
          <w:tcPr>
            <w:tcW w:w="3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费用类别</w:t>
            </w:r>
          </w:p>
        </w:tc>
        <w:tc>
          <w:tcPr>
            <w:tcW w:w="1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金额（元/年）</w:t>
            </w: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91" w:hRule="atLeast"/>
          <w:jc w:val="center"/>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w:t>
            </w:r>
          </w:p>
        </w:tc>
        <w:tc>
          <w:tcPr>
            <w:tcW w:w="3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管理费</w:t>
            </w:r>
          </w:p>
        </w:tc>
        <w:tc>
          <w:tcPr>
            <w:tcW w:w="1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仿宋" w:hAnsi="仿宋" w:eastAsia="仿宋" w:cs="仿宋"/>
                <w:i w:val="0"/>
                <w:iCs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91" w:hRule="atLeast"/>
          <w:jc w:val="center"/>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2</w:t>
            </w:r>
          </w:p>
        </w:tc>
        <w:tc>
          <w:tcPr>
            <w:tcW w:w="3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利润</w:t>
            </w:r>
          </w:p>
        </w:tc>
        <w:tc>
          <w:tcPr>
            <w:tcW w:w="1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仿宋" w:hAnsi="仿宋" w:eastAsia="仿宋" w:cs="仿宋"/>
                <w:i w:val="0"/>
                <w:iCs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823" w:hRule="atLeast"/>
          <w:jc w:val="center"/>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3</w:t>
            </w:r>
          </w:p>
        </w:tc>
        <w:tc>
          <w:tcPr>
            <w:tcW w:w="3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税费</w:t>
            </w:r>
          </w:p>
        </w:tc>
        <w:tc>
          <w:tcPr>
            <w:tcW w:w="1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default" w:ascii="仿宋" w:hAnsi="仿宋" w:eastAsia="仿宋" w:cs="仿宋"/>
                <w:i w:val="0"/>
                <w:iCs w:val="0"/>
                <w:color w:val="000000"/>
                <w:sz w:val="21"/>
                <w:szCs w:val="21"/>
                <w:highlight w:val="none"/>
                <w:u w:val="none"/>
                <w:lang w:val="en-US"/>
              </w:rPr>
            </w:pPr>
            <w:r>
              <w:rPr>
                <w:rFonts w:hint="eastAsia" w:ascii="仿宋" w:hAnsi="仿宋" w:eastAsia="仿宋" w:cs="仿宋"/>
                <w:i w:val="0"/>
                <w:iCs w:val="0"/>
                <w:color w:val="000000"/>
                <w:kern w:val="0"/>
                <w:sz w:val="21"/>
                <w:szCs w:val="21"/>
                <w:highlight w:val="none"/>
                <w:u w:val="none"/>
                <w:lang w:val="en-US" w:eastAsia="zh-CN" w:bidi="ar"/>
              </w:rPr>
              <w:t>增值税纳税人身份</w:t>
            </w:r>
            <w:r>
              <w:rPr>
                <w:rFonts w:hint="eastAsia" w:ascii="仿宋" w:hAnsi="仿宋" w:eastAsia="仿宋" w:cs="仿宋"/>
                <w:i w:val="0"/>
                <w:iCs w:val="0"/>
                <w:color w:val="000000"/>
                <w:kern w:val="0"/>
                <w:sz w:val="21"/>
                <w:szCs w:val="21"/>
                <w:highlight w:val="none"/>
                <w:u w:val="single"/>
                <w:lang w:val="en-US" w:eastAsia="zh-CN" w:bidi="ar"/>
              </w:rPr>
              <w:t xml:space="preserve">：    </w:t>
            </w:r>
            <w:r>
              <w:rPr>
                <w:rFonts w:hint="eastAsia" w:ascii="仿宋" w:hAnsi="仿宋" w:eastAsia="仿宋" w:cs="仿宋"/>
                <w:i w:val="0"/>
                <w:iCs w:val="0"/>
                <w:color w:val="000000"/>
                <w:kern w:val="0"/>
                <w:sz w:val="21"/>
                <w:szCs w:val="21"/>
                <w:highlight w:val="none"/>
                <w:u w:val="none"/>
                <w:lang w:val="en-US" w:eastAsia="zh-CN" w:bidi="ar"/>
              </w:rPr>
              <w:t>，增值税税率</w:t>
            </w:r>
            <w:r>
              <w:rPr>
                <w:rFonts w:hint="eastAsia" w:ascii="仿宋" w:hAnsi="仿宋" w:eastAsia="仿宋" w:cs="仿宋"/>
                <w:i w:val="0"/>
                <w:iCs w:val="0"/>
                <w:color w:val="000000"/>
                <w:kern w:val="0"/>
                <w:sz w:val="21"/>
                <w:szCs w:val="21"/>
                <w:highlight w:val="none"/>
                <w:u w:val="single"/>
                <w:lang w:val="en-US" w:eastAsia="zh-CN" w:bidi="ar"/>
              </w:rPr>
              <w:t xml:space="preserve">   </w:t>
            </w:r>
            <w:r>
              <w:rPr>
                <w:rFonts w:hint="eastAsia" w:ascii="仿宋" w:hAnsi="仿宋" w:eastAsia="仿宋" w:cs="仿宋"/>
                <w:i w:val="0"/>
                <w:iCs w:val="0"/>
                <w:color w:val="000000"/>
                <w:kern w:val="0"/>
                <w:sz w:val="21"/>
                <w:szCs w:val="21"/>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36" w:hRule="atLeast"/>
          <w:jc w:val="center"/>
        </w:trPr>
        <w:tc>
          <w:tcPr>
            <w:tcW w:w="28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b/>
                <w:bCs/>
                <w:i w:val="0"/>
                <w:iCs w:val="0"/>
                <w:color w:val="000000"/>
                <w:sz w:val="21"/>
                <w:szCs w:val="21"/>
                <w:highlight w:val="none"/>
                <w:u w:val="none"/>
              </w:rPr>
            </w:pPr>
            <w:r>
              <w:rPr>
                <w:rFonts w:hint="eastAsia" w:ascii="仿宋" w:hAnsi="仿宋" w:eastAsia="仿宋" w:cs="仿宋"/>
                <w:b/>
                <w:bCs/>
                <w:i w:val="0"/>
                <w:iCs w:val="0"/>
                <w:color w:val="000000"/>
                <w:kern w:val="0"/>
                <w:sz w:val="21"/>
                <w:szCs w:val="21"/>
                <w:highlight w:val="none"/>
                <w:u w:val="none"/>
                <w:lang w:val="en-US" w:eastAsia="zh-CN" w:bidi="ar"/>
              </w:rPr>
              <w:t>本项合计（元/年）</w:t>
            </w:r>
          </w:p>
        </w:tc>
        <w:tc>
          <w:tcPr>
            <w:tcW w:w="1765"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仿宋" w:hAnsi="仿宋" w:eastAsia="仿宋" w:cs="仿宋"/>
                <w:i w:val="0"/>
                <w:iCs w:val="0"/>
                <w:color w:val="000000"/>
                <w:sz w:val="21"/>
                <w:szCs w:val="21"/>
                <w:highlight w:val="none"/>
                <w:u w:val="none"/>
              </w:rPr>
            </w:pPr>
          </w:p>
        </w:tc>
        <w:tc>
          <w:tcPr>
            <w:tcW w:w="1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仿宋" w:hAnsi="仿宋" w:eastAsia="仿宋" w:cs="仿宋"/>
                <w:i w:val="0"/>
                <w:iCs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3" w:hRule="atLeast"/>
          <w:jc w:val="center"/>
        </w:trPr>
        <w:tc>
          <w:tcPr>
            <w:tcW w:w="463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b/>
                <w:bCs/>
                <w:i w:val="0"/>
                <w:iCs w:val="0"/>
                <w:color w:val="000000"/>
                <w:sz w:val="21"/>
                <w:szCs w:val="21"/>
                <w:highlight w:val="none"/>
                <w:u w:val="none"/>
              </w:rPr>
            </w:pPr>
            <w:r>
              <w:rPr>
                <w:rFonts w:hint="eastAsia" w:ascii="仿宋" w:hAnsi="仿宋" w:eastAsia="仿宋" w:cs="仿宋"/>
                <w:b/>
                <w:bCs/>
                <w:i w:val="0"/>
                <w:iCs w:val="0"/>
                <w:color w:val="000000"/>
                <w:kern w:val="0"/>
                <w:sz w:val="21"/>
                <w:szCs w:val="21"/>
                <w:highlight w:val="none"/>
                <w:u w:val="none"/>
                <w:lang w:val="en-US" w:eastAsia="zh-CN" w:bidi="ar"/>
              </w:rPr>
              <w:t>一、二、三、四项费用共计</w:t>
            </w:r>
          </w:p>
        </w:tc>
        <w:tc>
          <w:tcPr>
            <w:tcW w:w="1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仿宋" w:hAnsi="仿宋" w:eastAsia="仿宋" w:cs="仿宋"/>
                <w:i w:val="0"/>
                <w:iCs w:val="0"/>
                <w:color w:val="000000"/>
                <w:sz w:val="21"/>
                <w:szCs w:val="21"/>
                <w:highlight w:val="none"/>
                <w:u w:val="none"/>
              </w:rPr>
            </w:pPr>
          </w:p>
        </w:tc>
        <w:tc>
          <w:tcPr>
            <w:tcW w:w="1735"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仿宋" w:hAnsi="仿宋" w:eastAsia="仿宋" w:cs="仿宋"/>
                <w:i w:val="0"/>
                <w:iCs w:val="0"/>
                <w:color w:val="000000"/>
                <w:sz w:val="21"/>
                <w:szCs w:val="21"/>
                <w:highlight w:val="none"/>
                <w:u w:val="none"/>
              </w:rPr>
            </w:pPr>
          </w:p>
        </w:tc>
      </w:tr>
    </w:tbl>
    <w:p>
      <w:pPr>
        <w:pStyle w:val="8"/>
        <w:shd w:val="clear"/>
        <w:ind w:firstLine="480"/>
        <w:jc w:val="both"/>
        <w:rPr>
          <w:highlight w:val="none"/>
        </w:rPr>
      </w:pPr>
    </w:p>
    <w:p>
      <w:pPr>
        <w:pStyle w:val="8"/>
        <w:numPr>
          <w:ilvl w:val="0"/>
          <w:numId w:val="0"/>
        </w:numPr>
        <w:shd w:val="clear"/>
        <w:jc w:val="left"/>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备注：1、如投标人因履约需要或招标文件要求有分项报价表未列出的报价项目，可在分项报价明细表中自行添加并逐项列出计入投标报价。</w:t>
      </w:r>
    </w:p>
    <w:p>
      <w:pPr>
        <w:pStyle w:val="8"/>
        <w:numPr>
          <w:ilvl w:val="0"/>
          <w:numId w:val="0"/>
        </w:numPr>
        <w:shd w:val="clear"/>
        <w:jc w:val="left"/>
        <w:rPr>
          <w:rFonts w:ascii="仿宋" w:hAnsi="仿宋" w:eastAsia="仿宋" w:cs="仿宋"/>
          <w:sz w:val="24"/>
          <w:highlight w:val="none"/>
        </w:rPr>
      </w:pPr>
      <w:r>
        <w:rPr>
          <w:rFonts w:hint="eastAsia" w:ascii="仿宋" w:hAnsi="仿宋" w:eastAsia="仿宋" w:cs="仿宋"/>
          <w:sz w:val="24"/>
          <w:highlight w:val="none"/>
          <w:lang w:val="en-US" w:eastAsia="zh-CN"/>
        </w:rPr>
        <w:t>2、</w:t>
      </w:r>
      <w:r>
        <w:rPr>
          <w:rFonts w:ascii="仿宋" w:hAnsi="仿宋" w:eastAsia="仿宋" w:cs="仿宋"/>
          <w:sz w:val="24"/>
          <w:highlight w:val="none"/>
        </w:rPr>
        <w:t>投标人应根据以上表格格式填写分项报价，报价合计应包括投标人完成本项目所需以及招标文件约定的一切费用。</w:t>
      </w:r>
    </w:p>
    <w:p>
      <w:pPr>
        <w:pStyle w:val="8"/>
        <w:numPr>
          <w:ilvl w:val="0"/>
          <w:numId w:val="0"/>
        </w:numPr>
        <w:shd w:val="clear"/>
        <w:jc w:val="left"/>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3、各项明细报价以人民币（元）为单位，涉及小数的按四舍五入法仅限保留到小数点后2位。（公积金按照《成都住房公积金缴存管理实施细则》（成公积金[2021]42号）执行）。</w:t>
      </w:r>
    </w:p>
    <w:p>
      <w:pPr>
        <w:rPr>
          <w:color w:val="auto"/>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left="-566" w:right="-566"/>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left="-566" w:right="-566"/>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left="-566" w:right="-566"/>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left="-566" w:right="-566"/>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left="-566" w:right="-566"/>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left="-566" w:right="-566"/>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D60A16"/>
    <w:rsid w:val="04DE2D36"/>
    <w:rsid w:val="055A19E8"/>
    <w:rsid w:val="05800922"/>
    <w:rsid w:val="092178D9"/>
    <w:rsid w:val="09385203"/>
    <w:rsid w:val="0A611D71"/>
    <w:rsid w:val="0C9F63CD"/>
    <w:rsid w:val="0CB35BDE"/>
    <w:rsid w:val="0D72388E"/>
    <w:rsid w:val="0ED84C75"/>
    <w:rsid w:val="0F2303C2"/>
    <w:rsid w:val="0F96278C"/>
    <w:rsid w:val="1006056C"/>
    <w:rsid w:val="10244D09"/>
    <w:rsid w:val="13F50F97"/>
    <w:rsid w:val="15BC4505"/>
    <w:rsid w:val="160F6C00"/>
    <w:rsid w:val="16492C6A"/>
    <w:rsid w:val="16810634"/>
    <w:rsid w:val="174441E5"/>
    <w:rsid w:val="187266B6"/>
    <w:rsid w:val="18A42AA7"/>
    <w:rsid w:val="18CA1796"/>
    <w:rsid w:val="1935548C"/>
    <w:rsid w:val="199455A4"/>
    <w:rsid w:val="19EB0BE0"/>
    <w:rsid w:val="1B0D7028"/>
    <w:rsid w:val="1E500E2C"/>
    <w:rsid w:val="22670ABE"/>
    <w:rsid w:val="22FF73F5"/>
    <w:rsid w:val="23D15D5E"/>
    <w:rsid w:val="23DF10B6"/>
    <w:rsid w:val="242066B4"/>
    <w:rsid w:val="248C2DA1"/>
    <w:rsid w:val="261B5027"/>
    <w:rsid w:val="272B7E8F"/>
    <w:rsid w:val="286F40A5"/>
    <w:rsid w:val="29FA5159"/>
    <w:rsid w:val="2C3541A8"/>
    <w:rsid w:val="2C57347E"/>
    <w:rsid w:val="2D890121"/>
    <w:rsid w:val="31D279D3"/>
    <w:rsid w:val="37FC6CD4"/>
    <w:rsid w:val="39D0471B"/>
    <w:rsid w:val="3B3432AD"/>
    <w:rsid w:val="3F9556CE"/>
    <w:rsid w:val="42050D9D"/>
    <w:rsid w:val="421B27BF"/>
    <w:rsid w:val="46933BD0"/>
    <w:rsid w:val="48A8774B"/>
    <w:rsid w:val="49602D1B"/>
    <w:rsid w:val="4A39034E"/>
    <w:rsid w:val="4B3D7473"/>
    <w:rsid w:val="4B976904"/>
    <w:rsid w:val="4C9D40DD"/>
    <w:rsid w:val="4D9507BE"/>
    <w:rsid w:val="4DA328FF"/>
    <w:rsid w:val="4DAA2AE3"/>
    <w:rsid w:val="4FD45842"/>
    <w:rsid w:val="50C73D1E"/>
    <w:rsid w:val="512137A3"/>
    <w:rsid w:val="52970C45"/>
    <w:rsid w:val="529B3F70"/>
    <w:rsid w:val="530B7AF4"/>
    <w:rsid w:val="5409154F"/>
    <w:rsid w:val="56821A6E"/>
    <w:rsid w:val="5712531A"/>
    <w:rsid w:val="57512A1E"/>
    <w:rsid w:val="5BA930A0"/>
    <w:rsid w:val="5D4A09C0"/>
    <w:rsid w:val="5EDF0947"/>
    <w:rsid w:val="5EFA1363"/>
    <w:rsid w:val="61001293"/>
    <w:rsid w:val="6191220C"/>
    <w:rsid w:val="62833737"/>
    <w:rsid w:val="6292660B"/>
    <w:rsid w:val="632D5B2D"/>
    <w:rsid w:val="63FB33F7"/>
    <w:rsid w:val="64BF5D35"/>
    <w:rsid w:val="657329B7"/>
    <w:rsid w:val="65A50030"/>
    <w:rsid w:val="66953967"/>
    <w:rsid w:val="673C18A4"/>
    <w:rsid w:val="68FD0467"/>
    <w:rsid w:val="69412173"/>
    <w:rsid w:val="6CB34646"/>
    <w:rsid w:val="6E0B3510"/>
    <w:rsid w:val="6F925C7A"/>
    <w:rsid w:val="6FB72D21"/>
    <w:rsid w:val="71B578C5"/>
    <w:rsid w:val="74D422EC"/>
    <w:rsid w:val="75E948FF"/>
    <w:rsid w:val="7A5802BA"/>
    <w:rsid w:val="7D3830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wordWrap w:val="0"/>
      <w:adjustRightInd w:val="0"/>
      <w:snapToGrid w:val="0"/>
      <w:spacing w:line="480" w:lineRule="auto"/>
      <w:ind w:left="-202" w:leftChars="-202" w:right="-202" w:rightChars="-202"/>
      <w:jc w:val="both"/>
    </w:pPr>
    <w:rPr>
      <w:rFonts w:ascii="宋体" w:hAnsi="宋体" w:eastAsia="宋体" w:cs="Times New Roman"/>
      <w:snapToGrid w:val="0"/>
      <w:sz w:val="28"/>
      <w:szCs w:val="22"/>
      <w:lang w:val="en-US" w:eastAsia="zh-CN" w:bidi="ar-SA"/>
    </w:rPr>
  </w:style>
  <w:style w:type="paragraph" w:styleId="3">
    <w:name w:val="heading 1"/>
    <w:basedOn w:val="1"/>
    <w:next w:val="1"/>
    <w:qFormat/>
    <w:uiPriority w:val="0"/>
    <w:pPr>
      <w:keepNext/>
      <w:keepLines/>
      <w:jc w:val="left"/>
      <w:outlineLvl w:val="0"/>
    </w:pPr>
    <w:rPr>
      <w:b/>
      <w:bCs/>
      <w:sz w:val="30"/>
      <w:szCs w:val="44"/>
    </w:rPr>
  </w:style>
  <w:style w:type="character" w:default="1" w:styleId="7">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next w:val="1"/>
    <w:unhideWhenUsed/>
    <w:qFormat/>
    <w:uiPriority w:val="99"/>
    <w:pPr>
      <w:spacing w:after="120"/>
    </w:pPr>
  </w:style>
  <w:style w:type="paragraph" w:styleId="4">
    <w:name w:val="footer"/>
    <w:basedOn w:val="1"/>
    <w:qFormat/>
    <w:uiPriority w:val="0"/>
    <w:pPr>
      <w:tabs>
        <w:tab w:val="center" w:pos="4153"/>
        <w:tab w:val="right" w:pos="8306"/>
      </w:tabs>
      <w:spacing w:line="240" w:lineRule="auto"/>
      <w:jc w:val="left"/>
    </w:pPr>
    <w:rPr>
      <w:sz w:val="18"/>
      <w:szCs w:val="18"/>
    </w:rPr>
  </w:style>
  <w:style w:type="paragraph" w:styleId="5">
    <w:name w:val="header"/>
    <w:basedOn w:val="1"/>
    <w:qFormat/>
    <w:uiPriority w:val="0"/>
    <w:pPr>
      <w:tabs>
        <w:tab w:val="center" w:pos="4153"/>
        <w:tab w:val="right" w:pos="8306"/>
      </w:tabs>
      <w:spacing w:line="240" w:lineRule="auto"/>
      <w:jc w:val="center"/>
    </w:pPr>
    <w:rPr>
      <w:sz w:val="18"/>
      <w:szCs w:val="18"/>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Office_11.8.2.8593_F1E327BC-269C-435d-A152-05C5408002CA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2022-11-07T03:16:00Z</dcterms:created>
  <dc:creator>gao</dc:creator>
  <cp:lastModifiedBy>高玉凯</cp:lastModifiedBy>
  <dcterms:modified xsi:type="dcterms:W3CDTF">2026-03-27T02:56:08Z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2052-11.8.2.8593</vt:lpwstr>
  </property>
</Properties>
</file>