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版本号：N510114202600009620260327001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锦绣前城、互助佳园小区物业服务采购项目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N5101142026000096</w:t>
      </w:r>
    </w:p>
    <w:p>
      <w:pPr>
        <w:pStyle w:val="null3"/>
        <w:jc w:val="left"/>
        <w:outlineLvl w:val="2"/>
      </w:pPr>
      <w:r>
        <w:rPr>
          <w:rFonts w:ascii="仿宋_GB2312" w:hAnsi="仿宋_GB2312" w:cs="仿宋_GB2312" w:eastAsia="仿宋_GB2312"/>
          <w:sz w:val="28"/>
          <w:b/>
        </w:rPr>
        <w:t>成都市新都区人民政府三河街道办事处</w:t>
      </w:r>
    </w:p>
    <w:p>
      <w:pPr>
        <w:pStyle w:val="null3"/>
        <w:jc w:val="center"/>
        <w:outlineLvl w:val="2"/>
      </w:pPr>
      <w:r>
        <w:rPr>
          <w:rFonts w:ascii="仿宋_GB2312" w:hAnsi="仿宋_GB2312" w:cs="仿宋_GB2312" w:eastAsia="仿宋_GB2312"/>
          <w:sz w:val="28"/>
          <w:b/>
        </w:rPr>
        <w:t>成都市新都区政府采购中心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成都市新都区政府采购中心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成都市新都区人民政府三河街道办事处</w:t>
      </w:r>
      <w:r>
        <w:rPr>
          <w:rFonts w:ascii="仿宋_GB2312" w:hAnsi="仿宋_GB2312" w:cs="仿宋_GB2312" w:eastAsia="仿宋_GB2312"/>
        </w:rPr>
        <w:t xml:space="preserve"> 委托，拟对 </w:t>
      </w:r>
      <w:r>
        <w:rPr>
          <w:rFonts w:ascii="仿宋_GB2312" w:hAnsi="仿宋_GB2312" w:cs="仿宋_GB2312" w:eastAsia="仿宋_GB2312"/>
        </w:rPr>
        <w:t>锦绣前城、互助佳园小区物业服务采购项目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成都市新都区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N5101142026000096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锦绣前城、互助佳园小区物业服务采购项目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为创造一个安全、舒适、文明、和谐的生活环境。成都市新都区人民政府三河街道办事处拟采用公开招标方式，选择一家供应商提供锦绣前城、互助佳园小区物业管理服务。服务期限三年，合同一年一签。</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供应商合同分包的，分包意向协议中分包意向供应商应当为中小企业。接受分包合同的中小企业与分包企业之间不得存在直接控股、管理关系。</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参加本次招标活动中标的中小企业无需提供财产抵押或第三方担保，凭借政府采购合同可向融资机构申请融资。具体内容详见招标文件附件《成都市财政局中国人民银行成都分行营业管理部关于印发〈成都市中小企业政府采购信用融资暂行办法〉和〈成都市级支持中小企业政府采购信用融资实施方案〉的通知》（成财采〔2019〕17号）和《成都市财政局关于增补“蓉采贷”政策合作银行及做好相关工作的通知》（成财采发〔2020〕20号）和《成都市新都区财政局关于公布新都区开展政府采购信用融资业务金融机构名单的通知》（新都财采〔2021〕160号）。</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成都市新都区人民政府三河街道办事处</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成都市新都区三河大道23号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610503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陈旭勇</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028-83942446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成都市新都区政府采购中心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成都市新都区育英路788号C区4楼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高玉凯</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028-83003130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采购包1：1,729,625.07元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采购包1：最低评标价法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成都市新都区人民政府三河街道办事处</w:t>
      </w:r>
      <w:r>
        <w:rPr>
          <w:rFonts w:ascii="仿宋_GB2312" w:hAnsi="仿宋_GB2312" w:cs="仿宋_GB2312" w:eastAsia="仿宋_GB2312"/>
        </w:rPr>
        <w:t xml:space="preserve"> 和 </w:t>
      </w:r>
      <w:r>
        <w:rPr>
          <w:rFonts w:ascii="仿宋_GB2312" w:hAnsi="仿宋_GB2312" w:cs="仿宋_GB2312" w:eastAsia="仿宋_GB2312"/>
        </w:rPr>
        <w:t>成都市新都区政府采购中心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成都市新都区人民政府三河街道办事处</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成都市新都区政府采购中心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本项目以下采购包允许合同分包。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采购包号</w:t>
            </w:r>
          </w:p>
        </w:tc>
        <w:tc>
          <w:tcPr>
            <w:tcW w:type="dxa" w:w="2076"/>
          </w:tcPr>
          <w:p>
            <w:pPr>
              <w:pStyle w:val="null3"/>
              <w:jc w:val="left"/>
            </w:pPr>
            <w:r>
              <w:rPr>
                <w:rFonts w:ascii="仿宋_GB2312" w:hAnsi="仿宋_GB2312" w:cs="仿宋_GB2312" w:eastAsia="仿宋_GB2312"/>
              </w:rPr>
              <w:t>分包方式</w:t>
            </w:r>
          </w:p>
        </w:tc>
        <w:tc>
          <w:tcPr>
            <w:tcW w:type="dxa" w:w="2076"/>
          </w:tcPr>
          <w:p>
            <w:pPr>
              <w:pStyle w:val="null3"/>
              <w:jc w:val="left"/>
            </w:pPr>
            <w:r>
              <w:rPr>
                <w:rFonts w:ascii="仿宋_GB2312" w:hAnsi="仿宋_GB2312" w:cs="仿宋_GB2312" w:eastAsia="仿宋_GB2312"/>
              </w:rPr>
              <w:t>分包说明</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采购包1</w:t>
            </w:r>
          </w:p>
        </w:tc>
        <w:tc>
          <w:tcPr>
            <w:tcW w:type="dxa" w:w="2076"/>
          </w:tcPr>
          <w:p>
            <w:pPr>
              <w:pStyle w:val="null3"/>
              <w:jc w:val="left"/>
            </w:pPr>
            <w:r>
              <w:rPr>
                <w:rFonts w:ascii="仿宋_GB2312" w:hAnsi="仿宋_GB2312" w:cs="仿宋_GB2312" w:eastAsia="仿宋_GB2312"/>
              </w:rPr>
              <w:t>比例</w:t>
            </w:r>
          </w:p>
        </w:tc>
        <w:tc>
          <w:tcPr>
            <w:tcW w:type="dxa" w:w="2076"/>
          </w:tcPr>
          <w:p>
            <w:pPr>
              <w:pStyle w:val="null3"/>
              <w:jc w:val="left"/>
            </w:pPr>
            <w:r>
              <w:rPr>
                <w:rFonts w:ascii="仿宋_GB2312" w:hAnsi="仿宋_GB2312" w:cs="仿宋_GB2312" w:eastAsia="仿宋_GB2312"/>
              </w:rPr>
              <w:t>分包比例：7.12%，（1）、二次供水设施清洗消毒及水质检测服务，分包比例不超过0.4%； （2）、消防系统维保服务，分包比例不超过1.11%； （3）、电梯维保及年检服务，分包比例不超过4.54%； （4）、避雷系统检测服务，分包比例不超过0.55%； （5）、化粪池清掏服务，分包比例不超过0.52%；</w:t>
            </w:r>
          </w:p>
        </w:tc>
      </w:tr>
    </w:tbl>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 xml:space="preserve"> 1.投标人根据招标文件的规定和采购项目的实际情况，拟在中标后将中标项目的非主体、非关键性工作分包的，应当在投标文件中载明分包承担主体，分包承担主体应当具备相应资质条件且不得再次分包。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jc w:val="left"/>
      </w:pPr>
      <w:r>
        <w:rPr>
          <w:rFonts w:ascii="仿宋_GB2312" w:hAnsi="仿宋_GB2312" w:cs="仿宋_GB2312" w:eastAsia="仿宋_GB2312"/>
        </w:rPr>
        <w:t xml:space="preserve"> 2.采购合同实行分包履行的，中标人就采购项目和分包项目向采购人负责，分包供应商就分包项目承担责任。</w:t>
      </w:r>
    </w:p>
    <w:p>
      <w:pPr>
        <w:pStyle w:val="null3"/>
        <w:jc w:val="left"/>
      </w:pPr>
      <w:r>
        <w:rPr>
          <w:rFonts w:ascii="仿宋_GB2312" w:hAnsi="仿宋_GB2312" w:cs="仿宋_GB2312" w:eastAsia="仿宋_GB2312"/>
        </w:rPr>
        <w:t xml:space="preserve"> 3.中小企业依据《政府采购促进中小企业发展管理办法》（财库〔2020〕46号）规定的政策获取政府采购合同后，小型、微型企业不得将合同分包给大型、中型企业，中型企业不得将合同分包给大型企业。</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供应商提交验收申请之日起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供应商提交验收申请之日起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供应商提交验收申请之日起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供应商提交验收申请之日起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5、</w:t>
      </w:r>
      <w:r>
        <w:rPr>
          <w:rFonts w:ascii="仿宋_GB2312" w:hAnsi="仿宋_GB2312" w:cs="仿宋_GB2312" w:eastAsia="仿宋_GB2312"/>
        </w:rPr>
        <w:t xml:space="preserve"> 验收条件说明： </w:t>
      </w:r>
      <w:r>
        <w:rPr>
          <w:rFonts w:ascii="仿宋_GB2312" w:hAnsi="仿宋_GB2312" w:cs="仿宋_GB2312" w:eastAsia="仿宋_GB2312"/>
        </w:rPr>
        <w:t>供应商提交验收申请之日起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6、</w:t>
      </w:r>
      <w:r>
        <w:rPr>
          <w:rFonts w:ascii="仿宋_GB2312" w:hAnsi="仿宋_GB2312" w:cs="仿宋_GB2312" w:eastAsia="仿宋_GB2312"/>
        </w:rPr>
        <w:t xml:space="preserve"> 验收条件说明： </w:t>
      </w:r>
      <w:r>
        <w:rPr>
          <w:rFonts w:ascii="仿宋_GB2312" w:hAnsi="仿宋_GB2312" w:cs="仿宋_GB2312" w:eastAsia="仿宋_GB2312"/>
        </w:rPr>
        <w:t>供应商提交验收申请之日起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7、</w:t>
      </w:r>
      <w:r>
        <w:rPr>
          <w:rFonts w:ascii="仿宋_GB2312" w:hAnsi="仿宋_GB2312" w:cs="仿宋_GB2312" w:eastAsia="仿宋_GB2312"/>
        </w:rPr>
        <w:t xml:space="preserve"> 验收条件说明： </w:t>
      </w:r>
      <w:r>
        <w:rPr>
          <w:rFonts w:ascii="仿宋_GB2312" w:hAnsi="仿宋_GB2312" w:cs="仿宋_GB2312" w:eastAsia="仿宋_GB2312"/>
        </w:rPr>
        <w:t>供应商提交验收申请之日起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8、</w:t>
      </w:r>
      <w:r>
        <w:rPr>
          <w:rFonts w:ascii="仿宋_GB2312" w:hAnsi="仿宋_GB2312" w:cs="仿宋_GB2312" w:eastAsia="仿宋_GB2312"/>
        </w:rPr>
        <w:t xml:space="preserve"> 验收条件说明： </w:t>
      </w:r>
      <w:r>
        <w:rPr>
          <w:rFonts w:ascii="仿宋_GB2312" w:hAnsi="仿宋_GB2312" w:cs="仿宋_GB2312" w:eastAsia="仿宋_GB2312"/>
        </w:rPr>
        <w:t>供应商提交验收申请之日起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9、</w:t>
      </w:r>
      <w:r>
        <w:rPr>
          <w:rFonts w:ascii="仿宋_GB2312" w:hAnsi="仿宋_GB2312" w:cs="仿宋_GB2312" w:eastAsia="仿宋_GB2312"/>
        </w:rPr>
        <w:t xml:space="preserve"> 验收条件说明： </w:t>
      </w:r>
      <w:r>
        <w:rPr>
          <w:rFonts w:ascii="仿宋_GB2312" w:hAnsi="仿宋_GB2312" w:cs="仿宋_GB2312" w:eastAsia="仿宋_GB2312"/>
        </w:rPr>
        <w:t>供应商提交验收申请之日起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10、</w:t>
      </w:r>
      <w:r>
        <w:rPr>
          <w:rFonts w:ascii="仿宋_GB2312" w:hAnsi="仿宋_GB2312" w:cs="仿宋_GB2312" w:eastAsia="仿宋_GB2312"/>
        </w:rPr>
        <w:t xml:space="preserve"> 验收条件说明： </w:t>
      </w:r>
      <w:r>
        <w:rPr>
          <w:rFonts w:ascii="仿宋_GB2312" w:hAnsi="仿宋_GB2312" w:cs="仿宋_GB2312" w:eastAsia="仿宋_GB2312"/>
        </w:rPr>
        <w:t>供应商提交验收申请之日起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11、</w:t>
      </w:r>
      <w:r>
        <w:rPr>
          <w:rFonts w:ascii="仿宋_GB2312" w:hAnsi="仿宋_GB2312" w:cs="仿宋_GB2312" w:eastAsia="仿宋_GB2312"/>
        </w:rPr>
        <w:t xml:space="preserve"> 验收条件说明： </w:t>
      </w:r>
      <w:r>
        <w:rPr>
          <w:rFonts w:ascii="仿宋_GB2312" w:hAnsi="仿宋_GB2312" w:cs="仿宋_GB2312" w:eastAsia="仿宋_GB2312"/>
        </w:rPr>
        <w:t>供应商提交验收申请之日起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12、</w:t>
      </w:r>
      <w:r>
        <w:rPr>
          <w:rFonts w:ascii="仿宋_GB2312" w:hAnsi="仿宋_GB2312" w:cs="仿宋_GB2312" w:eastAsia="仿宋_GB2312"/>
        </w:rPr>
        <w:t xml:space="preserve"> 验收条件说明： </w:t>
      </w:r>
      <w:r>
        <w:rPr>
          <w:rFonts w:ascii="仿宋_GB2312" w:hAnsi="仿宋_GB2312" w:cs="仿宋_GB2312" w:eastAsia="仿宋_GB2312"/>
        </w:rPr>
        <w:t>供应商提交验收申请之日起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8.37</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其他未尽事宜按照《财政部关于进一步加强政府采购需求和履约验收管理的指导意见》(财库〔2016〕205号)执行。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按照相关法律法规的要求、采购文件的技术要求和中标供应商的投标文件应答及合同约定进行验收。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按照相关法律法规的要求、采购文件的商务要求和中标供应商的投标文件应答及合同约定进行验收。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按照相关法律法规的要求、采购文件的商务要求和中标供应商的投标文件应答及合同约定进行验收。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其他未尽事宜按照《财政部关于进一步加强政府采购需求和履约验收管理的指导意见》(财库〔2016〕205号)执行。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成都市新都区人民政府三河街道办事处</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成都市新都区政府采购中心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成都市新都区政府采购中心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联系人：陈旭勇</w:t>
      </w:r>
    </w:p>
    <w:p>
      <w:pPr>
        <w:pStyle w:val="null3"/>
        <w:jc w:val="left"/>
      </w:pPr>
      <w:r>
        <w:rPr>
          <w:rFonts w:ascii="仿宋_GB2312" w:hAnsi="仿宋_GB2312" w:cs="仿宋_GB2312" w:eastAsia="仿宋_GB2312"/>
        </w:rPr>
        <w:t>联系电话：028-83942446</w:t>
      </w:r>
    </w:p>
    <w:p>
      <w:pPr>
        <w:pStyle w:val="null3"/>
        <w:jc w:val="left"/>
      </w:pPr>
      <w:r>
        <w:rPr>
          <w:rFonts w:ascii="仿宋_GB2312" w:hAnsi="仿宋_GB2312" w:cs="仿宋_GB2312" w:eastAsia="仿宋_GB2312"/>
        </w:rPr>
        <w:t>地址：成都市新都区三河大道23号</w:t>
      </w:r>
    </w:p>
    <w:p>
      <w:pPr>
        <w:pStyle w:val="null3"/>
        <w:jc w:val="left"/>
      </w:pPr>
      <w:r>
        <w:rPr>
          <w:rFonts w:ascii="仿宋_GB2312" w:hAnsi="仿宋_GB2312" w:cs="仿宋_GB2312" w:eastAsia="仿宋_GB2312"/>
        </w:rPr>
        <w:t>邮编：610500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联系人：高玉凯</w:t>
      </w:r>
    </w:p>
    <w:p>
      <w:pPr>
        <w:pStyle w:val="null3"/>
        <w:jc w:val="left"/>
      </w:pPr>
      <w:r>
        <w:rPr>
          <w:rFonts w:ascii="仿宋_GB2312" w:hAnsi="仿宋_GB2312" w:cs="仿宋_GB2312" w:eastAsia="仿宋_GB2312"/>
        </w:rPr>
        <w:t>联系电话：028-83003130</w:t>
      </w:r>
    </w:p>
    <w:p>
      <w:pPr>
        <w:pStyle w:val="null3"/>
        <w:jc w:val="left"/>
      </w:pPr>
      <w:r>
        <w:rPr>
          <w:rFonts w:ascii="仿宋_GB2312" w:hAnsi="仿宋_GB2312" w:cs="仿宋_GB2312" w:eastAsia="仿宋_GB2312"/>
        </w:rPr>
        <w:t>地址：成都市新都区育英路788号C区四楼</w:t>
      </w:r>
    </w:p>
    <w:p>
      <w:pPr>
        <w:pStyle w:val="null3"/>
        <w:jc w:val="left"/>
      </w:pPr>
      <w:r>
        <w:rPr>
          <w:rFonts w:ascii="仿宋_GB2312" w:hAnsi="仿宋_GB2312" w:cs="仿宋_GB2312" w:eastAsia="仿宋_GB2312"/>
        </w:rPr>
        <w:t>邮编：610500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1,729,625.07</w:t>
      </w:r>
    </w:p>
    <w:p>
      <w:pPr>
        <w:pStyle w:val="null3"/>
        <w:jc w:val="left"/>
      </w:pPr>
      <w:r>
        <w:rPr>
          <w:rFonts w:ascii="仿宋_GB2312" w:hAnsi="仿宋_GB2312" w:cs="仿宋_GB2312" w:eastAsia="仿宋_GB2312"/>
        </w:rPr>
        <w:t>采购包最高限价（元）: 1,729,625.07</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C21040000 物业管理服务</w:t>
            </w:r>
          </w:p>
        </w:tc>
        <w:tc>
          <w:tcPr>
            <w:tcW w:type="dxa" w:w="821"/>
          </w:tcPr>
          <w:p>
            <w:pPr>
              <w:pStyle w:val="null3"/>
              <w:jc w:val="left"/>
            </w:pPr>
            <w:r>
              <w:rPr>
                <w:rFonts w:ascii="仿宋_GB2312" w:hAnsi="仿宋_GB2312" w:cs="仿宋_GB2312" w:eastAsia="仿宋_GB2312"/>
              </w:rPr>
              <w:t>锦绣前城、互助佳园小区物业管理服务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1,729,625.07</w:t>
            </w:r>
          </w:p>
        </w:tc>
        <w:tc>
          <w:tcPr>
            <w:tcW w:type="dxa" w:w="821"/>
          </w:tcPr>
          <w:p>
            <w:pPr>
              <w:pStyle w:val="null3"/>
              <w:jc w:val="left"/>
            </w:pPr>
            <w:r>
              <w:rPr>
                <w:rFonts w:ascii="仿宋_GB2312" w:hAnsi="仿宋_GB2312" w:cs="仿宋_GB2312" w:eastAsia="仿宋_GB2312"/>
              </w:rPr>
              <w:t>物业管理</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锦绣前城、互助佳园小区物业管理服务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1,729,625.07</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标的名称：锦绣前城、互助佳园小区物业管理服务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采购项目概况及范围(说明：投标人在投标文件中响应）</w:t>
            </w:r>
          </w:p>
        </w:tc>
        <w:tc>
          <w:tcPr>
            <w:tcW w:type="dxa" w:w="5814"/>
          </w:tcPr>
          <w:p>
            <w:pPr>
              <w:pStyle w:val="null3"/>
              <w:ind w:firstLine="480"/>
              <w:jc w:val="both"/>
            </w:pPr>
            <w:r>
              <w:rPr>
                <w:rFonts w:ascii="仿宋_GB2312" w:hAnsi="仿宋_GB2312" w:cs="仿宋_GB2312" w:eastAsia="仿宋_GB2312"/>
                <w:sz w:val="24"/>
                <w:b/>
                <w:color w:val="000000"/>
              </w:rPr>
              <w:t>一、采购项目概况及范围</w:t>
            </w:r>
          </w:p>
          <w:p>
            <w:pPr>
              <w:pStyle w:val="null3"/>
              <w:ind w:firstLine="486"/>
              <w:jc w:val="both"/>
            </w:pPr>
            <w:r>
              <w:rPr>
                <w:rFonts w:ascii="仿宋_GB2312" w:hAnsi="仿宋_GB2312" w:cs="仿宋_GB2312" w:eastAsia="仿宋_GB2312"/>
                <w:sz w:val="24"/>
                <w:color w:val="000000"/>
              </w:rPr>
              <w:t>为创造一个安全、舒适、文明、和谐的生活环境。成都市新都区人民政府三河街道办事处拟采用公开招标方式，选择</w:t>
            </w:r>
            <w:r>
              <w:rPr>
                <w:rFonts w:ascii="仿宋_GB2312" w:hAnsi="仿宋_GB2312" w:cs="仿宋_GB2312" w:eastAsia="仿宋_GB2312"/>
                <w:sz w:val="24"/>
                <w:color w:val="000000"/>
              </w:rPr>
              <w:t>1家供应商提供锦绣前城、互助佳园小区物业管理服务。服务期限三年，合同一年一签。本次采购项目共1个包件。分包比例占预算</w:t>
            </w:r>
            <w:r>
              <w:rPr>
                <w:rFonts w:ascii="仿宋_GB2312" w:hAnsi="仿宋_GB2312" w:cs="仿宋_GB2312" w:eastAsia="仿宋_GB2312"/>
                <w:sz w:val="24"/>
                <w:color w:val="000000"/>
              </w:rPr>
              <w:t>7.12</w:t>
            </w:r>
            <w:r>
              <w:rPr>
                <w:rFonts w:ascii="仿宋_GB2312" w:hAnsi="仿宋_GB2312" w:cs="仿宋_GB2312" w:eastAsia="仿宋_GB2312"/>
                <w:sz w:val="24"/>
                <w:color w:val="000000"/>
              </w:rPr>
              <w:t>%，分包履行的内容：电梯维保（含年检送检服务）（</w:t>
            </w:r>
            <w:r>
              <w:rPr>
                <w:rFonts w:ascii="仿宋_GB2312" w:hAnsi="仿宋_GB2312" w:cs="仿宋_GB2312" w:eastAsia="仿宋_GB2312"/>
                <w:sz w:val="24"/>
                <w:color w:val="000000"/>
              </w:rPr>
              <w:t>4.54</w:t>
            </w:r>
            <w:r>
              <w:rPr>
                <w:rFonts w:ascii="仿宋_GB2312" w:hAnsi="仿宋_GB2312" w:cs="仿宋_GB2312" w:eastAsia="仿宋_GB2312"/>
                <w:sz w:val="24"/>
                <w:color w:val="000000"/>
              </w:rPr>
              <w:t>%）、消防系统维保服务（</w:t>
            </w:r>
            <w:r>
              <w:rPr>
                <w:rFonts w:ascii="仿宋_GB2312" w:hAnsi="仿宋_GB2312" w:cs="仿宋_GB2312" w:eastAsia="仿宋_GB2312"/>
                <w:sz w:val="24"/>
                <w:color w:val="000000"/>
              </w:rPr>
              <w:t>1.11</w:t>
            </w:r>
            <w:r>
              <w:rPr>
                <w:rFonts w:ascii="仿宋_GB2312" w:hAnsi="仿宋_GB2312" w:cs="仿宋_GB2312" w:eastAsia="仿宋_GB2312"/>
                <w:sz w:val="24"/>
                <w:color w:val="000000"/>
              </w:rPr>
              <w:t>%）、二次供水检测及清洗消毒（0.40%）、化粪池清理维护（0.52%）、避雷系统检测服务（0.5</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p>
          <w:p>
            <w:pPr>
              <w:pStyle w:val="null3"/>
              <w:ind w:firstLine="486"/>
              <w:jc w:val="both"/>
            </w:pPr>
            <w:r>
              <w:rPr>
                <w:rFonts w:ascii="仿宋_GB2312" w:hAnsi="仿宋_GB2312" w:cs="仿宋_GB2312" w:eastAsia="仿宋_GB2312"/>
                <w:sz w:val="24"/>
                <w:b/>
                <w:color w:val="000000"/>
              </w:rPr>
              <w:t>（一）小区概况</w:t>
            </w:r>
          </w:p>
          <w:p>
            <w:pPr>
              <w:pStyle w:val="null3"/>
              <w:ind w:firstLine="486"/>
              <w:jc w:val="both"/>
            </w:pPr>
            <w:r>
              <w:rPr>
                <w:rFonts w:ascii="仿宋_GB2312" w:hAnsi="仿宋_GB2312" w:cs="仿宋_GB2312" w:eastAsia="仿宋_GB2312"/>
                <w:sz w:val="24"/>
                <w:color w:val="000000"/>
              </w:rPr>
              <w:t>锦绣前城小区为高层住宅小区，建筑面积</w:t>
            </w:r>
            <w:r>
              <w:rPr>
                <w:rFonts w:ascii="仿宋_GB2312" w:hAnsi="仿宋_GB2312" w:cs="仿宋_GB2312" w:eastAsia="仿宋_GB2312"/>
                <w:sz w:val="24"/>
                <w:color w:val="000000"/>
              </w:rPr>
              <w:t>143509.23㎡，住宅面积143509.23㎡</w:t>
            </w:r>
            <w:r>
              <w:rPr>
                <w:rFonts w:ascii="仿宋_GB2312" w:hAnsi="仿宋_GB2312" w:cs="仿宋_GB2312" w:eastAsia="仿宋_GB2312"/>
                <w:sz w:val="24"/>
                <w:color w:val="000000"/>
              </w:rPr>
              <w:t>，总户数</w:t>
            </w:r>
            <w:r>
              <w:rPr>
                <w:rFonts w:ascii="仿宋_GB2312" w:hAnsi="仿宋_GB2312" w:cs="仿宋_GB2312" w:eastAsia="仿宋_GB2312"/>
                <w:sz w:val="24"/>
                <w:color w:val="000000"/>
              </w:rPr>
              <w:t>1509户，绿化面积11153.93㎡，机动车车位877个（其中地上车位54个，地下车位823个），非机动车车棚3个，进出大门2个，</w:t>
            </w:r>
            <w:r>
              <w:rPr>
                <w:rFonts w:ascii="仿宋_GB2312" w:hAnsi="仿宋_GB2312" w:cs="仿宋_GB2312" w:eastAsia="仿宋_GB2312"/>
                <w:sz w:val="24"/>
                <w:color w:val="000000"/>
              </w:rPr>
              <w:t>消防控制室</w:t>
            </w:r>
            <w:r>
              <w:rPr>
                <w:rFonts w:ascii="仿宋_GB2312" w:hAnsi="仿宋_GB2312" w:cs="仿宋_GB2312" w:eastAsia="仿宋_GB2312"/>
                <w:sz w:val="24"/>
                <w:color w:val="000000"/>
              </w:rPr>
              <w:t>（在门卫）</w:t>
            </w:r>
            <w:r>
              <w:rPr>
                <w:rFonts w:ascii="仿宋_GB2312" w:hAnsi="仿宋_GB2312" w:cs="仿宋_GB2312" w:eastAsia="仿宋_GB2312"/>
                <w:sz w:val="24"/>
                <w:color w:val="000000"/>
              </w:rPr>
              <w:t>1个</w:t>
            </w:r>
            <w:r>
              <w:rPr>
                <w:rFonts w:ascii="仿宋_GB2312" w:hAnsi="仿宋_GB2312" w:cs="仿宋_GB2312" w:eastAsia="仿宋_GB2312"/>
                <w:sz w:val="24"/>
                <w:color w:val="000000"/>
              </w:rPr>
              <w:t>，</w:t>
            </w:r>
            <w:r>
              <w:rPr>
                <w:rFonts w:ascii="仿宋_GB2312" w:hAnsi="仿宋_GB2312" w:cs="仿宋_GB2312" w:eastAsia="仿宋_GB2312"/>
                <w:sz w:val="24"/>
                <w:color w:val="000000"/>
              </w:rPr>
              <w:t>消防通道</w:t>
            </w:r>
            <w:r>
              <w:rPr>
                <w:rFonts w:ascii="仿宋_GB2312" w:hAnsi="仿宋_GB2312" w:cs="仿宋_GB2312" w:eastAsia="仿宋_GB2312"/>
                <w:sz w:val="24"/>
                <w:color w:val="000000"/>
              </w:rPr>
              <w:t>1个。</w:t>
            </w:r>
          </w:p>
          <w:p>
            <w:pPr>
              <w:pStyle w:val="null3"/>
              <w:ind w:firstLine="486"/>
              <w:jc w:val="both"/>
            </w:pPr>
            <w:r>
              <w:rPr>
                <w:rFonts w:ascii="仿宋_GB2312" w:hAnsi="仿宋_GB2312" w:cs="仿宋_GB2312" w:eastAsia="仿宋_GB2312"/>
                <w:sz w:val="24"/>
                <w:color w:val="000000"/>
              </w:rPr>
              <w:t>互助佳园为高层住宅小区，建筑面积</w:t>
            </w:r>
            <w:r>
              <w:rPr>
                <w:rFonts w:ascii="仿宋_GB2312" w:hAnsi="仿宋_GB2312" w:cs="仿宋_GB2312" w:eastAsia="仿宋_GB2312"/>
                <w:sz w:val="24"/>
                <w:color w:val="000000"/>
              </w:rPr>
              <w:t>25046.08㎡，住宅面积为16641.24㎡，总户数186户，绿化面积160㎡，地下机动车车位85个，非机动车车棚3个，大门2个，</w:t>
            </w:r>
            <w:r>
              <w:rPr>
                <w:rFonts w:ascii="仿宋_GB2312" w:hAnsi="仿宋_GB2312" w:cs="仿宋_GB2312" w:eastAsia="仿宋_GB2312"/>
                <w:sz w:val="24"/>
                <w:color w:val="000000"/>
              </w:rPr>
              <w:t>消防控制室</w:t>
            </w:r>
            <w:r>
              <w:rPr>
                <w:rFonts w:ascii="仿宋_GB2312" w:hAnsi="仿宋_GB2312" w:cs="仿宋_GB2312" w:eastAsia="仿宋_GB2312"/>
                <w:sz w:val="24"/>
                <w:color w:val="000000"/>
              </w:rPr>
              <w:t>（在门卫）</w:t>
            </w:r>
            <w:r>
              <w:rPr>
                <w:rFonts w:ascii="仿宋_GB2312" w:hAnsi="仿宋_GB2312" w:cs="仿宋_GB2312" w:eastAsia="仿宋_GB2312"/>
                <w:sz w:val="24"/>
                <w:color w:val="000000"/>
              </w:rPr>
              <w:t>1个</w:t>
            </w:r>
            <w:r>
              <w:rPr>
                <w:rFonts w:ascii="仿宋_GB2312" w:hAnsi="仿宋_GB2312" w:cs="仿宋_GB2312" w:eastAsia="仿宋_GB2312"/>
                <w:sz w:val="24"/>
                <w:color w:val="000000"/>
              </w:rPr>
              <w:t>，</w:t>
            </w:r>
            <w:r>
              <w:rPr>
                <w:rFonts w:ascii="仿宋_GB2312" w:hAnsi="仿宋_GB2312" w:cs="仿宋_GB2312" w:eastAsia="仿宋_GB2312"/>
                <w:sz w:val="24"/>
                <w:color w:val="000000"/>
              </w:rPr>
              <w:t>消防通</w:t>
            </w:r>
            <w:r>
              <w:rPr>
                <w:rFonts w:ascii="仿宋_GB2312" w:hAnsi="仿宋_GB2312" w:cs="仿宋_GB2312" w:eastAsia="仿宋_GB2312"/>
                <w:sz w:val="24"/>
                <w:color w:val="000000"/>
              </w:rPr>
              <w:t>道</w:t>
            </w:r>
            <w:r>
              <w:rPr>
                <w:rFonts w:ascii="仿宋_GB2312" w:hAnsi="仿宋_GB2312" w:cs="仿宋_GB2312" w:eastAsia="仿宋_GB2312"/>
                <w:sz w:val="24"/>
                <w:color w:val="000000"/>
              </w:rPr>
              <w:t>1个。</w:t>
            </w:r>
          </w:p>
          <w:p>
            <w:pPr>
              <w:pStyle w:val="null3"/>
              <w:ind w:firstLine="486"/>
              <w:jc w:val="both"/>
            </w:pPr>
            <w:r>
              <w:rPr>
                <w:rFonts w:ascii="仿宋_GB2312" w:hAnsi="仿宋_GB2312" w:cs="仿宋_GB2312" w:eastAsia="仿宋_GB2312"/>
                <w:sz w:val="24"/>
                <w:color w:val="000000"/>
              </w:rPr>
              <w:t>锦绣前城小区具体设施设备情况如下：</w:t>
            </w:r>
          </w:p>
          <w:p>
            <w:pPr>
              <w:pStyle w:val="null3"/>
              <w:ind w:firstLine="368"/>
              <w:jc w:val="both"/>
            </w:pPr>
            <w:r>
              <w:rPr>
                <w:rFonts w:ascii="仿宋_GB2312" w:hAnsi="仿宋_GB2312" w:cs="仿宋_GB2312" w:eastAsia="仿宋_GB2312"/>
                <w:sz w:val="24"/>
                <w:color w:val="000000"/>
              </w:rPr>
              <w:t>1.小区各栋楼层及电梯数量</w:t>
            </w:r>
          </w:p>
          <w:tbl>
            <w:tblPr>
              <w:tblInd w:type="dxa" w:w="30"/>
              <w:tblBorders>
                <w:top w:val="none" w:color="000000" w:sz="4"/>
                <w:left w:val="none" w:color="000000" w:sz="4"/>
                <w:bottom w:val="none" w:color="000000" w:sz="4"/>
                <w:right w:val="none" w:color="000000" w:sz="4"/>
                <w:insideH w:val="none"/>
                <w:insideV w:val="none"/>
              </w:tblBorders>
            </w:tblPr>
            <w:tblGrid>
              <w:gridCol w:w="551"/>
              <w:gridCol w:w="837"/>
              <w:gridCol w:w="837"/>
              <w:gridCol w:w="837"/>
              <w:gridCol w:w="837"/>
              <w:gridCol w:w="719"/>
              <w:gridCol w:w="955"/>
            </w:tblGrid>
            <w:tr>
              <w:tc>
                <w:tcPr>
                  <w:tcW w:type="dxa" w:w="551"/>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83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楼栋号</w:t>
                  </w:r>
                </w:p>
              </w:tc>
              <w:tc>
                <w:tcPr>
                  <w:tcW w:type="dxa" w:w="83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品牌</w:t>
                  </w:r>
                </w:p>
                <w:p>
                  <w:pPr>
                    <w:pStyle w:val="null3"/>
                    <w:jc w:val="center"/>
                  </w:pPr>
                  <w:r>
                    <w:rPr>
                      <w:rFonts w:ascii="仿宋_GB2312" w:hAnsi="仿宋_GB2312" w:cs="仿宋_GB2312" w:eastAsia="仿宋_GB2312"/>
                      <w:sz w:val="24"/>
                      <w:color w:val="000000"/>
                    </w:rPr>
                    <w:t>型号</w:t>
                  </w:r>
                </w:p>
              </w:tc>
              <w:tc>
                <w:tcPr>
                  <w:tcW w:type="dxa" w:w="83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楼层数</w:t>
                  </w:r>
                </w:p>
              </w:tc>
              <w:tc>
                <w:tcPr>
                  <w:tcW w:type="dxa" w:w="83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电梯层站数</w:t>
                  </w:r>
                </w:p>
              </w:tc>
              <w:tc>
                <w:tcPr>
                  <w:tcW w:type="dxa" w:w="71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电梯数量（台）</w:t>
                  </w:r>
                </w:p>
              </w:tc>
              <w:tc>
                <w:tcPr>
                  <w:tcW w:type="dxa" w:w="95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5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50" w:after="150"/>
                    <w:ind w:left="-45" w:right="-105"/>
                    <w:jc w:val="center"/>
                  </w:pPr>
                  <w:r>
                    <w:rPr>
                      <w:rFonts w:ascii="仿宋_GB2312" w:hAnsi="仿宋_GB2312" w:cs="仿宋_GB2312" w:eastAsia="仿宋_GB2312"/>
                      <w:sz w:val="24"/>
                      <w:color w:val="000000"/>
                    </w:rPr>
                    <w:t>1</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45" w:right="-105"/>
                    <w:jc w:val="center"/>
                  </w:pPr>
                  <w:r>
                    <w:rPr>
                      <w:rFonts w:ascii="仿宋_GB2312" w:hAnsi="仿宋_GB2312" w:cs="仿宋_GB2312" w:eastAsia="仿宋_GB2312"/>
                      <w:sz w:val="24"/>
                      <w:color w:val="000000"/>
                    </w:rPr>
                    <w:t>1栋1单元</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华升富士达</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32</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33</w:t>
                  </w:r>
                </w:p>
              </w:tc>
              <w:tc>
                <w:tcPr>
                  <w:tcW w:type="dxa" w:w="7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1</w:t>
                  </w:r>
                </w:p>
              </w:tc>
              <w:tc>
                <w:tcPr>
                  <w:tcW w:type="dxa" w:w="955"/>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电梯类型：曳引与强制驱动乘客电梯；电梯额定速度为1.75m/s</w:t>
                  </w:r>
                  <w:r>
                    <w:rPr>
                      <w:rFonts w:ascii="仿宋_GB2312" w:hAnsi="仿宋_GB2312" w:cs="仿宋_GB2312" w:eastAsia="仿宋_GB2312"/>
                      <w:sz w:val="24"/>
                      <w:color w:val="000000"/>
                    </w:rPr>
                    <w:t>；</w:t>
                  </w:r>
                  <w:r>
                    <w:rPr>
                      <w:rFonts w:ascii="仿宋_GB2312" w:hAnsi="仿宋_GB2312" w:cs="仿宋_GB2312" w:eastAsia="仿宋_GB2312"/>
                      <w:sz w:val="24"/>
                      <w:color w:val="000000"/>
                    </w:rPr>
                    <w:t>额定功率9.5KW/台</w:t>
                  </w:r>
                </w:p>
              </w:tc>
            </w:tr>
            <w:tr>
              <w:tc>
                <w:tcPr>
                  <w:tcW w:type="dxa" w:w="5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50" w:after="150"/>
                    <w:ind w:left="-45" w:right="-105"/>
                    <w:jc w:val="center"/>
                  </w:pPr>
                  <w:r>
                    <w:rPr>
                      <w:rFonts w:ascii="仿宋_GB2312" w:hAnsi="仿宋_GB2312" w:cs="仿宋_GB2312" w:eastAsia="仿宋_GB2312"/>
                      <w:sz w:val="24"/>
                      <w:color w:val="000000"/>
                    </w:rPr>
                    <w:t>2</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45" w:right="-105"/>
                    <w:jc w:val="center"/>
                  </w:pPr>
                  <w:r>
                    <w:rPr>
                      <w:rFonts w:ascii="仿宋_GB2312" w:hAnsi="仿宋_GB2312" w:cs="仿宋_GB2312" w:eastAsia="仿宋_GB2312"/>
                      <w:sz w:val="24"/>
                      <w:color w:val="000000"/>
                    </w:rPr>
                    <w:t>1栋1单元</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华升富士达</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32</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33</w:t>
                  </w:r>
                </w:p>
              </w:tc>
              <w:tc>
                <w:tcPr>
                  <w:tcW w:type="dxa" w:w="7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1</w:t>
                  </w:r>
                </w:p>
              </w:tc>
              <w:tc>
                <w:tcPr>
                  <w:tcW w:type="dxa" w:w="955"/>
                  <w:vMerge/>
                  <w:tcBorders>
                    <w:top w:val="none" w:color="000000" w:sz="4"/>
                    <w:left w:val="none" w:color="000000" w:sz="4"/>
                    <w:bottom w:val="single" w:color="000000" w:sz="8"/>
                    <w:right w:val="single" w:color="000000" w:sz="8"/>
                  </w:tcBorders>
                </w:tcPr>
                <w:p/>
              </w:tc>
            </w:tr>
            <w:tr>
              <w:tc>
                <w:tcPr>
                  <w:tcW w:type="dxa" w:w="5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50" w:after="150"/>
                    <w:ind w:left="-45" w:right="-105"/>
                    <w:jc w:val="center"/>
                  </w:pPr>
                  <w:r>
                    <w:rPr>
                      <w:rFonts w:ascii="仿宋_GB2312" w:hAnsi="仿宋_GB2312" w:cs="仿宋_GB2312" w:eastAsia="仿宋_GB2312"/>
                      <w:sz w:val="24"/>
                      <w:color w:val="000000"/>
                    </w:rPr>
                    <w:t>3</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45" w:right="-105"/>
                    <w:jc w:val="center"/>
                  </w:pPr>
                  <w:r>
                    <w:rPr>
                      <w:rFonts w:ascii="仿宋_GB2312" w:hAnsi="仿宋_GB2312" w:cs="仿宋_GB2312" w:eastAsia="仿宋_GB2312"/>
                      <w:sz w:val="24"/>
                      <w:color w:val="000000"/>
                    </w:rPr>
                    <w:t>1栋1单元</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华升富士达</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32</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32</w:t>
                  </w:r>
                </w:p>
              </w:tc>
              <w:tc>
                <w:tcPr>
                  <w:tcW w:type="dxa" w:w="7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1</w:t>
                  </w:r>
                </w:p>
              </w:tc>
              <w:tc>
                <w:tcPr>
                  <w:tcW w:type="dxa" w:w="955"/>
                  <w:vMerge/>
                  <w:tcBorders>
                    <w:top w:val="none" w:color="000000" w:sz="4"/>
                    <w:left w:val="none" w:color="000000" w:sz="4"/>
                    <w:bottom w:val="single" w:color="000000" w:sz="8"/>
                    <w:right w:val="single" w:color="000000" w:sz="8"/>
                  </w:tcBorders>
                </w:tcPr>
                <w:p/>
              </w:tc>
            </w:tr>
            <w:tr>
              <w:tc>
                <w:tcPr>
                  <w:tcW w:type="dxa" w:w="5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50" w:after="150"/>
                    <w:ind w:left="-45" w:right="-105"/>
                    <w:jc w:val="center"/>
                  </w:pPr>
                  <w:r>
                    <w:rPr>
                      <w:rFonts w:ascii="仿宋_GB2312" w:hAnsi="仿宋_GB2312" w:cs="仿宋_GB2312" w:eastAsia="仿宋_GB2312"/>
                      <w:sz w:val="24"/>
                      <w:color w:val="000000"/>
                    </w:rPr>
                    <w:t>4</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45" w:right="-105"/>
                    <w:jc w:val="center"/>
                  </w:pPr>
                  <w:r>
                    <w:rPr>
                      <w:rFonts w:ascii="仿宋_GB2312" w:hAnsi="仿宋_GB2312" w:cs="仿宋_GB2312" w:eastAsia="仿宋_GB2312"/>
                      <w:sz w:val="24"/>
                      <w:color w:val="000000"/>
                    </w:rPr>
                    <w:t>1栋2单元</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华升富士达</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33</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34</w:t>
                  </w:r>
                </w:p>
              </w:tc>
              <w:tc>
                <w:tcPr>
                  <w:tcW w:type="dxa" w:w="7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1</w:t>
                  </w:r>
                </w:p>
              </w:tc>
              <w:tc>
                <w:tcPr>
                  <w:tcW w:type="dxa" w:w="955"/>
                  <w:vMerge/>
                  <w:tcBorders>
                    <w:top w:val="none" w:color="000000" w:sz="4"/>
                    <w:left w:val="none" w:color="000000" w:sz="4"/>
                    <w:bottom w:val="single" w:color="000000" w:sz="8"/>
                    <w:right w:val="single" w:color="000000" w:sz="8"/>
                  </w:tcBorders>
                </w:tcPr>
                <w:p/>
              </w:tc>
            </w:tr>
            <w:tr>
              <w:tc>
                <w:tcPr>
                  <w:tcW w:type="dxa" w:w="5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50" w:after="150"/>
                    <w:ind w:left="-45" w:right="-105"/>
                    <w:jc w:val="center"/>
                  </w:pPr>
                  <w:r>
                    <w:rPr>
                      <w:rFonts w:ascii="仿宋_GB2312" w:hAnsi="仿宋_GB2312" w:cs="仿宋_GB2312" w:eastAsia="仿宋_GB2312"/>
                      <w:sz w:val="24"/>
                      <w:color w:val="000000"/>
                    </w:rPr>
                    <w:t>5</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45" w:right="-105"/>
                    <w:jc w:val="center"/>
                  </w:pPr>
                  <w:r>
                    <w:rPr>
                      <w:rFonts w:ascii="仿宋_GB2312" w:hAnsi="仿宋_GB2312" w:cs="仿宋_GB2312" w:eastAsia="仿宋_GB2312"/>
                      <w:sz w:val="24"/>
                      <w:color w:val="000000"/>
                    </w:rPr>
                    <w:t>1栋2单元</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华升富士达</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33</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34</w:t>
                  </w:r>
                </w:p>
              </w:tc>
              <w:tc>
                <w:tcPr>
                  <w:tcW w:type="dxa" w:w="7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1</w:t>
                  </w:r>
                </w:p>
              </w:tc>
              <w:tc>
                <w:tcPr>
                  <w:tcW w:type="dxa" w:w="955"/>
                  <w:vMerge/>
                  <w:tcBorders>
                    <w:top w:val="none" w:color="000000" w:sz="4"/>
                    <w:left w:val="none" w:color="000000" w:sz="4"/>
                    <w:bottom w:val="single" w:color="000000" w:sz="8"/>
                    <w:right w:val="single" w:color="000000" w:sz="8"/>
                  </w:tcBorders>
                </w:tcPr>
                <w:p/>
              </w:tc>
            </w:tr>
            <w:tr>
              <w:tc>
                <w:tcPr>
                  <w:tcW w:type="dxa" w:w="5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50" w:after="150"/>
                    <w:ind w:left="-45" w:right="-105"/>
                    <w:jc w:val="center"/>
                  </w:pPr>
                  <w:r>
                    <w:rPr>
                      <w:rFonts w:ascii="仿宋_GB2312" w:hAnsi="仿宋_GB2312" w:cs="仿宋_GB2312" w:eastAsia="仿宋_GB2312"/>
                      <w:sz w:val="24"/>
                      <w:color w:val="000000"/>
                    </w:rPr>
                    <w:t>6</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45" w:right="-105"/>
                    <w:jc w:val="center"/>
                  </w:pPr>
                  <w:r>
                    <w:rPr>
                      <w:rFonts w:ascii="仿宋_GB2312" w:hAnsi="仿宋_GB2312" w:cs="仿宋_GB2312" w:eastAsia="仿宋_GB2312"/>
                      <w:sz w:val="24"/>
                      <w:color w:val="000000"/>
                    </w:rPr>
                    <w:t>1栋2单元</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华升富士达</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33</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33</w:t>
                  </w:r>
                </w:p>
              </w:tc>
              <w:tc>
                <w:tcPr>
                  <w:tcW w:type="dxa" w:w="7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1</w:t>
                  </w:r>
                </w:p>
              </w:tc>
              <w:tc>
                <w:tcPr>
                  <w:tcW w:type="dxa" w:w="955"/>
                  <w:vMerge/>
                  <w:tcBorders>
                    <w:top w:val="none" w:color="000000" w:sz="4"/>
                    <w:left w:val="none" w:color="000000" w:sz="4"/>
                    <w:bottom w:val="single" w:color="000000" w:sz="8"/>
                    <w:right w:val="single" w:color="000000" w:sz="8"/>
                  </w:tcBorders>
                </w:tcPr>
                <w:p/>
              </w:tc>
            </w:tr>
            <w:tr>
              <w:tc>
                <w:tcPr>
                  <w:tcW w:type="dxa" w:w="5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50" w:after="150"/>
                    <w:ind w:left="-45" w:right="-105"/>
                    <w:jc w:val="center"/>
                  </w:pPr>
                  <w:r>
                    <w:rPr>
                      <w:rFonts w:ascii="仿宋_GB2312" w:hAnsi="仿宋_GB2312" w:cs="仿宋_GB2312" w:eastAsia="仿宋_GB2312"/>
                      <w:sz w:val="24"/>
                      <w:color w:val="000000"/>
                    </w:rPr>
                    <w:t>7</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45" w:right="-105"/>
                    <w:jc w:val="center"/>
                  </w:pPr>
                  <w:r>
                    <w:rPr>
                      <w:rFonts w:ascii="仿宋_GB2312" w:hAnsi="仿宋_GB2312" w:cs="仿宋_GB2312" w:eastAsia="仿宋_GB2312"/>
                      <w:sz w:val="24"/>
                      <w:color w:val="000000"/>
                    </w:rPr>
                    <w:t>2栋1单元</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华升富士达</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33</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34</w:t>
                  </w:r>
                </w:p>
              </w:tc>
              <w:tc>
                <w:tcPr>
                  <w:tcW w:type="dxa" w:w="7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1</w:t>
                  </w:r>
                </w:p>
              </w:tc>
              <w:tc>
                <w:tcPr>
                  <w:tcW w:type="dxa" w:w="955"/>
                  <w:vMerge/>
                  <w:tcBorders>
                    <w:top w:val="none" w:color="000000" w:sz="4"/>
                    <w:left w:val="none" w:color="000000" w:sz="4"/>
                    <w:bottom w:val="single" w:color="000000" w:sz="8"/>
                    <w:right w:val="single" w:color="000000" w:sz="8"/>
                  </w:tcBorders>
                </w:tcPr>
                <w:p/>
              </w:tc>
            </w:tr>
            <w:tr>
              <w:tc>
                <w:tcPr>
                  <w:tcW w:type="dxa" w:w="5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50" w:after="150"/>
                    <w:ind w:left="-45" w:right="-105"/>
                    <w:jc w:val="center"/>
                  </w:pPr>
                  <w:r>
                    <w:rPr>
                      <w:rFonts w:ascii="仿宋_GB2312" w:hAnsi="仿宋_GB2312" w:cs="仿宋_GB2312" w:eastAsia="仿宋_GB2312"/>
                      <w:sz w:val="24"/>
                      <w:color w:val="000000"/>
                    </w:rPr>
                    <w:t>8</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45" w:right="-105"/>
                    <w:jc w:val="center"/>
                  </w:pPr>
                  <w:r>
                    <w:rPr>
                      <w:rFonts w:ascii="仿宋_GB2312" w:hAnsi="仿宋_GB2312" w:cs="仿宋_GB2312" w:eastAsia="仿宋_GB2312"/>
                      <w:sz w:val="24"/>
                      <w:color w:val="000000"/>
                    </w:rPr>
                    <w:t>2栋1单元</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华升富士达</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33</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34</w:t>
                  </w:r>
                </w:p>
              </w:tc>
              <w:tc>
                <w:tcPr>
                  <w:tcW w:type="dxa" w:w="7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1</w:t>
                  </w:r>
                </w:p>
              </w:tc>
              <w:tc>
                <w:tcPr>
                  <w:tcW w:type="dxa" w:w="955"/>
                  <w:vMerge/>
                  <w:tcBorders>
                    <w:top w:val="none" w:color="000000" w:sz="4"/>
                    <w:left w:val="none" w:color="000000" w:sz="4"/>
                    <w:bottom w:val="single" w:color="000000" w:sz="8"/>
                    <w:right w:val="single" w:color="000000" w:sz="8"/>
                  </w:tcBorders>
                </w:tcPr>
                <w:p/>
              </w:tc>
            </w:tr>
            <w:tr>
              <w:tc>
                <w:tcPr>
                  <w:tcW w:type="dxa" w:w="5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50" w:after="150"/>
                    <w:ind w:left="-45" w:right="-105"/>
                    <w:jc w:val="center"/>
                  </w:pPr>
                  <w:r>
                    <w:rPr>
                      <w:rFonts w:ascii="仿宋_GB2312" w:hAnsi="仿宋_GB2312" w:cs="仿宋_GB2312" w:eastAsia="仿宋_GB2312"/>
                      <w:sz w:val="24"/>
                      <w:color w:val="000000"/>
                    </w:rPr>
                    <w:t>9</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45" w:right="-105"/>
                    <w:jc w:val="center"/>
                  </w:pPr>
                  <w:r>
                    <w:rPr>
                      <w:rFonts w:ascii="仿宋_GB2312" w:hAnsi="仿宋_GB2312" w:cs="仿宋_GB2312" w:eastAsia="仿宋_GB2312"/>
                      <w:sz w:val="24"/>
                      <w:color w:val="000000"/>
                    </w:rPr>
                    <w:t>2栋1单元</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华升富士达</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33</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33</w:t>
                  </w:r>
                </w:p>
              </w:tc>
              <w:tc>
                <w:tcPr>
                  <w:tcW w:type="dxa" w:w="7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right="-105"/>
                    <w:jc w:val="center"/>
                  </w:pPr>
                  <w:r>
                    <w:rPr>
                      <w:rFonts w:ascii="仿宋_GB2312" w:hAnsi="仿宋_GB2312" w:cs="仿宋_GB2312" w:eastAsia="仿宋_GB2312"/>
                      <w:sz w:val="24"/>
                      <w:color w:val="000000"/>
                    </w:rPr>
                    <w:t>1</w:t>
                  </w:r>
                </w:p>
              </w:tc>
              <w:tc>
                <w:tcPr>
                  <w:tcW w:type="dxa" w:w="955"/>
                  <w:vMerge/>
                  <w:tcBorders>
                    <w:top w:val="none" w:color="000000" w:sz="4"/>
                    <w:left w:val="none" w:color="000000" w:sz="4"/>
                    <w:bottom w:val="single" w:color="000000" w:sz="8"/>
                    <w:right w:val="single" w:color="000000" w:sz="8"/>
                  </w:tcBorders>
                </w:tcPr>
                <w:p/>
              </w:tc>
            </w:tr>
            <w:tr>
              <w:tc>
                <w:tcPr>
                  <w:tcW w:type="dxa" w:w="5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50" w:after="150"/>
                    <w:ind w:left="-45" w:right="-105"/>
                    <w:jc w:val="center"/>
                  </w:pPr>
                  <w:r>
                    <w:rPr>
                      <w:rFonts w:ascii="仿宋_GB2312" w:hAnsi="仿宋_GB2312" w:cs="仿宋_GB2312" w:eastAsia="仿宋_GB2312"/>
                      <w:sz w:val="24"/>
                      <w:color w:val="000000"/>
                    </w:rPr>
                    <w:t>10</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45" w:right="-105"/>
                    <w:jc w:val="center"/>
                  </w:pPr>
                  <w:r>
                    <w:rPr>
                      <w:rFonts w:ascii="仿宋_GB2312" w:hAnsi="仿宋_GB2312" w:cs="仿宋_GB2312" w:eastAsia="仿宋_GB2312"/>
                      <w:sz w:val="24"/>
                      <w:color w:val="000000"/>
                    </w:rPr>
                    <w:t>2栋2单元</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华升富士达</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33</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34</w:t>
                  </w:r>
                </w:p>
              </w:tc>
              <w:tc>
                <w:tcPr>
                  <w:tcW w:type="dxa" w:w="7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1</w:t>
                  </w:r>
                </w:p>
              </w:tc>
              <w:tc>
                <w:tcPr>
                  <w:tcW w:type="dxa" w:w="955"/>
                  <w:vMerge/>
                  <w:tcBorders>
                    <w:top w:val="none" w:color="000000" w:sz="4"/>
                    <w:left w:val="none" w:color="000000" w:sz="4"/>
                    <w:bottom w:val="single" w:color="000000" w:sz="8"/>
                    <w:right w:val="single" w:color="000000" w:sz="8"/>
                  </w:tcBorders>
                </w:tcPr>
                <w:p/>
              </w:tc>
            </w:tr>
            <w:tr>
              <w:tc>
                <w:tcPr>
                  <w:tcW w:type="dxa" w:w="5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50" w:after="150"/>
                    <w:ind w:left="-45" w:right="-105"/>
                    <w:jc w:val="center"/>
                  </w:pPr>
                  <w:r>
                    <w:rPr>
                      <w:rFonts w:ascii="仿宋_GB2312" w:hAnsi="仿宋_GB2312" w:cs="仿宋_GB2312" w:eastAsia="仿宋_GB2312"/>
                      <w:sz w:val="24"/>
                      <w:color w:val="000000"/>
                    </w:rPr>
                    <w:t>11</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45" w:right="-105"/>
                    <w:jc w:val="center"/>
                  </w:pPr>
                  <w:r>
                    <w:rPr>
                      <w:rFonts w:ascii="仿宋_GB2312" w:hAnsi="仿宋_GB2312" w:cs="仿宋_GB2312" w:eastAsia="仿宋_GB2312"/>
                      <w:sz w:val="24"/>
                      <w:color w:val="000000"/>
                    </w:rPr>
                    <w:t>2栋2单元</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华升富士达</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33</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34</w:t>
                  </w:r>
                </w:p>
              </w:tc>
              <w:tc>
                <w:tcPr>
                  <w:tcW w:type="dxa" w:w="7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1</w:t>
                  </w:r>
                </w:p>
              </w:tc>
              <w:tc>
                <w:tcPr>
                  <w:tcW w:type="dxa" w:w="955"/>
                  <w:vMerge/>
                  <w:tcBorders>
                    <w:top w:val="none" w:color="000000" w:sz="4"/>
                    <w:left w:val="none" w:color="000000" w:sz="4"/>
                    <w:bottom w:val="single" w:color="000000" w:sz="8"/>
                    <w:right w:val="single" w:color="000000" w:sz="8"/>
                  </w:tcBorders>
                </w:tcPr>
                <w:p/>
              </w:tc>
            </w:tr>
            <w:tr>
              <w:tc>
                <w:tcPr>
                  <w:tcW w:type="dxa" w:w="5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50" w:after="150"/>
                    <w:ind w:left="-45" w:right="-105"/>
                    <w:jc w:val="center"/>
                  </w:pPr>
                  <w:r>
                    <w:rPr>
                      <w:rFonts w:ascii="仿宋_GB2312" w:hAnsi="仿宋_GB2312" w:cs="仿宋_GB2312" w:eastAsia="仿宋_GB2312"/>
                      <w:sz w:val="24"/>
                      <w:color w:val="000000"/>
                    </w:rPr>
                    <w:t>12</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45" w:right="-105"/>
                    <w:jc w:val="center"/>
                  </w:pPr>
                  <w:r>
                    <w:rPr>
                      <w:rFonts w:ascii="仿宋_GB2312" w:hAnsi="仿宋_GB2312" w:cs="仿宋_GB2312" w:eastAsia="仿宋_GB2312"/>
                      <w:sz w:val="24"/>
                      <w:color w:val="000000"/>
                    </w:rPr>
                    <w:t>2栋2单元</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华升富士达</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33</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33</w:t>
                  </w:r>
                </w:p>
              </w:tc>
              <w:tc>
                <w:tcPr>
                  <w:tcW w:type="dxa" w:w="7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1</w:t>
                  </w:r>
                </w:p>
              </w:tc>
              <w:tc>
                <w:tcPr>
                  <w:tcW w:type="dxa" w:w="955"/>
                  <w:vMerge/>
                  <w:tcBorders>
                    <w:top w:val="none" w:color="000000" w:sz="4"/>
                    <w:left w:val="none" w:color="000000" w:sz="4"/>
                    <w:bottom w:val="single" w:color="000000" w:sz="8"/>
                    <w:right w:val="single" w:color="000000" w:sz="8"/>
                  </w:tcBorders>
                </w:tcPr>
                <w:p/>
              </w:tc>
            </w:tr>
            <w:tr>
              <w:tc>
                <w:tcPr>
                  <w:tcW w:type="dxa" w:w="5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50" w:after="150"/>
                    <w:ind w:left="-45" w:right="-105"/>
                    <w:jc w:val="center"/>
                  </w:pPr>
                  <w:r>
                    <w:rPr>
                      <w:rFonts w:ascii="仿宋_GB2312" w:hAnsi="仿宋_GB2312" w:cs="仿宋_GB2312" w:eastAsia="仿宋_GB2312"/>
                      <w:sz w:val="24"/>
                      <w:color w:val="000000"/>
                    </w:rPr>
                    <w:t>13</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45" w:right="-105"/>
                    <w:jc w:val="center"/>
                  </w:pPr>
                  <w:r>
                    <w:rPr>
                      <w:rFonts w:ascii="仿宋_GB2312" w:hAnsi="仿宋_GB2312" w:cs="仿宋_GB2312" w:eastAsia="仿宋_GB2312"/>
                      <w:sz w:val="24"/>
                      <w:color w:val="000000"/>
                    </w:rPr>
                    <w:t>3栋1单元</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华升富士达</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33</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34</w:t>
                  </w:r>
                </w:p>
              </w:tc>
              <w:tc>
                <w:tcPr>
                  <w:tcW w:type="dxa" w:w="7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1</w:t>
                  </w:r>
                </w:p>
              </w:tc>
              <w:tc>
                <w:tcPr>
                  <w:tcW w:type="dxa" w:w="955"/>
                  <w:vMerge/>
                  <w:tcBorders>
                    <w:top w:val="none" w:color="000000" w:sz="4"/>
                    <w:left w:val="none" w:color="000000" w:sz="4"/>
                    <w:bottom w:val="single" w:color="000000" w:sz="8"/>
                    <w:right w:val="single" w:color="000000" w:sz="8"/>
                  </w:tcBorders>
                </w:tcPr>
                <w:p/>
              </w:tc>
            </w:tr>
            <w:tr>
              <w:tc>
                <w:tcPr>
                  <w:tcW w:type="dxa" w:w="5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50" w:after="150"/>
                    <w:ind w:left="-45" w:right="-105"/>
                    <w:jc w:val="center"/>
                  </w:pPr>
                  <w:r>
                    <w:rPr>
                      <w:rFonts w:ascii="仿宋_GB2312" w:hAnsi="仿宋_GB2312" w:cs="仿宋_GB2312" w:eastAsia="仿宋_GB2312"/>
                      <w:sz w:val="24"/>
                      <w:color w:val="000000"/>
                    </w:rPr>
                    <w:t>14</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45" w:right="-105"/>
                    <w:jc w:val="center"/>
                  </w:pPr>
                  <w:r>
                    <w:rPr>
                      <w:rFonts w:ascii="仿宋_GB2312" w:hAnsi="仿宋_GB2312" w:cs="仿宋_GB2312" w:eastAsia="仿宋_GB2312"/>
                      <w:sz w:val="24"/>
                      <w:color w:val="000000"/>
                    </w:rPr>
                    <w:t>3栋1单元</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华升富士达</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33</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34</w:t>
                  </w:r>
                </w:p>
              </w:tc>
              <w:tc>
                <w:tcPr>
                  <w:tcW w:type="dxa" w:w="7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1</w:t>
                  </w:r>
                </w:p>
              </w:tc>
              <w:tc>
                <w:tcPr>
                  <w:tcW w:type="dxa" w:w="955"/>
                  <w:vMerge/>
                  <w:tcBorders>
                    <w:top w:val="none" w:color="000000" w:sz="4"/>
                    <w:left w:val="none" w:color="000000" w:sz="4"/>
                    <w:bottom w:val="single" w:color="000000" w:sz="8"/>
                    <w:right w:val="single" w:color="000000" w:sz="8"/>
                  </w:tcBorders>
                </w:tcPr>
                <w:p/>
              </w:tc>
            </w:tr>
            <w:tr>
              <w:tc>
                <w:tcPr>
                  <w:tcW w:type="dxa" w:w="5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50" w:after="150"/>
                    <w:ind w:left="-45" w:right="-105"/>
                    <w:jc w:val="center"/>
                  </w:pPr>
                  <w:r>
                    <w:rPr>
                      <w:rFonts w:ascii="仿宋_GB2312" w:hAnsi="仿宋_GB2312" w:cs="仿宋_GB2312" w:eastAsia="仿宋_GB2312"/>
                      <w:sz w:val="24"/>
                      <w:color w:val="000000"/>
                    </w:rPr>
                    <w:t>15</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45" w:right="-105"/>
                    <w:jc w:val="center"/>
                  </w:pPr>
                  <w:r>
                    <w:rPr>
                      <w:rFonts w:ascii="仿宋_GB2312" w:hAnsi="仿宋_GB2312" w:cs="仿宋_GB2312" w:eastAsia="仿宋_GB2312"/>
                      <w:sz w:val="24"/>
                      <w:color w:val="000000"/>
                    </w:rPr>
                    <w:t>3栋1单元</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华升富士达</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33</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33</w:t>
                  </w:r>
                </w:p>
              </w:tc>
              <w:tc>
                <w:tcPr>
                  <w:tcW w:type="dxa" w:w="7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1</w:t>
                  </w:r>
                </w:p>
              </w:tc>
              <w:tc>
                <w:tcPr>
                  <w:tcW w:type="dxa" w:w="955"/>
                  <w:vMerge/>
                  <w:tcBorders>
                    <w:top w:val="none" w:color="000000" w:sz="4"/>
                    <w:left w:val="none" w:color="000000" w:sz="4"/>
                    <w:bottom w:val="single" w:color="000000" w:sz="8"/>
                    <w:right w:val="single" w:color="000000" w:sz="8"/>
                  </w:tcBorders>
                </w:tcPr>
                <w:p/>
              </w:tc>
            </w:tr>
            <w:tr>
              <w:tc>
                <w:tcPr>
                  <w:tcW w:type="dxa" w:w="5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50" w:after="150"/>
                    <w:ind w:left="-45" w:right="-105"/>
                    <w:jc w:val="center"/>
                  </w:pPr>
                  <w:r>
                    <w:rPr>
                      <w:rFonts w:ascii="仿宋_GB2312" w:hAnsi="仿宋_GB2312" w:cs="仿宋_GB2312" w:eastAsia="仿宋_GB2312"/>
                      <w:sz w:val="24"/>
                      <w:color w:val="000000"/>
                    </w:rPr>
                    <w:t>16</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45" w:right="-105"/>
                    <w:jc w:val="center"/>
                  </w:pPr>
                  <w:r>
                    <w:rPr>
                      <w:rFonts w:ascii="仿宋_GB2312" w:hAnsi="仿宋_GB2312" w:cs="仿宋_GB2312" w:eastAsia="仿宋_GB2312"/>
                      <w:sz w:val="24"/>
                      <w:color w:val="000000"/>
                    </w:rPr>
                    <w:t>3栋2单元</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华升富士达</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33</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34</w:t>
                  </w:r>
                </w:p>
              </w:tc>
              <w:tc>
                <w:tcPr>
                  <w:tcW w:type="dxa" w:w="7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1</w:t>
                  </w:r>
                </w:p>
              </w:tc>
              <w:tc>
                <w:tcPr>
                  <w:tcW w:type="dxa" w:w="955"/>
                  <w:vMerge/>
                  <w:tcBorders>
                    <w:top w:val="none" w:color="000000" w:sz="4"/>
                    <w:left w:val="none" w:color="000000" w:sz="4"/>
                    <w:bottom w:val="single" w:color="000000" w:sz="8"/>
                    <w:right w:val="single" w:color="000000" w:sz="8"/>
                  </w:tcBorders>
                </w:tcPr>
                <w:p/>
              </w:tc>
            </w:tr>
            <w:tr>
              <w:tc>
                <w:tcPr>
                  <w:tcW w:type="dxa" w:w="5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50" w:after="150"/>
                    <w:ind w:left="-45" w:right="-105"/>
                    <w:jc w:val="center"/>
                  </w:pPr>
                  <w:r>
                    <w:rPr>
                      <w:rFonts w:ascii="仿宋_GB2312" w:hAnsi="仿宋_GB2312" w:cs="仿宋_GB2312" w:eastAsia="仿宋_GB2312"/>
                      <w:sz w:val="24"/>
                      <w:color w:val="000000"/>
                    </w:rPr>
                    <w:t>17</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45" w:right="-105"/>
                    <w:jc w:val="center"/>
                  </w:pPr>
                  <w:r>
                    <w:rPr>
                      <w:rFonts w:ascii="仿宋_GB2312" w:hAnsi="仿宋_GB2312" w:cs="仿宋_GB2312" w:eastAsia="仿宋_GB2312"/>
                      <w:sz w:val="24"/>
                      <w:color w:val="000000"/>
                    </w:rPr>
                    <w:t>3栋2单元</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华升富士达</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33</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34</w:t>
                  </w:r>
                </w:p>
              </w:tc>
              <w:tc>
                <w:tcPr>
                  <w:tcW w:type="dxa" w:w="7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1</w:t>
                  </w:r>
                </w:p>
              </w:tc>
              <w:tc>
                <w:tcPr>
                  <w:tcW w:type="dxa" w:w="955"/>
                  <w:vMerge/>
                  <w:tcBorders>
                    <w:top w:val="none" w:color="000000" w:sz="4"/>
                    <w:left w:val="none" w:color="000000" w:sz="4"/>
                    <w:bottom w:val="single" w:color="000000" w:sz="8"/>
                    <w:right w:val="single" w:color="000000" w:sz="8"/>
                  </w:tcBorders>
                </w:tcPr>
                <w:p/>
              </w:tc>
            </w:tr>
            <w:tr>
              <w:tc>
                <w:tcPr>
                  <w:tcW w:type="dxa" w:w="5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50" w:after="150"/>
                    <w:ind w:left="-45" w:right="-105"/>
                    <w:jc w:val="center"/>
                  </w:pPr>
                  <w:r>
                    <w:rPr>
                      <w:rFonts w:ascii="仿宋_GB2312" w:hAnsi="仿宋_GB2312" w:cs="仿宋_GB2312" w:eastAsia="仿宋_GB2312"/>
                      <w:sz w:val="24"/>
                      <w:color w:val="000000"/>
                    </w:rPr>
                    <w:t>18</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45" w:right="-105"/>
                    <w:jc w:val="center"/>
                  </w:pPr>
                  <w:r>
                    <w:rPr>
                      <w:rFonts w:ascii="仿宋_GB2312" w:hAnsi="仿宋_GB2312" w:cs="仿宋_GB2312" w:eastAsia="仿宋_GB2312"/>
                      <w:sz w:val="24"/>
                      <w:color w:val="000000"/>
                    </w:rPr>
                    <w:t>3栋2单元</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华升富士达</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33</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33</w:t>
                  </w:r>
                </w:p>
              </w:tc>
              <w:tc>
                <w:tcPr>
                  <w:tcW w:type="dxa" w:w="7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1</w:t>
                  </w:r>
                </w:p>
              </w:tc>
              <w:tc>
                <w:tcPr>
                  <w:tcW w:type="dxa" w:w="955"/>
                  <w:vMerge/>
                  <w:tcBorders>
                    <w:top w:val="none" w:color="000000" w:sz="4"/>
                    <w:left w:val="none" w:color="000000" w:sz="4"/>
                    <w:bottom w:val="single" w:color="000000" w:sz="8"/>
                    <w:right w:val="single" w:color="000000" w:sz="8"/>
                  </w:tcBorders>
                </w:tcPr>
                <w:p/>
              </w:tc>
            </w:tr>
            <w:tr>
              <w:tc>
                <w:tcPr>
                  <w:tcW w:type="dxa" w:w="5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50" w:after="150"/>
                    <w:ind w:left="-45" w:right="-105"/>
                    <w:jc w:val="center"/>
                  </w:pPr>
                  <w:r>
                    <w:rPr>
                      <w:rFonts w:ascii="仿宋_GB2312" w:hAnsi="仿宋_GB2312" w:cs="仿宋_GB2312" w:eastAsia="仿宋_GB2312"/>
                      <w:sz w:val="24"/>
                      <w:color w:val="000000"/>
                    </w:rPr>
                    <w:t>19</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45" w:right="-105"/>
                    <w:jc w:val="center"/>
                  </w:pPr>
                  <w:r>
                    <w:rPr>
                      <w:rFonts w:ascii="仿宋_GB2312" w:hAnsi="仿宋_GB2312" w:cs="仿宋_GB2312" w:eastAsia="仿宋_GB2312"/>
                      <w:sz w:val="24"/>
                      <w:color w:val="000000"/>
                    </w:rPr>
                    <w:t>4栋1单元</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华升富士达</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28</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29</w:t>
                  </w:r>
                </w:p>
              </w:tc>
              <w:tc>
                <w:tcPr>
                  <w:tcW w:type="dxa" w:w="7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1</w:t>
                  </w:r>
                </w:p>
              </w:tc>
              <w:tc>
                <w:tcPr>
                  <w:tcW w:type="dxa" w:w="955"/>
                  <w:vMerge/>
                  <w:tcBorders>
                    <w:top w:val="none" w:color="000000" w:sz="4"/>
                    <w:left w:val="none" w:color="000000" w:sz="4"/>
                    <w:bottom w:val="single" w:color="000000" w:sz="8"/>
                    <w:right w:val="single" w:color="000000" w:sz="8"/>
                  </w:tcBorders>
                </w:tcPr>
                <w:p/>
              </w:tc>
            </w:tr>
            <w:tr>
              <w:tc>
                <w:tcPr>
                  <w:tcW w:type="dxa" w:w="5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50" w:after="150"/>
                    <w:ind w:left="-45" w:right="-105"/>
                    <w:jc w:val="center"/>
                  </w:pPr>
                  <w:r>
                    <w:rPr>
                      <w:rFonts w:ascii="仿宋_GB2312" w:hAnsi="仿宋_GB2312" w:cs="仿宋_GB2312" w:eastAsia="仿宋_GB2312"/>
                      <w:sz w:val="24"/>
                      <w:color w:val="000000"/>
                    </w:rPr>
                    <w:t>20</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45" w:right="-105"/>
                    <w:jc w:val="center"/>
                  </w:pPr>
                  <w:r>
                    <w:rPr>
                      <w:rFonts w:ascii="仿宋_GB2312" w:hAnsi="仿宋_GB2312" w:cs="仿宋_GB2312" w:eastAsia="仿宋_GB2312"/>
                      <w:sz w:val="24"/>
                      <w:color w:val="000000"/>
                    </w:rPr>
                    <w:t>4栋1单元</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华升富士达</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28</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29</w:t>
                  </w:r>
                </w:p>
              </w:tc>
              <w:tc>
                <w:tcPr>
                  <w:tcW w:type="dxa" w:w="7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1</w:t>
                  </w:r>
                </w:p>
              </w:tc>
              <w:tc>
                <w:tcPr>
                  <w:tcW w:type="dxa" w:w="955"/>
                  <w:vMerge/>
                  <w:tcBorders>
                    <w:top w:val="none" w:color="000000" w:sz="4"/>
                    <w:left w:val="none" w:color="000000" w:sz="4"/>
                    <w:bottom w:val="single" w:color="000000" w:sz="8"/>
                    <w:right w:val="single" w:color="000000" w:sz="8"/>
                  </w:tcBorders>
                </w:tcPr>
                <w:p/>
              </w:tc>
            </w:tr>
            <w:tr>
              <w:tc>
                <w:tcPr>
                  <w:tcW w:type="dxa" w:w="5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50" w:after="150"/>
                    <w:ind w:left="-45" w:right="-105"/>
                    <w:jc w:val="center"/>
                  </w:pPr>
                  <w:r>
                    <w:rPr>
                      <w:rFonts w:ascii="仿宋_GB2312" w:hAnsi="仿宋_GB2312" w:cs="仿宋_GB2312" w:eastAsia="仿宋_GB2312"/>
                      <w:sz w:val="24"/>
                      <w:color w:val="000000"/>
                    </w:rPr>
                    <w:t>21</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45" w:right="-105"/>
                    <w:jc w:val="center"/>
                  </w:pPr>
                  <w:r>
                    <w:rPr>
                      <w:rFonts w:ascii="仿宋_GB2312" w:hAnsi="仿宋_GB2312" w:cs="仿宋_GB2312" w:eastAsia="仿宋_GB2312"/>
                      <w:sz w:val="24"/>
                      <w:color w:val="000000"/>
                    </w:rPr>
                    <w:t>4栋1单元</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华升富士达</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28</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28</w:t>
                  </w:r>
                </w:p>
              </w:tc>
              <w:tc>
                <w:tcPr>
                  <w:tcW w:type="dxa" w:w="7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1</w:t>
                  </w:r>
                </w:p>
              </w:tc>
              <w:tc>
                <w:tcPr>
                  <w:tcW w:type="dxa" w:w="955"/>
                  <w:vMerge/>
                  <w:tcBorders>
                    <w:top w:val="none" w:color="000000" w:sz="4"/>
                    <w:left w:val="none" w:color="000000" w:sz="4"/>
                    <w:bottom w:val="single" w:color="000000" w:sz="8"/>
                    <w:right w:val="single" w:color="000000" w:sz="8"/>
                  </w:tcBorders>
                </w:tcPr>
                <w:p/>
              </w:tc>
            </w:tr>
            <w:tr>
              <w:tc>
                <w:tcPr>
                  <w:tcW w:type="dxa" w:w="5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50" w:after="150"/>
                    <w:ind w:left="-45" w:right="-105"/>
                    <w:jc w:val="center"/>
                  </w:pPr>
                  <w:r>
                    <w:rPr>
                      <w:rFonts w:ascii="仿宋_GB2312" w:hAnsi="仿宋_GB2312" w:cs="仿宋_GB2312" w:eastAsia="仿宋_GB2312"/>
                      <w:sz w:val="24"/>
                      <w:color w:val="000000"/>
                    </w:rPr>
                    <w:t>22</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45" w:right="-105"/>
                    <w:jc w:val="center"/>
                  </w:pPr>
                  <w:r>
                    <w:rPr>
                      <w:rFonts w:ascii="仿宋_GB2312" w:hAnsi="仿宋_GB2312" w:cs="仿宋_GB2312" w:eastAsia="仿宋_GB2312"/>
                      <w:sz w:val="24"/>
                      <w:color w:val="000000"/>
                    </w:rPr>
                    <w:t>4栋2单元</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华升富士达</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28</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29</w:t>
                  </w:r>
                </w:p>
              </w:tc>
              <w:tc>
                <w:tcPr>
                  <w:tcW w:type="dxa" w:w="7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1</w:t>
                  </w:r>
                </w:p>
              </w:tc>
              <w:tc>
                <w:tcPr>
                  <w:tcW w:type="dxa" w:w="955"/>
                  <w:vMerge/>
                  <w:tcBorders>
                    <w:top w:val="none" w:color="000000" w:sz="4"/>
                    <w:left w:val="none" w:color="000000" w:sz="4"/>
                    <w:bottom w:val="single" w:color="000000" w:sz="8"/>
                    <w:right w:val="single" w:color="000000" w:sz="8"/>
                  </w:tcBorders>
                </w:tcPr>
                <w:p/>
              </w:tc>
            </w:tr>
            <w:tr>
              <w:tc>
                <w:tcPr>
                  <w:tcW w:type="dxa" w:w="5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50" w:after="150"/>
                    <w:ind w:left="-45" w:right="-105"/>
                    <w:jc w:val="center"/>
                  </w:pPr>
                  <w:r>
                    <w:rPr>
                      <w:rFonts w:ascii="仿宋_GB2312" w:hAnsi="仿宋_GB2312" w:cs="仿宋_GB2312" w:eastAsia="仿宋_GB2312"/>
                      <w:sz w:val="24"/>
                      <w:color w:val="000000"/>
                    </w:rPr>
                    <w:t>23</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45" w:right="-105"/>
                    <w:jc w:val="center"/>
                  </w:pPr>
                  <w:r>
                    <w:rPr>
                      <w:rFonts w:ascii="仿宋_GB2312" w:hAnsi="仿宋_GB2312" w:cs="仿宋_GB2312" w:eastAsia="仿宋_GB2312"/>
                      <w:sz w:val="24"/>
                      <w:color w:val="000000"/>
                    </w:rPr>
                    <w:t>4栋2单元</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华升富士达</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28</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29</w:t>
                  </w:r>
                </w:p>
              </w:tc>
              <w:tc>
                <w:tcPr>
                  <w:tcW w:type="dxa" w:w="7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1</w:t>
                  </w:r>
                </w:p>
              </w:tc>
              <w:tc>
                <w:tcPr>
                  <w:tcW w:type="dxa" w:w="955"/>
                  <w:vMerge/>
                  <w:tcBorders>
                    <w:top w:val="none" w:color="000000" w:sz="4"/>
                    <w:left w:val="none" w:color="000000" w:sz="4"/>
                    <w:bottom w:val="single" w:color="000000" w:sz="8"/>
                    <w:right w:val="single" w:color="000000" w:sz="8"/>
                  </w:tcBorders>
                </w:tcPr>
                <w:p/>
              </w:tc>
            </w:tr>
            <w:tr>
              <w:tc>
                <w:tcPr>
                  <w:tcW w:type="dxa" w:w="5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50" w:after="150"/>
                    <w:ind w:left="-45" w:right="-105"/>
                    <w:jc w:val="center"/>
                  </w:pPr>
                  <w:r>
                    <w:rPr>
                      <w:rFonts w:ascii="仿宋_GB2312" w:hAnsi="仿宋_GB2312" w:cs="仿宋_GB2312" w:eastAsia="仿宋_GB2312"/>
                      <w:sz w:val="24"/>
                      <w:color w:val="000000"/>
                    </w:rPr>
                    <w:t>24</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45" w:right="-105"/>
                    <w:jc w:val="center"/>
                  </w:pPr>
                  <w:r>
                    <w:rPr>
                      <w:rFonts w:ascii="仿宋_GB2312" w:hAnsi="仿宋_GB2312" w:cs="仿宋_GB2312" w:eastAsia="仿宋_GB2312"/>
                      <w:sz w:val="24"/>
                      <w:color w:val="000000"/>
                    </w:rPr>
                    <w:t>4栋2单元</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华升富士达</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28</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4"/>
                      <w:color w:val="000000"/>
                    </w:rPr>
                    <w:t>28</w:t>
                  </w:r>
                </w:p>
              </w:tc>
              <w:tc>
                <w:tcPr>
                  <w:tcW w:type="dxa" w:w="7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color w:val="000000"/>
                    </w:rPr>
                    <w:t>1</w:t>
                  </w:r>
                </w:p>
              </w:tc>
              <w:tc>
                <w:tcPr>
                  <w:tcW w:type="dxa" w:w="955"/>
                  <w:vMerge/>
                  <w:tcBorders>
                    <w:top w:val="none" w:color="000000" w:sz="4"/>
                    <w:left w:val="none" w:color="000000" w:sz="4"/>
                    <w:bottom w:val="single" w:color="000000" w:sz="8"/>
                    <w:right w:val="single" w:color="000000" w:sz="8"/>
                  </w:tcBorders>
                </w:tcPr>
                <w:p/>
              </w:tc>
            </w:tr>
            <w:tr>
              <w:tc>
                <w:tcPr>
                  <w:tcW w:type="dxa" w:w="1388"/>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8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674"/>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7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r>
                    <w:rPr>
                      <w:rFonts w:ascii="仿宋_GB2312" w:hAnsi="仿宋_GB2312" w:cs="仿宋_GB2312" w:eastAsia="仿宋_GB2312"/>
                      <w:sz w:val="24"/>
                      <w:color w:val="000000"/>
                    </w:rPr>
                    <w:t>4</w:t>
                  </w:r>
                </w:p>
              </w:tc>
              <w:tc>
                <w:tcPr>
                  <w:tcW w:type="dxa" w:w="9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color w:val="000000"/>
              </w:rPr>
              <w:t>2.变压器数量</w:t>
            </w:r>
          </w:p>
          <w:tbl>
            <w:tblPr>
              <w:tblInd w:type="dxa" w:w="30"/>
              <w:tblBorders>
                <w:top w:val="none" w:color="000000" w:sz="4"/>
                <w:left w:val="none" w:color="000000" w:sz="4"/>
                <w:bottom w:val="none" w:color="000000" w:sz="4"/>
                <w:right w:val="none" w:color="000000" w:sz="4"/>
                <w:insideH w:val="none"/>
                <w:insideV w:val="none"/>
              </w:tblBorders>
            </w:tblPr>
            <w:tblGrid>
              <w:gridCol w:w="1468"/>
              <w:gridCol w:w="2089"/>
              <w:gridCol w:w="670"/>
              <w:gridCol w:w="670"/>
              <w:gridCol w:w="670"/>
            </w:tblGrid>
            <w:tr>
              <w:tc>
                <w:tcPr>
                  <w:tcW w:type="dxa" w:w="146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color w:val="000000"/>
                    </w:rPr>
                    <w:t>名称</w:t>
                  </w:r>
                </w:p>
              </w:tc>
              <w:tc>
                <w:tcPr>
                  <w:tcW w:type="dxa" w:w="208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color w:val="000000"/>
                    </w:rPr>
                    <w:t>项目特征描述</w:t>
                  </w:r>
                </w:p>
              </w:tc>
              <w:tc>
                <w:tcPr>
                  <w:tcW w:type="dxa" w:w="67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color w:val="000000"/>
                    </w:rPr>
                    <w:t>计量单位</w:t>
                  </w:r>
                </w:p>
              </w:tc>
              <w:tc>
                <w:tcPr>
                  <w:tcW w:type="dxa" w:w="67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color w:val="000000"/>
                    </w:rPr>
                    <w:t>数量</w:t>
                  </w:r>
                </w:p>
              </w:tc>
              <w:tc>
                <w:tcPr>
                  <w:tcW w:type="dxa" w:w="67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color w:val="000000"/>
                    </w:rPr>
                    <w:t>备注</w:t>
                  </w:r>
                </w:p>
              </w:tc>
            </w:tr>
            <w:tr>
              <w:tc>
                <w:tcPr>
                  <w:tcW w:type="dxa" w:w="14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color w:val="000000"/>
                    </w:rPr>
                    <w:t>干式变压器SCB10-800</w:t>
                  </w:r>
                </w:p>
              </w:tc>
              <w:tc>
                <w:tcPr>
                  <w:tcW w:type="dxa" w:w="20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both"/>
                  </w:pPr>
                  <w:r>
                    <w:rPr>
                      <w:rFonts w:ascii="仿宋_GB2312" w:hAnsi="仿宋_GB2312" w:cs="仿宋_GB2312" w:eastAsia="仿宋_GB2312"/>
                      <w:sz w:val="24"/>
                      <w:color w:val="000000"/>
                    </w:rPr>
                    <w:t>1.名称:干式变压器</w:t>
                  </w:r>
                </w:p>
                <w:p>
                  <w:pPr>
                    <w:pStyle w:val="null3"/>
                    <w:spacing w:before="60"/>
                    <w:jc w:val="both"/>
                  </w:pPr>
                  <w:r>
                    <w:rPr>
                      <w:rFonts w:ascii="仿宋_GB2312" w:hAnsi="仿宋_GB2312" w:cs="仿宋_GB2312" w:eastAsia="仿宋_GB2312"/>
                      <w:sz w:val="24"/>
                      <w:color w:val="000000"/>
                    </w:rPr>
                    <w:t>2.型号SCB10-800</w:t>
                  </w:r>
                </w:p>
                <w:p>
                  <w:pPr>
                    <w:pStyle w:val="null3"/>
                    <w:spacing w:before="60"/>
                    <w:jc w:val="both"/>
                  </w:pPr>
                  <w:r>
                    <w:rPr>
                      <w:rFonts w:ascii="仿宋_GB2312" w:hAnsi="仿宋_GB2312" w:cs="仿宋_GB2312" w:eastAsia="仿宋_GB2312"/>
                      <w:sz w:val="24"/>
                      <w:color w:val="000000"/>
                    </w:rPr>
                    <w:t>3.容量（kVA）: 800</w:t>
                  </w:r>
                </w:p>
                <w:p>
                  <w:pPr>
                    <w:pStyle w:val="null3"/>
                    <w:spacing w:before="60"/>
                    <w:jc w:val="both"/>
                  </w:pPr>
                  <w:r>
                    <w:rPr>
                      <w:rFonts w:ascii="仿宋_GB2312" w:hAnsi="仿宋_GB2312" w:cs="仿宋_GB2312" w:eastAsia="仿宋_GB2312"/>
                      <w:sz w:val="24"/>
                      <w:color w:val="000000"/>
                    </w:rPr>
                    <w:t>4.电压（kV）:10/0.4KV</w:t>
                  </w:r>
                </w:p>
                <w:p>
                  <w:pPr>
                    <w:pStyle w:val="null3"/>
                    <w:spacing w:before="60"/>
                    <w:jc w:val="both"/>
                  </w:pPr>
                  <w:r>
                    <w:rPr>
                      <w:rFonts w:ascii="仿宋_GB2312" w:hAnsi="仿宋_GB2312" w:cs="仿宋_GB2312" w:eastAsia="仿宋_GB2312"/>
                      <w:sz w:val="24"/>
                      <w:color w:val="000000"/>
                    </w:rPr>
                    <w:t>5.带箱式外壳</w:t>
                  </w:r>
                </w:p>
              </w:tc>
              <w:tc>
                <w:tcPr>
                  <w:tcW w:type="dxa" w:w="67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color w:val="000000"/>
                    </w:rPr>
                    <w:t>台</w:t>
                  </w:r>
                </w:p>
              </w:tc>
              <w:tc>
                <w:tcPr>
                  <w:tcW w:type="dxa" w:w="67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color w:val="000000"/>
                    </w:rPr>
                    <w:t>1</w:t>
                  </w:r>
                </w:p>
              </w:tc>
              <w:tc>
                <w:tcPr>
                  <w:tcW w:type="dxa" w:w="67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color w:val="000000"/>
                    </w:rPr>
                    <w:t>1栋地下配电房</w:t>
                  </w:r>
                </w:p>
              </w:tc>
            </w:tr>
            <w:tr>
              <w:tc>
                <w:tcPr>
                  <w:tcW w:type="dxa" w:w="14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color w:val="000000"/>
                    </w:rPr>
                    <w:t>干式变压器 SCB10-1000</w:t>
                  </w:r>
                </w:p>
              </w:tc>
              <w:tc>
                <w:tcPr>
                  <w:tcW w:type="dxa" w:w="20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both"/>
                  </w:pPr>
                  <w:r>
                    <w:rPr>
                      <w:rFonts w:ascii="仿宋_GB2312" w:hAnsi="仿宋_GB2312" w:cs="仿宋_GB2312" w:eastAsia="仿宋_GB2312"/>
                      <w:sz w:val="24"/>
                      <w:color w:val="000000"/>
                    </w:rPr>
                    <w:t>1.名称:干式变压器</w:t>
                  </w:r>
                </w:p>
                <w:p>
                  <w:pPr>
                    <w:pStyle w:val="null3"/>
                    <w:spacing w:before="60"/>
                    <w:jc w:val="both"/>
                  </w:pPr>
                  <w:r>
                    <w:rPr>
                      <w:rFonts w:ascii="仿宋_GB2312" w:hAnsi="仿宋_GB2312" w:cs="仿宋_GB2312" w:eastAsia="仿宋_GB2312"/>
                      <w:sz w:val="24"/>
                      <w:color w:val="000000"/>
                    </w:rPr>
                    <w:t>2.型号:SCB10-1000</w:t>
                  </w:r>
                </w:p>
                <w:p>
                  <w:pPr>
                    <w:pStyle w:val="null3"/>
                    <w:spacing w:before="60"/>
                    <w:jc w:val="both"/>
                  </w:pPr>
                  <w:r>
                    <w:rPr>
                      <w:rFonts w:ascii="仿宋_GB2312" w:hAnsi="仿宋_GB2312" w:cs="仿宋_GB2312" w:eastAsia="仿宋_GB2312"/>
                      <w:sz w:val="24"/>
                      <w:color w:val="000000"/>
                    </w:rPr>
                    <w:t>3.容量（kVA）: 1000</w:t>
                  </w:r>
                </w:p>
                <w:p>
                  <w:pPr>
                    <w:pStyle w:val="null3"/>
                    <w:spacing w:before="60"/>
                    <w:jc w:val="both"/>
                  </w:pPr>
                  <w:r>
                    <w:rPr>
                      <w:rFonts w:ascii="仿宋_GB2312" w:hAnsi="仿宋_GB2312" w:cs="仿宋_GB2312" w:eastAsia="仿宋_GB2312"/>
                      <w:sz w:val="24"/>
                      <w:color w:val="000000"/>
                    </w:rPr>
                    <w:t>4.电压（kV）:10/0.4KV</w:t>
                  </w:r>
                </w:p>
                <w:p>
                  <w:pPr>
                    <w:pStyle w:val="null3"/>
                    <w:spacing w:before="60"/>
                    <w:jc w:val="both"/>
                  </w:pPr>
                  <w:r>
                    <w:rPr>
                      <w:rFonts w:ascii="仿宋_GB2312" w:hAnsi="仿宋_GB2312" w:cs="仿宋_GB2312" w:eastAsia="仿宋_GB2312"/>
                      <w:sz w:val="24"/>
                      <w:color w:val="000000"/>
                    </w:rPr>
                    <w:t>5.带箱式外壳</w:t>
                  </w:r>
                </w:p>
              </w:tc>
              <w:tc>
                <w:tcPr>
                  <w:tcW w:type="dxa" w:w="67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color w:val="000000"/>
                    </w:rPr>
                    <w:t>台</w:t>
                  </w:r>
                </w:p>
              </w:tc>
              <w:tc>
                <w:tcPr>
                  <w:tcW w:type="dxa" w:w="67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color w:val="000000"/>
                    </w:rPr>
                    <w:t>3</w:t>
                  </w:r>
                </w:p>
              </w:tc>
              <w:tc>
                <w:tcPr>
                  <w:tcW w:type="dxa" w:w="67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color w:val="000000"/>
                    </w:rPr>
                    <w:t>1栋地下配电房</w:t>
                  </w:r>
                </w:p>
              </w:tc>
            </w:tr>
            <w:tr>
              <w:tc>
                <w:tcPr>
                  <w:tcW w:type="dxa" w:w="14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color w:val="000000"/>
                    </w:rPr>
                    <w:t>干式变压器 SCB10-630</w:t>
                  </w:r>
                </w:p>
              </w:tc>
              <w:tc>
                <w:tcPr>
                  <w:tcW w:type="dxa" w:w="20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both"/>
                  </w:pPr>
                  <w:r>
                    <w:rPr>
                      <w:rFonts w:ascii="仿宋_GB2312" w:hAnsi="仿宋_GB2312" w:cs="仿宋_GB2312" w:eastAsia="仿宋_GB2312"/>
                      <w:sz w:val="24"/>
                      <w:color w:val="000000"/>
                    </w:rPr>
                    <w:t>1.名称:干式变压器</w:t>
                  </w:r>
                </w:p>
                <w:p>
                  <w:pPr>
                    <w:pStyle w:val="null3"/>
                    <w:spacing w:before="60"/>
                    <w:jc w:val="both"/>
                  </w:pPr>
                  <w:r>
                    <w:rPr>
                      <w:rFonts w:ascii="仿宋_GB2312" w:hAnsi="仿宋_GB2312" w:cs="仿宋_GB2312" w:eastAsia="仿宋_GB2312"/>
                      <w:sz w:val="24"/>
                      <w:color w:val="000000"/>
                    </w:rPr>
                    <w:t>2.型号:SCB10-630</w:t>
                  </w:r>
                </w:p>
                <w:p>
                  <w:pPr>
                    <w:pStyle w:val="null3"/>
                    <w:spacing w:before="60"/>
                    <w:jc w:val="both"/>
                  </w:pPr>
                  <w:r>
                    <w:rPr>
                      <w:rFonts w:ascii="仿宋_GB2312" w:hAnsi="仿宋_GB2312" w:cs="仿宋_GB2312" w:eastAsia="仿宋_GB2312"/>
                      <w:sz w:val="24"/>
                      <w:color w:val="000000"/>
                    </w:rPr>
                    <w:t>3.容量（kVA）:630KVA</w:t>
                  </w:r>
                </w:p>
                <w:p>
                  <w:pPr>
                    <w:pStyle w:val="null3"/>
                    <w:spacing w:before="60"/>
                    <w:jc w:val="both"/>
                  </w:pPr>
                  <w:r>
                    <w:rPr>
                      <w:rFonts w:ascii="仿宋_GB2312" w:hAnsi="仿宋_GB2312" w:cs="仿宋_GB2312" w:eastAsia="仿宋_GB2312"/>
                      <w:sz w:val="24"/>
                      <w:color w:val="000000"/>
                    </w:rPr>
                    <w:t>4.电压（kV）10/0.4KV</w:t>
                  </w:r>
                </w:p>
                <w:p>
                  <w:pPr>
                    <w:pStyle w:val="null3"/>
                    <w:spacing w:before="60"/>
                    <w:jc w:val="both"/>
                  </w:pPr>
                  <w:r>
                    <w:rPr>
                      <w:rFonts w:ascii="仿宋_GB2312" w:hAnsi="仿宋_GB2312" w:cs="仿宋_GB2312" w:eastAsia="仿宋_GB2312"/>
                      <w:sz w:val="24"/>
                      <w:color w:val="000000"/>
                    </w:rPr>
                    <w:t>5.带箱式外壳</w:t>
                  </w:r>
                </w:p>
              </w:tc>
              <w:tc>
                <w:tcPr>
                  <w:tcW w:type="dxa" w:w="67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color w:val="000000"/>
                    </w:rPr>
                    <w:t>台</w:t>
                  </w:r>
                </w:p>
              </w:tc>
              <w:tc>
                <w:tcPr>
                  <w:tcW w:type="dxa" w:w="67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color w:val="000000"/>
                    </w:rPr>
                    <w:t>1</w:t>
                  </w:r>
                </w:p>
              </w:tc>
              <w:tc>
                <w:tcPr>
                  <w:tcW w:type="dxa" w:w="67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color w:val="000000"/>
                    </w:rPr>
                    <w:t>1栋地下配电房</w:t>
                  </w:r>
                </w:p>
              </w:tc>
            </w:tr>
          </w:tbl>
          <w:p>
            <w:pPr>
              <w:pStyle w:val="null3"/>
              <w:ind w:firstLine="368"/>
              <w:jc w:val="both"/>
            </w:pPr>
            <w:r>
              <w:rPr>
                <w:rFonts w:ascii="仿宋_GB2312" w:hAnsi="仿宋_GB2312" w:cs="仿宋_GB2312" w:eastAsia="仿宋_GB2312"/>
                <w:sz w:val="24"/>
                <w:color w:val="000000"/>
              </w:rPr>
              <w:t>3.污水泵及控制柜数量</w:t>
            </w:r>
          </w:p>
          <w:tbl>
            <w:tblPr>
              <w:tblInd w:type="dxa" w:w="30"/>
              <w:tblBorders>
                <w:top w:val="none" w:color="000000" w:sz="4"/>
                <w:left w:val="none" w:color="000000" w:sz="4"/>
                <w:bottom w:val="none" w:color="000000" w:sz="4"/>
                <w:right w:val="none" w:color="000000" w:sz="4"/>
                <w:insideH w:val="none"/>
                <w:insideV w:val="none"/>
              </w:tblBorders>
            </w:tblPr>
            <w:tblGrid>
              <w:gridCol w:w="620"/>
              <w:gridCol w:w="1162"/>
              <w:gridCol w:w="1695"/>
              <w:gridCol w:w="699"/>
              <w:gridCol w:w="699"/>
              <w:gridCol w:w="699"/>
            </w:tblGrid>
            <w:tr>
              <w:tc>
                <w:tcPr>
                  <w:tcW w:type="dxa" w:w="62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16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169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型号</w:t>
                  </w:r>
                </w:p>
              </w:tc>
              <w:tc>
                <w:tcPr>
                  <w:tcW w:type="dxa" w:w="69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69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69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16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潜水泵</w:t>
                  </w:r>
                </w:p>
              </w:tc>
              <w:tc>
                <w:tcPr>
                  <w:tcW w:type="dxa" w:w="169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50JYWQ10-11-1.1</w:t>
                  </w:r>
                </w:p>
              </w:tc>
              <w:tc>
                <w:tcPr>
                  <w:tcW w:type="dxa" w:w="6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6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6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16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潜水泵控制柜（一控二）</w:t>
                  </w:r>
                </w:p>
              </w:tc>
              <w:tc>
                <w:tcPr>
                  <w:tcW w:type="dxa" w:w="169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XR-21</w:t>
                  </w:r>
                </w:p>
              </w:tc>
              <w:tc>
                <w:tcPr>
                  <w:tcW w:type="dxa" w:w="6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6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6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16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潜水泵控制柜（一控一）</w:t>
                  </w:r>
                </w:p>
              </w:tc>
              <w:tc>
                <w:tcPr>
                  <w:tcW w:type="dxa" w:w="169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XL-21</w:t>
                  </w:r>
                </w:p>
              </w:tc>
              <w:tc>
                <w:tcPr>
                  <w:tcW w:type="dxa" w:w="6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6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6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color w:val="000000"/>
              </w:rPr>
              <w:t>4.化粪池数量</w:t>
            </w:r>
          </w:p>
          <w:tbl>
            <w:tblPr>
              <w:tblInd w:type="dxa" w:w="30"/>
              <w:tblBorders>
                <w:top w:val="none" w:color="000000" w:sz="4"/>
                <w:left w:val="none" w:color="000000" w:sz="4"/>
                <w:bottom w:val="none" w:color="000000" w:sz="4"/>
                <w:right w:val="none" w:color="000000" w:sz="4"/>
                <w:insideH w:val="none"/>
                <w:insideV w:val="none"/>
              </w:tblBorders>
            </w:tblPr>
            <w:tblGrid>
              <w:gridCol w:w="1005"/>
              <w:gridCol w:w="1005"/>
              <w:gridCol w:w="1005"/>
              <w:gridCol w:w="1399"/>
              <w:gridCol w:w="1153"/>
            </w:tblGrid>
            <w:tr>
              <w:tc>
                <w:tcPr>
                  <w:tcW w:type="dxa" w:w="100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00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100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39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容量</w:t>
                  </w:r>
                </w:p>
              </w:tc>
              <w:tc>
                <w:tcPr>
                  <w:tcW w:type="dxa" w:w="1153"/>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10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005"/>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化粪池</w:t>
                  </w:r>
                </w:p>
              </w:tc>
              <w:tc>
                <w:tcPr>
                  <w:tcW w:type="dxa" w:w="100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c>
                <w:tcPr>
                  <w:tcW w:type="dxa" w:w="13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200m³</w:t>
                  </w:r>
                </w:p>
              </w:tc>
              <w:tc>
                <w:tcPr>
                  <w:tcW w:type="dxa" w:w="11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2-1单元商铺外</w:t>
                  </w:r>
                </w:p>
              </w:tc>
            </w:tr>
            <w:tr>
              <w:tc>
                <w:tcPr>
                  <w:tcW w:type="dxa" w:w="10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005"/>
                  <w:vMerge/>
                  <w:tcBorders>
                    <w:top w:val="none" w:color="000000" w:sz="4"/>
                    <w:left w:val="none" w:color="000000" w:sz="4"/>
                    <w:bottom w:val="single" w:color="000000" w:sz="8"/>
                    <w:right w:val="single" w:color="000000" w:sz="8"/>
                  </w:tcBorders>
                </w:tcPr>
                <w:p/>
              </w:tc>
              <w:tc>
                <w:tcPr>
                  <w:tcW w:type="dxa" w:w="100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c>
                <w:tcPr>
                  <w:tcW w:type="dxa" w:w="13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300m³</w:t>
                  </w:r>
                </w:p>
              </w:tc>
              <w:tc>
                <w:tcPr>
                  <w:tcW w:type="dxa" w:w="11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1-2单元侧面</w:t>
                  </w:r>
                </w:p>
              </w:tc>
            </w:tr>
          </w:tbl>
          <w:p>
            <w:pPr>
              <w:pStyle w:val="null3"/>
              <w:ind w:firstLine="368"/>
              <w:jc w:val="both"/>
            </w:pPr>
            <w:r>
              <w:rPr>
                <w:rFonts w:ascii="仿宋_GB2312" w:hAnsi="仿宋_GB2312" w:cs="仿宋_GB2312" w:eastAsia="仿宋_GB2312"/>
                <w:sz w:val="24"/>
                <w:color w:val="000000"/>
              </w:rPr>
              <w:t>5.消防水箱及水池数量</w:t>
            </w:r>
          </w:p>
          <w:tbl>
            <w:tblPr>
              <w:tblInd w:type="dxa" w:w="30"/>
              <w:tblBorders>
                <w:top w:val="none" w:color="000000" w:sz="4"/>
                <w:left w:val="none" w:color="000000" w:sz="4"/>
                <w:bottom w:val="none" w:color="000000" w:sz="4"/>
                <w:right w:val="none" w:color="000000" w:sz="4"/>
                <w:insideH w:val="none"/>
                <w:insideV w:val="none"/>
              </w:tblBorders>
            </w:tblPr>
            <w:tblGrid>
              <w:gridCol w:w="1005"/>
              <w:gridCol w:w="1113"/>
              <w:gridCol w:w="1005"/>
              <w:gridCol w:w="1448"/>
              <w:gridCol w:w="1005"/>
            </w:tblGrid>
            <w:tr>
              <w:tc>
                <w:tcPr>
                  <w:tcW w:type="dxa" w:w="100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113"/>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100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448"/>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数量/容量</w:t>
                  </w:r>
                </w:p>
              </w:tc>
              <w:tc>
                <w:tcPr>
                  <w:tcW w:type="dxa" w:w="100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10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11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消防水泵房</w:t>
                  </w:r>
                </w:p>
              </w:tc>
              <w:tc>
                <w:tcPr>
                  <w:tcW w:type="dxa" w:w="100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间</w:t>
                  </w:r>
                </w:p>
              </w:tc>
              <w:tc>
                <w:tcPr>
                  <w:tcW w:type="dxa" w:w="144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00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3栋地下室</w:t>
                  </w:r>
                </w:p>
              </w:tc>
            </w:tr>
            <w:tr>
              <w:tc>
                <w:tcPr>
                  <w:tcW w:type="dxa" w:w="10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11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1号消防水池</w:t>
                  </w:r>
                </w:p>
              </w:tc>
              <w:tc>
                <w:tcPr>
                  <w:tcW w:type="dxa" w:w="100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方</w:t>
                  </w:r>
                </w:p>
              </w:tc>
              <w:tc>
                <w:tcPr>
                  <w:tcW w:type="dxa" w:w="144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w:t>
                  </w:r>
                </w:p>
              </w:tc>
              <w:tc>
                <w:tcPr>
                  <w:tcW w:type="dxa" w:w="100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3栋地下室</w:t>
                  </w:r>
                </w:p>
              </w:tc>
            </w:tr>
            <w:tr>
              <w:tc>
                <w:tcPr>
                  <w:tcW w:type="dxa" w:w="10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11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1号消防水箱</w:t>
                  </w:r>
                </w:p>
              </w:tc>
              <w:tc>
                <w:tcPr>
                  <w:tcW w:type="dxa" w:w="100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方</w:t>
                  </w:r>
                </w:p>
              </w:tc>
              <w:tc>
                <w:tcPr>
                  <w:tcW w:type="dxa" w:w="144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11.25</w:t>
                  </w:r>
                </w:p>
              </w:tc>
              <w:tc>
                <w:tcPr>
                  <w:tcW w:type="dxa" w:w="100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3栋楼顶</w:t>
                  </w:r>
                </w:p>
              </w:tc>
            </w:tr>
            <w:tr>
              <w:tc>
                <w:tcPr>
                  <w:tcW w:type="dxa" w:w="10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11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2号消防水箱</w:t>
                  </w:r>
                </w:p>
              </w:tc>
              <w:tc>
                <w:tcPr>
                  <w:tcW w:type="dxa" w:w="100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方</w:t>
                  </w:r>
                </w:p>
              </w:tc>
              <w:tc>
                <w:tcPr>
                  <w:tcW w:type="dxa" w:w="144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11.25</w:t>
                  </w:r>
                </w:p>
              </w:tc>
              <w:tc>
                <w:tcPr>
                  <w:tcW w:type="dxa" w:w="100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3栋楼顶</w:t>
                  </w:r>
                </w:p>
              </w:tc>
            </w:tr>
            <w:tr>
              <w:tc>
                <w:tcPr>
                  <w:tcW w:type="dxa" w:w="10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11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消防喷淋泵</w:t>
                  </w:r>
                </w:p>
              </w:tc>
              <w:tc>
                <w:tcPr>
                  <w:tcW w:type="dxa" w:w="100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44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00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3栋地下室</w:t>
                  </w:r>
                </w:p>
              </w:tc>
            </w:tr>
            <w:tr>
              <w:tc>
                <w:tcPr>
                  <w:tcW w:type="dxa" w:w="10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11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消火栓水泵</w:t>
                  </w:r>
                </w:p>
              </w:tc>
              <w:tc>
                <w:tcPr>
                  <w:tcW w:type="dxa" w:w="100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44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00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3栋地下室</w:t>
                  </w:r>
                </w:p>
              </w:tc>
            </w:tr>
          </w:tbl>
          <w:p>
            <w:pPr>
              <w:pStyle w:val="null3"/>
              <w:ind w:firstLine="368"/>
              <w:jc w:val="both"/>
            </w:pPr>
            <w:r>
              <w:rPr>
                <w:rFonts w:ascii="仿宋_GB2312" w:hAnsi="仿宋_GB2312" w:cs="仿宋_GB2312" w:eastAsia="仿宋_GB2312"/>
                <w:sz w:val="24"/>
                <w:color w:val="000000"/>
              </w:rPr>
              <w:t>6.其他设施数量</w:t>
            </w:r>
          </w:p>
          <w:tbl>
            <w:tblPr>
              <w:tblInd w:type="dxa" w:w="30"/>
              <w:tblBorders>
                <w:top w:val="none" w:color="000000" w:sz="4"/>
                <w:left w:val="none" w:color="000000" w:sz="4"/>
                <w:bottom w:val="none" w:color="000000" w:sz="4"/>
                <w:right w:val="none" w:color="000000" w:sz="4"/>
                <w:insideH w:val="none"/>
                <w:insideV w:val="none"/>
              </w:tblBorders>
            </w:tblPr>
            <w:tblGrid>
              <w:gridCol w:w="630"/>
              <w:gridCol w:w="1419"/>
              <w:gridCol w:w="778"/>
              <w:gridCol w:w="1872"/>
              <w:gridCol w:w="325"/>
              <w:gridCol w:w="542"/>
            </w:tblGrid>
            <w:tr>
              <w:tc>
                <w:tcPr>
                  <w:tcW w:type="dxa" w:w="63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41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778"/>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87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型号/功率</w:t>
                  </w:r>
                </w:p>
              </w:tc>
              <w:tc>
                <w:tcPr>
                  <w:tcW w:type="dxa" w:w="32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54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63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监控设备</w:t>
                  </w:r>
                </w:p>
              </w:tc>
              <w:tc>
                <w:tcPr>
                  <w:tcW w:type="dxa" w:w="77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87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DS-7804HQHQ-K1/200W</w:t>
                  </w:r>
                </w:p>
              </w:tc>
              <w:tc>
                <w:tcPr>
                  <w:tcW w:type="dxa" w:w="3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4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3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4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地下室摄像机</w:t>
                  </w:r>
                </w:p>
              </w:tc>
              <w:tc>
                <w:tcPr>
                  <w:tcW w:type="dxa" w:w="77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87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left="390" w:right="390"/>
                    <w:jc w:val="center"/>
                  </w:pPr>
                  <w:r>
                    <w:rPr>
                      <w:rFonts w:ascii="仿宋_GB2312" w:hAnsi="仿宋_GB2312" w:cs="仿宋_GB2312" w:eastAsia="仿宋_GB2312"/>
                      <w:sz w:val="24"/>
                    </w:rPr>
                    <w:t>HIK/DS-8116HF-ST/-AF-DVR-II-A16-16</w:t>
                  </w:r>
                </w:p>
              </w:tc>
              <w:tc>
                <w:tcPr>
                  <w:tcW w:type="dxa" w:w="3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82</w:t>
                  </w:r>
                </w:p>
              </w:tc>
              <w:tc>
                <w:tcPr>
                  <w:tcW w:type="dxa" w:w="54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3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4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商铺枪机</w:t>
                  </w:r>
                </w:p>
              </w:tc>
              <w:tc>
                <w:tcPr>
                  <w:tcW w:type="dxa" w:w="77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87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DS-IPC-B12HV2-IA</w:t>
                  </w:r>
                </w:p>
              </w:tc>
              <w:tc>
                <w:tcPr>
                  <w:tcW w:type="dxa" w:w="3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w:t>
                  </w:r>
                </w:p>
              </w:tc>
              <w:tc>
                <w:tcPr>
                  <w:tcW w:type="dxa" w:w="54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3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4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总坪枪机</w:t>
                  </w:r>
                </w:p>
              </w:tc>
              <w:tc>
                <w:tcPr>
                  <w:tcW w:type="dxa" w:w="77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87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DS-IPC-B12HV2-IA</w:t>
                  </w:r>
                </w:p>
              </w:tc>
              <w:tc>
                <w:tcPr>
                  <w:tcW w:type="dxa" w:w="3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54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3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4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单元摄像机</w:t>
                  </w:r>
                </w:p>
              </w:tc>
              <w:tc>
                <w:tcPr>
                  <w:tcW w:type="dxa" w:w="77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87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HIK/DS-8116HF-ST/-AF-DVR-II-A16-16</w:t>
                  </w:r>
                </w:p>
              </w:tc>
              <w:tc>
                <w:tcPr>
                  <w:tcW w:type="dxa" w:w="3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54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3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4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电梯摄像机</w:t>
                  </w:r>
                </w:p>
              </w:tc>
              <w:tc>
                <w:tcPr>
                  <w:tcW w:type="dxa" w:w="77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87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HIK/DS-8116HF-ST/-AF-DVR-II-A16-16</w:t>
                  </w:r>
                </w:p>
              </w:tc>
              <w:tc>
                <w:tcPr>
                  <w:tcW w:type="dxa" w:w="3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54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3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4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发电机</w:t>
                  </w:r>
                </w:p>
              </w:tc>
              <w:tc>
                <w:tcPr>
                  <w:tcW w:type="dxa" w:w="77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87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GR355FS/500KW</w:t>
                  </w:r>
                </w:p>
              </w:tc>
              <w:tc>
                <w:tcPr>
                  <w:tcW w:type="dxa" w:w="3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4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1栋地下室</w:t>
                  </w:r>
                </w:p>
              </w:tc>
            </w:tr>
            <w:tr>
              <w:tc>
                <w:tcPr>
                  <w:tcW w:type="dxa" w:w="63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4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风机</w:t>
                  </w:r>
                </w:p>
              </w:tc>
              <w:tc>
                <w:tcPr>
                  <w:tcW w:type="dxa" w:w="77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87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FPB10/15KW</w:t>
                  </w:r>
                </w:p>
              </w:tc>
              <w:tc>
                <w:tcPr>
                  <w:tcW w:type="dxa" w:w="3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54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地下室及楼顶</w:t>
                  </w:r>
                </w:p>
              </w:tc>
            </w:tr>
            <w:tr>
              <w:tc>
                <w:tcPr>
                  <w:tcW w:type="dxa" w:w="63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4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二次供水设备</w:t>
                  </w:r>
                </w:p>
              </w:tc>
              <w:tc>
                <w:tcPr>
                  <w:tcW w:type="dxa" w:w="77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87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CK20-8/11KW</w:t>
                  </w:r>
                </w:p>
              </w:tc>
              <w:tc>
                <w:tcPr>
                  <w:tcW w:type="dxa" w:w="3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4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2栋地下室</w:t>
                  </w:r>
                </w:p>
              </w:tc>
            </w:tr>
          </w:tbl>
          <w:p>
            <w:pPr>
              <w:pStyle w:val="null3"/>
              <w:ind w:firstLine="368"/>
              <w:jc w:val="both"/>
            </w:pPr>
            <w:r>
              <w:rPr>
                <w:rFonts w:ascii="仿宋_GB2312" w:hAnsi="仿宋_GB2312" w:cs="仿宋_GB2312" w:eastAsia="仿宋_GB2312"/>
                <w:sz w:val="24"/>
                <w:b/>
              </w:rPr>
              <w:t>互助佳园小区具体设施设备情况如下：</w:t>
            </w:r>
          </w:p>
          <w:p>
            <w:pPr>
              <w:pStyle w:val="null3"/>
              <w:ind w:firstLine="368"/>
              <w:jc w:val="both"/>
            </w:pPr>
            <w:r>
              <w:rPr>
                <w:rFonts w:ascii="仿宋_GB2312" w:hAnsi="仿宋_GB2312" w:cs="仿宋_GB2312" w:eastAsia="仿宋_GB2312"/>
                <w:sz w:val="24"/>
              </w:rPr>
              <w:t>1.小区各栋楼层及电梯数量</w:t>
            </w:r>
          </w:p>
          <w:tbl>
            <w:tblPr>
              <w:tblInd w:type="dxa" w:w="30"/>
              <w:tblBorders>
                <w:top w:val="none" w:color="000000" w:sz="4"/>
                <w:left w:val="none" w:color="000000" w:sz="4"/>
                <w:bottom w:val="none" w:color="000000" w:sz="4"/>
                <w:right w:val="none" w:color="000000" w:sz="4"/>
                <w:insideH w:val="none"/>
                <w:insideV w:val="none"/>
              </w:tblBorders>
            </w:tblPr>
            <w:tblGrid>
              <w:gridCol w:w="473"/>
              <w:gridCol w:w="620"/>
              <w:gridCol w:w="620"/>
              <w:gridCol w:w="946"/>
              <w:gridCol w:w="1162"/>
              <w:gridCol w:w="729"/>
              <w:gridCol w:w="1005"/>
            </w:tblGrid>
            <w:tr>
              <w:tc>
                <w:tcPr>
                  <w:tcW w:type="dxa" w:w="473"/>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序号</w:t>
                  </w:r>
                </w:p>
              </w:tc>
              <w:tc>
                <w:tcPr>
                  <w:tcW w:type="dxa" w:w="62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栋号</w:t>
                  </w:r>
                </w:p>
              </w:tc>
              <w:tc>
                <w:tcPr>
                  <w:tcW w:type="dxa" w:w="62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单元数量</w:t>
                  </w:r>
                </w:p>
              </w:tc>
              <w:tc>
                <w:tcPr>
                  <w:tcW w:type="dxa" w:w="94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楼层</w:t>
                  </w:r>
                </w:p>
              </w:tc>
              <w:tc>
                <w:tcPr>
                  <w:tcW w:type="dxa" w:w="116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电梯数量（台）</w:t>
                  </w:r>
                </w:p>
              </w:tc>
              <w:tc>
                <w:tcPr>
                  <w:tcW w:type="dxa" w:w="72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电梯品牌</w:t>
                  </w:r>
                </w:p>
              </w:tc>
              <w:tc>
                <w:tcPr>
                  <w:tcW w:type="dxa" w:w="100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备注</w:t>
                  </w:r>
                </w:p>
              </w:tc>
            </w:tr>
            <w:tr>
              <w:tc>
                <w:tcPr>
                  <w:tcW w:type="dxa" w:w="4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1</w:t>
                  </w:r>
                </w:p>
              </w:tc>
              <w:tc>
                <w:tcPr>
                  <w:tcW w:type="dxa" w:w="62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1栋</w:t>
                  </w:r>
                </w:p>
              </w:tc>
              <w:tc>
                <w:tcPr>
                  <w:tcW w:type="dxa" w:w="62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4</w:t>
                  </w:r>
                </w:p>
              </w:tc>
              <w:tc>
                <w:tcPr>
                  <w:tcW w:type="dxa" w:w="9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地上11层，地下1层</w:t>
                  </w:r>
                </w:p>
              </w:tc>
              <w:tc>
                <w:tcPr>
                  <w:tcW w:type="dxa" w:w="116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4</w:t>
                  </w:r>
                </w:p>
              </w:tc>
              <w:tc>
                <w:tcPr>
                  <w:tcW w:type="dxa" w:w="7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三洋</w:t>
                  </w:r>
                </w:p>
              </w:tc>
              <w:tc>
                <w:tcPr>
                  <w:tcW w:type="dxa" w:w="1005"/>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color w:val="000000"/>
                    </w:rPr>
                    <w:t>电梯类型：曳引与强制驱动乘客电梯；电梯额定速度为1.75m/s</w:t>
                  </w:r>
                  <w:r>
                    <w:rPr>
                      <w:rFonts w:ascii="仿宋_GB2312" w:hAnsi="仿宋_GB2312" w:cs="仿宋_GB2312" w:eastAsia="仿宋_GB2312"/>
                      <w:sz w:val="24"/>
                      <w:color w:val="000000"/>
                    </w:rPr>
                    <w:t>；</w:t>
                  </w:r>
                  <w:r>
                    <w:rPr>
                      <w:rFonts w:ascii="仿宋_GB2312" w:hAnsi="仿宋_GB2312" w:cs="仿宋_GB2312" w:eastAsia="仿宋_GB2312"/>
                      <w:sz w:val="24"/>
                      <w:color w:val="000000"/>
                    </w:rPr>
                    <w:t>额定功率9.6KW/台</w:t>
                  </w:r>
                </w:p>
              </w:tc>
            </w:tr>
            <w:tr>
              <w:tc>
                <w:tcPr>
                  <w:tcW w:type="dxa" w:w="4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2</w:t>
                  </w:r>
                </w:p>
              </w:tc>
              <w:tc>
                <w:tcPr>
                  <w:tcW w:type="dxa" w:w="62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2栋</w:t>
                  </w:r>
                </w:p>
              </w:tc>
              <w:tc>
                <w:tcPr>
                  <w:tcW w:type="dxa" w:w="62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3</w:t>
                  </w:r>
                </w:p>
              </w:tc>
              <w:tc>
                <w:tcPr>
                  <w:tcW w:type="dxa" w:w="9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地上11层，地下1层</w:t>
                  </w:r>
                </w:p>
              </w:tc>
              <w:tc>
                <w:tcPr>
                  <w:tcW w:type="dxa" w:w="116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3</w:t>
                  </w:r>
                </w:p>
              </w:tc>
              <w:tc>
                <w:tcPr>
                  <w:tcW w:type="dxa" w:w="729"/>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三洋</w:t>
                  </w:r>
                </w:p>
              </w:tc>
              <w:tc>
                <w:tcPr>
                  <w:tcW w:type="dxa" w:w="1005"/>
                  <w:vMerge/>
                  <w:tcBorders>
                    <w:top w:val="none" w:color="000000" w:sz="4"/>
                    <w:left w:val="none" w:color="000000" w:sz="4"/>
                    <w:bottom w:val="single" w:color="000000" w:sz="8"/>
                    <w:right w:val="single" w:color="000000" w:sz="8"/>
                  </w:tcBorders>
                </w:tcPr>
                <w:p/>
              </w:tc>
            </w:tr>
            <w:tr>
              <w:tc>
                <w:tcPr>
                  <w:tcW w:type="dxa" w:w="4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3</w:t>
                  </w:r>
                </w:p>
              </w:tc>
              <w:tc>
                <w:tcPr>
                  <w:tcW w:type="dxa" w:w="62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3栋</w:t>
                  </w:r>
                </w:p>
              </w:tc>
              <w:tc>
                <w:tcPr>
                  <w:tcW w:type="dxa" w:w="62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1</w:t>
                  </w:r>
                </w:p>
              </w:tc>
              <w:tc>
                <w:tcPr>
                  <w:tcW w:type="dxa" w:w="9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地上18层，地下1层</w:t>
                  </w:r>
                </w:p>
              </w:tc>
              <w:tc>
                <w:tcPr>
                  <w:tcW w:type="dxa" w:w="116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2</w:t>
                  </w:r>
                </w:p>
              </w:tc>
              <w:tc>
                <w:tcPr>
                  <w:tcW w:type="dxa" w:w="729"/>
                  <w:vMerge/>
                  <w:tcBorders>
                    <w:top w:val="none" w:color="000000" w:sz="4"/>
                    <w:left w:val="none" w:color="000000" w:sz="4"/>
                    <w:bottom w:val="single" w:color="000000" w:sz="8"/>
                    <w:right w:val="single" w:color="000000" w:sz="8"/>
                  </w:tcBorders>
                </w:tcPr>
                <w:p/>
              </w:tc>
              <w:tc>
                <w:tcPr>
                  <w:tcW w:type="dxa" w:w="1005"/>
                  <w:vMerge/>
                  <w:tcBorders>
                    <w:top w:val="none" w:color="000000" w:sz="4"/>
                    <w:left w:val="none" w:color="000000" w:sz="4"/>
                    <w:bottom w:val="single" w:color="000000" w:sz="8"/>
                    <w:right w:val="single" w:color="000000" w:sz="8"/>
                  </w:tcBorders>
                </w:tcPr>
                <w:p/>
              </w:tc>
            </w:tr>
            <w:tr>
              <w:tc>
                <w:tcPr>
                  <w:tcW w:type="dxa" w:w="1093"/>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合计</w:t>
                  </w:r>
                </w:p>
              </w:tc>
              <w:tc>
                <w:tcPr>
                  <w:tcW w:type="dxa" w:w="62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w:t>
                  </w:r>
                </w:p>
              </w:tc>
              <w:tc>
                <w:tcPr>
                  <w:tcW w:type="dxa" w:w="9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w:t>
                  </w:r>
                </w:p>
              </w:tc>
              <w:tc>
                <w:tcPr>
                  <w:tcW w:type="dxa" w:w="116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9</w:t>
                  </w:r>
                </w:p>
              </w:tc>
              <w:tc>
                <w:tcPr>
                  <w:tcW w:type="dxa" w:w="7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100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4"/>
              </w:rPr>
              <w:t>2.变压器数量</w:t>
            </w:r>
          </w:p>
          <w:tbl>
            <w:tblPr>
              <w:tblInd w:type="dxa" w:w="30"/>
              <w:tblBorders>
                <w:top w:val="none" w:color="000000" w:sz="4"/>
                <w:left w:val="none" w:color="000000" w:sz="4"/>
                <w:bottom w:val="none" w:color="000000" w:sz="4"/>
                <w:right w:val="none" w:color="000000" w:sz="4"/>
                <w:insideH w:val="none"/>
                <w:insideV w:val="none"/>
              </w:tblBorders>
            </w:tblPr>
            <w:tblGrid>
              <w:gridCol w:w="1645"/>
              <w:gridCol w:w="2006"/>
              <w:gridCol w:w="642"/>
              <w:gridCol w:w="642"/>
              <w:gridCol w:w="642"/>
            </w:tblGrid>
            <w:tr>
              <w:tc>
                <w:tcPr>
                  <w:tcW w:type="dxa" w:w="164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60"/>
                    <w:ind w:firstLine="200"/>
                    <w:jc w:val="center"/>
                  </w:pPr>
                  <w:r>
                    <w:rPr>
                      <w:rFonts w:ascii="仿宋_GB2312" w:hAnsi="仿宋_GB2312" w:cs="仿宋_GB2312" w:eastAsia="仿宋_GB2312"/>
                      <w:sz w:val="24"/>
                    </w:rPr>
                    <w:t>名称</w:t>
                  </w:r>
                </w:p>
              </w:tc>
              <w:tc>
                <w:tcPr>
                  <w:tcW w:type="dxa" w:w="200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ind w:firstLine="200"/>
                    <w:jc w:val="center"/>
                  </w:pPr>
                  <w:r>
                    <w:rPr>
                      <w:rFonts w:ascii="仿宋_GB2312" w:hAnsi="仿宋_GB2312" w:cs="仿宋_GB2312" w:eastAsia="仿宋_GB2312"/>
                      <w:sz w:val="24"/>
                    </w:rPr>
                    <w:t>项目特征描述</w:t>
                  </w:r>
                </w:p>
              </w:tc>
              <w:tc>
                <w:tcPr>
                  <w:tcW w:type="dxa" w:w="64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ind w:firstLine="200"/>
                    <w:jc w:val="center"/>
                  </w:pPr>
                  <w:r>
                    <w:rPr>
                      <w:rFonts w:ascii="仿宋_GB2312" w:hAnsi="仿宋_GB2312" w:cs="仿宋_GB2312" w:eastAsia="仿宋_GB2312"/>
                      <w:sz w:val="24"/>
                    </w:rPr>
                    <w:t>计量单位</w:t>
                  </w:r>
                </w:p>
              </w:tc>
              <w:tc>
                <w:tcPr>
                  <w:tcW w:type="dxa" w:w="64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ind w:firstLine="200"/>
                    <w:jc w:val="center"/>
                  </w:pPr>
                  <w:r>
                    <w:rPr>
                      <w:rFonts w:ascii="仿宋_GB2312" w:hAnsi="仿宋_GB2312" w:cs="仿宋_GB2312" w:eastAsia="仿宋_GB2312"/>
                      <w:sz w:val="24"/>
                    </w:rPr>
                    <w:t>数量</w:t>
                  </w:r>
                </w:p>
              </w:tc>
              <w:tc>
                <w:tcPr>
                  <w:tcW w:type="dxa" w:w="64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ind w:firstLine="200"/>
                    <w:jc w:val="center"/>
                  </w:pPr>
                  <w:r>
                    <w:rPr>
                      <w:rFonts w:ascii="仿宋_GB2312" w:hAnsi="仿宋_GB2312" w:cs="仿宋_GB2312" w:eastAsia="仿宋_GB2312"/>
                      <w:sz w:val="24"/>
                    </w:rPr>
                    <w:t>备注</w:t>
                  </w:r>
                </w:p>
              </w:tc>
            </w:tr>
            <w:tr>
              <w:tc>
                <w:tcPr>
                  <w:tcW w:type="dxa" w:w="16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60"/>
                    <w:ind w:firstLine="200"/>
                    <w:jc w:val="center"/>
                  </w:pPr>
                  <w:r>
                    <w:rPr>
                      <w:rFonts w:ascii="仿宋_GB2312" w:hAnsi="仿宋_GB2312" w:cs="仿宋_GB2312" w:eastAsia="仿宋_GB2312"/>
                      <w:sz w:val="24"/>
                    </w:rPr>
                    <w:t>干式变压器SCB11-630/10</w:t>
                  </w:r>
                </w:p>
              </w:tc>
              <w:tc>
                <w:tcPr>
                  <w:tcW w:type="dxa" w:w="20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ind w:firstLine="200"/>
                    <w:jc w:val="both"/>
                  </w:pPr>
                  <w:r>
                    <w:rPr>
                      <w:rFonts w:ascii="仿宋_GB2312" w:hAnsi="仿宋_GB2312" w:cs="仿宋_GB2312" w:eastAsia="仿宋_GB2312"/>
                      <w:sz w:val="24"/>
                    </w:rPr>
                    <w:t>1.名称:干式变压器</w:t>
                  </w:r>
                </w:p>
                <w:p>
                  <w:pPr>
                    <w:pStyle w:val="null3"/>
                    <w:spacing w:before="60"/>
                    <w:ind w:firstLine="200"/>
                    <w:jc w:val="both"/>
                  </w:pPr>
                  <w:r>
                    <w:rPr>
                      <w:rFonts w:ascii="仿宋_GB2312" w:hAnsi="仿宋_GB2312" w:cs="仿宋_GB2312" w:eastAsia="仿宋_GB2312"/>
                      <w:sz w:val="24"/>
                    </w:rPr>
                    <w:t>2.型号SCB11-630/10</w:t>
                  </w:r>
                </w:p>
                <w:p>
                  <w:pPr>
                    <w:pStyle w:val="null3"/>
                    <w:spacing w:before="60"/>
                    <w:ind w:firstLine="200"/>
                    <w:jc w:val="both"/>
                  </w:pPr>
                  <w:r>
                    <w:rPr>
                      <w:rFonts w:ascii="仿宋_GB2312" w:hAnsi="仿宋_GB2312" w:cs="仿宋_GB2312" w:eastAsia="仿宋_GB2312"/>
                      <w:sz w:val="24"/>
                    </w:rPr>
                    <w:t>3.容量（kVA）: 630</w:t>
                  </w:r>
                </w:p>
                <w:p>
                  <w:pPr>
                    <w:pStyle w:val="null3"/>
                    <w:spacing w:before="60"/>
                    <w:ind w:firstLine="200"/>
                    <w:jc w:val="both"/>
                  </w:pPr>
                  <w:r>
                    <w:rPr>
                      <w:rFonts w:ascii="仿宋_GB2312" w:hAnsi="仿宋_GB2312" w:cs="仿宋_GB2312" w:eastAsia="仿宋_GB2312"/>
                      <w:sz w:val="24"/>
                    </w:rPr>
                    <w:t>4.电压（kV）:1000/400</w:t>
                  </w:r>
                </w:p>
                <w:p>
                  <w:pPr>
                    <w:pStyle w:val="null3"/>
                    <w:spacing w:before="60"/>
                    <w:ind w:firstLine="200"/>
                    <w:jc w:val="both"/>
                  </w:pPr>
                  <w:r>
                    <w:rPr>
                      <w:rFonts w:ascii="仿宋_GB2312" w:hAnsi="仿宋_GB2312" w:cs="仿宋_GB2312" w:eastAsia="仿宋_GB2312"/>
                      <w:sz w:val="24"/>
                    </w:rPr>
                    <w:t>5.带箱式外壳</w:t>
                  </w:r>
                </w:p>
              </w:tc>
              <w:tc>
                <w:tcPr>
                  <w:tcW w:type="dxa" w:w="64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ind w:firstLine="200"/>
                    <w:jc w:val="center"/>
                  </w:pPr>
                  <w:r>
                    <w:rPr>
                      <w:rFonts w:ascii="仿宋_GB2312" w:hAnsi="仿宋_GB2312" w:cs="仿宋_GB2312" w:eastAsia="仿宋_GB2312"/>
                      <w:sz w:val="24"/>
                    </w:rPr>
                    <w:t>台</w:t>
                  </w:r>
                </w:p>
              </w:tc>
              <w:tc>
                <w:tcPr>
                  <w:tcW w:type="dxa" w:w="64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ind w:firstLine="200"/>
                    <w:jc w:val="center"/>
                  </w:pPr>
                  <w:r>
                    <w:rPr>
                      <w:rFonts w:ascii="仿宋_GB2312" w:hAnsi="仿宋_GB2312" w:cs="仿宋_GB2312" w:eastAsia="仿宋_GB2312"/>
                      <w:sz w:val="24"/>
                    </w:rPr>
                    <w:t>1</w:t>
                  </w:r>
                </w:p>
              </w:tc>
              <w:tc>
                <w:tcPr>
                  <w:tcW w:type="dxa" w:w="64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ind w:firstLine="200"/>
                    <w:jc w:val="center"/>
                  </w:pPr>
                  <w:r>
                    <w:rPr>
                      <w:rFonts w:ascii="仿宋_GB2312" w:hAnsi="仿宋_GB2312" w:cs="仿宋_GB2312" w:eastAsia="仿宋_GB2312"/>
                      <w:sz w:val="24"/>
                    </w:rPr>
                    <w:t>3栋地下配电房</w:t>
                  </w:r>
                </w:p>
              </w:tc>
            </w:tr>
            <w:tr>
              <w:tc>
                <w:tcPr>
                  <w:tcW w:type="dxa" w:w="16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60"/>
                    <w:ind w:firstLine="200"/>
                    <w:jc w:val="center"/>
                  </w:pPr>
                  <w:r>
                    <w:rPr>
                      <w:rFonts w:ascii="仿宋_GB2312" w:hAnsi="仿宋_GB2312" w:cs="仿宋_GB2312" w:eastAsia="仿宋_GB2312"/>
                      <w:sz w:val="24"/>
                    </w:rPr>
                    <w:t>干式变压器 SCB11-500/10</w:t>
                  </w:r>
                </w:p>
              </w:tc>
              <w:tc>
                <w:tcPr>
                  <w:tcW w:type="dxa" w:w="20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ind w:firstLine="200"/>
                    <w:jc w:val="both"/>
                  </w:pPr>
                  <w:r>
                    <w:rPr>
                      <w:rFonts w:ascii="仿宋_GB2312" w:hAnsi="仿宋_GB2312" w:cs="仿宋_GB2312" w:eastAsia="仿宋_GB2312"/>
                      <w:sz w:val="24"/>
                    </w:rPr>
                    <w:t>1.名称:干式变压器</w:t>
                  </w:r>
                </w:p>
                <w:p>
                  <w:pPr>
                    <w:pStyle w:val="null3"/>
                    <w:spacing w:before="60"/>
                    <w:ind w:firstLine="200"/>
                    <w:jc w:val="both"/>
                  </w:pPr>
                  <w:r>
                    <w:rPr>
                      <w:rFonts w:ascii="仿宋_GB2312" w:hAnsi="仿宋_GB2312" w:cs="仿宋_GB2312" w:eastAsia="仿宋_GB2312"/>
                      <w:sz w:val="24"/>
                    </w:rPr>
                    <w:t>2.型号:SCB11-500/10</w:t>
                  </w:r>
                </w:p>
                <w:p>
                  <w:pPr>
                    <w:pStyle w:val="null3"/>
                    <w:spacing w:before="60"/>
                    <w:ind w:firstLine="200"/>
                    <w:jc w:val="both"/>
                  </w:pPr>
                  <w:r>
                    <w:rPr>
                      <w:rFonts w:ascii="仿宋_GB2312" w:hAnsi="仿宋_GB2312" w:cs="仿宋_GB2312" w:eastAsia="仿宋_GB2312"/>
                      <w:sz w:val="24"/>
                    </w:rPr>
                    <w:t>3.容量（kVA）: 500</w:t>
                  </w:r>
                </w:p>
                <w:p>
                  <w:pPr>
                    <w:pStyle w:val="null3"/>
                    <w:spacing w:before="60"/>
                    <w:ind w:firstLine="200"/>
                    <w:jc w:val="both"/>
                  </w:pPr>
                  <w:r>
                    <w:rPr>
                      <w:rFonts w:ascii="仿宋_GB2312" w:hAnsi="仿宋_GB2312" w:cs="仿宋_GB2312" w:eastAsia="仿宋_GB2312"/>
                      <w:sz w:val="24"/>
                    </w:rPr>
                    <w:t>4.电压（kV）:1000/400</w:t>
                  </w:r>
                </w:p>
                <w:p>
                  <w:pPr>
                    <w:pStyle w:val="null3"/>
                    <w:spacing w:before="60"/>
                    <w:ind w:firstLine="200"/>
                    <w:jc w:val="both"/>
                  </w:pPr>
                  <w:r>
                    <w:rPr>
                      <w:rFonts w:ascii="仿宋_GB2312" w:hAnsi="仿宋_GB2312" w:cs="仿宋_GB2312" w:eastAsia="仿宋_GB2312"/>
                      <w:sz w:val="24"/>
                    </w:rPr>
                    <w:t>5.带箱式外壳</w:t>
                  </w:r>
                </w:p>
              </w:tc>
              <w:tc>
                <w:tcPr>
                  <w:tcW w:type="dxa" w:w="64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ind w:firstLine="200"/>
                    <w:jc w:val="center"/>
                  </w:pPr>
                  <w:r>
                    <w:rPr>
                      <w:rFonts w:ascii="仿宋_GB2312" w:hAnsi="仿宋_GB2312" w:cs="仿宋_GB2312" w:eastAsia="仿宋_GB2312"/>
                      <w:sz w:val="24"/>
                    </w:rPr>
                    <w:t>台</w:t>
                  </w:r>
                </w:p>
              </w:tc>
              <w:tc>
                <w:tcPr>
                  <w:tcW w:type="dxa" w:w="64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ind w:firstLine="200"/>
                    <w:jc w:val="center"/>
                  </w:pPr>
                  <w:r>
                    <w:rPr>
                      <w:rFonts w:ascii="仿宋_GB2312" w:hAnsi="仿宋_GB2312" w:cs="仿宋_GB2312" w:eastAsia="仿宋_GB2312"/>
                      <w:sz w:val="24"/>
                    </w:rPr>
                    <w:t>1</w:t>
                  </w:r>
                </w:p>
              </w:tc>
              <w:tc>
                <w:tcPr>
                  <w:tcW w:type="dxa" w:w="64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ind w:firstLine="200"/>
                    <w:jc w:val="center"/>
                  </w:pPr>
                  <w:r>
                    <w:rPr>
                      <w:rFonts w:ascii="仿宋_GB2312" w:hAnsi="仿宋_GB2312" w:cs="仿宋_GB2312" w:eastAsia="仿宋_GB2312"/>
                      <w:sz w:val="24"/>
                    </w:rPr>
                    <w:t>3栋地下配电房</w:t>
                  </w:r>
                </w:p>
              </w:tc>
            </w:tr>
          </w:tbl>
          <w:p>
            <w:pPr>
              <w:pStyle w:val="null3"/>
              <w:ind w:firstLine="368"/>
              <w:jc w:val="both"/>
            </w:pPr>
            <w:r>
              <w:rPr>
                <w:rFonts w:ascii="仿宋_GB2312" w:hAnsi="仿宋_GB2312" w:cs="仿宋_GB2312" w:eastAsia="仿宋_GB2312"/>
                <w:sz w:val="24"/>
              </w:rPr>
              <w:t>3.污水泵及控制柜数量</w:t>
            </w:r>
          </w:p>
          <w:tbl>
            <w:tblPr>
              <w:tblInd w:type="dxa" w:w="30"/>
              <w:tblBorders>
                <w:top w:val="none" w:color="000000" w:sz="4"/>
                <w:left w:val="none" w:color="000000" w:sz="4"/>
                <w:bottom w:val="none" w:color="000000" w:sz="4"/>
                <w:right w:val="none" w:color="000000" w:sz="4"/>
                <w:insideH w:val="none"/>
                <w:insideV w:val="none"/>
              </w:tblBorders>
            </w:tblPr>
            <w:tblGrid>
              <w:gridCol w:w="752"/>
              <w:gridCol w:w="1193"/>
              <w:gridCol w:w="1364"/>
              <w:gridCol w:w="752"/>
              <w:gridCol w:w="752"/>
              <w:gridCol w:w="752"/>
            </w:tblGrid>
            <w:tr>
              <w:tc>
                <w:tcPr>
                  <w:tcW w:type="dxa" w:w="75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193"/>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设备名称</w:t>
                  </w:r>
                </w:p>
              </w:tc>
              <w:tc>
                <w:tcPr>
                  <w:tcW w:type="dxa" w:w="136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型号</w:t>
                  </w:r>
                </w:p>
              </w:tc>
              <w:tc>
                <w:tcPr>
                  <w:tcW w:type="dxa" w:w="75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75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75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7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9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潜水泵</w:t>
                  </w:r>
                </w:p>
              </w:tc>
              <w:tc>
                <w:tcPr>
                  <w:tcW w:type="dxa" w:w="1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50JYWQ10-11</w:t>
                  </w:r>
                </w:p>
              </w:tc>
              <w:tc>
                <w:tcPr>
                  <w:tcW w:type="dxa" w:w="75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75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75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7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19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潜水泵控制柜（一控二）</w:t>
                  </w:r>
                </w:p>
              </w:tc>
              <w:tc>
                <w:tcPr>
                  <w:tcW w:type="dxa" w:w="1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APEQW1</w:t>
                  </w:r>
                </w:p>
              </w:tc>
              <w:tc>
                <w:tcPr>
                  <w:tcW w:type="dxa" w:w="75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75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75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7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19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潜水泵控制柜（一控一）</w:t>
                  </w:r>
                </w:p>
              </w:tc>
              <w:tc>
                <w:tcPr>
                  <w:tcW w:type="dxa" w:w="1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APEQW2</w:t>
                  </w:r>
                </w:p>
              </w:tc>
              <w:tc>
                <w:tcPr>
                  <w:tcW w:type="dxa" w:w="75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75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75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rPr>
              <w:t>4.化粪池数量</w:t>
            </w:r>
          </w:p>
          <w:tbl>
            <w:tblPr>
              <w:tblInd w:type="dxa" w:w="30"/>
              <w:tblBorders>
                <w:top w:val="none" w:color="000000" w:sz="4"/>
                <w:left w:val="none" w:color="000000" w:sz="4"/>
                <w:bottom w:val="none" w:color="000000" w:sz="4"/>
                <w:right w:val="none" w:color="000000" w:sz="4"/>
                <w:insideH w:val="none"/>
                <w:insideV w:val="none"/>
              </w:tblBorders>
            </w:tblPr>
            <w:tblGrid>
              <w:gridCol w:w="1113"/>
              <w:gridCol w:w="1113"/>
              <w:gridCol w:w="1113"/>
              <w:gridCol w:w="1113"/>
              <w:gridCol w:w="1113"/>
            </w:tblGrid>
            <w:tr>
              <w:tc>
                <w:tcPr>
                  <w:tcW w:type="dxa" w:w="1113"/>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113"/>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113"/>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113"/>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容量</w:t>
                  </w:r>
                </w:p>
              </w:tc>
              <w:tc>
                <w:tcPr>
                  <w:tcW w:type="dxa" w:w="1113"/>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11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1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化粪池</w:t>
                  </w:r>
                </w:p>
              </w:tc>
              <w:tc>
                <w:tcPr>
                  <w:tcW w:type="dxa" w:w="111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1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8立方</w:t>
                  </w:r>
                </w:p>
              </w:tc>
              <w:tc>
                <w:tcPr>
                  <w:tcW w:type="dxa" w:w="111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商铺外</w:t>
                  </w:r>
                </w:p>
              </w:tc>
            </w:tr>
          </w:tbl>
          <w:p>
            <w:pPr>
              <w:pStyle w:val="null3"/>
              <w:ind w:firstLine="368"/>
              <w:jc w:val="both"/>
            </w:pPr>
            <w:r>
              <w:rPr>
                <w:rFonts w:ascii="仿宋_GB2312" w:hAnsi="仿宋_GB2312" w:cs="仿宋_GB2312" w:eastAsia="仿宋_GB2312"/>
                <w:sz w:val="24"/>
              </w:rPr>
              <w:t>5.消防水箱及水池数量</w:t>
            </w:r>
          </w:p>
          <w:tbl>
            <w:tblPr>
              <w:tblInd w:type="dxa" w:w="30"/>
              <w:tblBorders>
                <w:top w:val="none" w:color="000000" w:sz="4"/>
                <w:left w:val="none" w:color="000000" w:sz="4"/>
                <w:bottom w:val="none" w:color="000000" w:sz="4"/>
                <w:right w:val="none" w:color="000000" w:sz="4"/>
                <w:insideH w:val="none"/>
                <w:insideV w:val="none"/>
              </w:tblBorders>
            </w:tblPr>
            <w:tblGrid>
              <w:gridCol w:w="677"/>
              <w:gridCol w:w="1055"/>
              <w:gridCol w:w="866"/>
              <w:gridCol w:w="1404"/>
              <w:gridCol w:w="776"/>
              <w:gridCol w:w="776"/>
            </w:tblGrid>
            <w:tr>
              <w:tc>
                <w:tcPr>
                  <w:tcW w:type="dxa" w:w="677"/>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05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86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40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型号/功率</w:t>
                  </w:r>
                </w:p>
              </w:tc>
              <w:tc>
                <w:tcPr>
                  <w:tcW w:type="dxa" w:w="77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数量/容量</w:t>
                  </w:r>
                </w:p>
              </w:tc>
              <w:tc>
                <w:tcPr>
                  <w:tcW w:type="dxa" w:w="77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67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消防水泵房</w:t>
                  </w:r>
                </w:p>
              </w:tc>
              <w:tc>
                <w:tcPr>
                  <w:tcW w:type="dxa" w:w="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间</w:t>
                  </w:r>
                </w:p>
              </w:tc>
              <w:tc>
                <w:tcPr>
                  <w:tcW w:type="dxa" w:w="14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2-3单元地下室</w:t>
                  </w:r>
                </w:p>
              </w:tc>
            </w:tr>
            <w:tr>
              <w:tc>
                <w:tcPr>
                  <w:tcW w:type="dxa" w:w="67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0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1号消防水池</w:t>
                  </w:r>
                </w:p>
              </w:tc>
              <w:tc>
                <w:tcPr>
                  <w:tcW w:type="dxa" w:w="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方</w:t>
                  </w:r>
                </w:p>
              </w:tc>
              <w:tc>
                <w:tcPr>
                  <w:tcW w:type="dxa" w:w="14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7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2-3单元地下室</w:t>
                  </w:r>
                </w:p>
              </w:tc>
            </w:tr>
            <w:tr>
              <w:tc>
                <w:tcPr>
                  <w:tcW w:type="dxa" w:w="67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0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1号消防水箱</w:t>
                  </w:r>
                </w:p>
              </w:tc>
              <w:tc>
                <w:tcPr>
                  <w:tcW w:type="dxa" w:w="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方</w:t>
                  </w:r>
                </w:p>
              </w:tc>
              <w:tc>
                <w:tcPr>
                  <w:tcW w:type="dxa" w:w="14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7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7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3栋楼顶</w:t>
                  </w:r>
                </w:p>
              </w:tc>
            </w:tr>
            <w:tr>
              <w:tc>
                <w:tcPr>
                  <w:tcW w:type="dxa" w:w="67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0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消防喷淋泵</w:t>
                  </w:r>
                </w:p>
              </w:tc>
              <w:tc>
                <w:tcPr>
                  <w:tcW w:type="dxa" w:w="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4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YE2-250M-2/55KW</w:t>
                  </w:r>
                </w:p>
              </w:tc>
              <w:tc>
                <w:tcPr>
                  <w:tcW w:type="dxa" w:w="7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7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7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0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消火栓水泵</w:t>
                  </w:r>
                </w:p>
              </w:tc>
              <w:tc>
                <w:tcPr>
                  <w:tcW w:type="dxa" w:w="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4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YE2-250M-2/55KW</w:t>
                  </w:r>
                </w:p>
              </w:tc>
              <w:tc>
                <w:tcPr>
                  <w:tcW w:type="dxa" w:w="7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7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7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0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消防稳压泵</w:t>
                  </w:r>
                </w:p>
              </w:tc>
              <w:tc>
                <w:tcPr>
                  <w:tcW w:type="dxa" w:w="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4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YE2-250M-2/55KW</w:t>
                  </w:r>
                </w:p>
              </w:tc>
              <w:tc>
                <w:tcPr>
                  <w:tcW w:type="dxa" w:w="7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7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rPr>
              <w:t>6.其他设施数量</w:t>
            </w:r>
          </w:p>
          <w:tbl>
            <w:tblPr>
              <w:tblInd w:type="dxa" w:w="30"/>
              <w:tblBorders>
                <w:top w:val="none" w:color="000000" w:sz="4"/>
                <w:left w:val="none" w:color="000000" w:sz="4"/>
                <w:bottom w:val="none" w:color="000000" w:sz="4"/>
                <w:right w:val="none" w:color="000000" w:sz="4"/>
                <w:insideH w:val="none"/>
                <w:insideV w:val="none"/>
              </w:tblBorders>
            </w:tblPr>
            <w:tblGrid>
              <w:gridCol w:w="429"/>
              <w:gridCol w:w="1237"/>
              <w:gridCol w:w="558"/>
              <w:gridCol w:w="2394"/>
              <w:gridCol w:w="528"/>
              <w:gridCol w:w="419"/>
            </w:tblGrid>
            <w:tr>
              <w:tc>
                <w:tcPr>
                  <w:tcW w:type="dxa" w:w="42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23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558"/>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39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型号/功率</w:t>
                  </w:r>
                </w:p>
              </w:tc>
              <w:tc>
                <w:tcPr>
                  <w:tcW w:type="dxa" w:w="528"/>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41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42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2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监控设备</w:t>
                  </w:r>
                </w:p>
              </w:tc>
              <w:tc>
                <w:tcPr>
                  <w:tcW w:type="dxa" w:w="55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DS-7804HQHQ-K1/200W</w:t>
                  </w:r>
                </w:p>
              </w:tc>
              <w:tc>
                <w:tcPr>
                  <w:tcW w:type="dxa" w:w="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42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2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地下室摄像机</w:t>
                  </w:r>
                </w:p>
              </w:tc>
              <w:tc>
                <w:tcPr>
                  <w:tcW w:type="dxa" w:w="55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HIK/DS-8116HF-ST/-AF-DVR-II-A16-16</w:t>
                  </w:r>
                </w:p>
              </w:tc>
              <w:tc>
                <w:tcPr>
                  <w:tcW w:type="dxa" w:w="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42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2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商铺枪机</w:t>
                  </w:r>
                </w:p>
              </w:tc>
              <w:tc>
                <w:tcPr>
                  <w:tcW w:type="dxa" w:w="55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DS-IPC-B12HV2-IA</w:t>
                  </w:r>
                </w:p>
              </w:tc>
              <w:tc>
                <w:tcPr>
                  <w:tcW w:type="dxa" w:w="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42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2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总坪枪机</w:t>
                  </w:r>
                </w:p>
              </w:tc>
              <w:tc>
                <w:tcPr>
                  <w:tcW w:type="dxa" w:w="55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DS-IPC-B12HV2-IA</w:t>
                  </w:r>
                </w:p>
              </w:tc>
              <w:tc>
                <w:tcPr>
                  <w:tcW w:type="dxa" w:w="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4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42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2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单元摄像机</w:t>
                  </w:r>
                </w:p>
              </w:tc>
              <w:tc>
                <w:tcPr>
                  <w:tcW w:type="dxa" w:w="55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HIK/DS-8116HF-ST/-AF-DVR-II-A16-16</w:t>
                  </w:r>
                </w:p>
              </w:tc>
              <w:tc>
                <w:tcPr>
                  <w:tcW w:type="dxa" w:w="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42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2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电梯摄像机</w:t>
                  </w:r>
                </w:p>
              </w:tc>
              <w:tc>
                <w:tcPr>
                  <w:tcW w:type="dxa" w:w="55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HIK/DS-8116HF-ST/-AF-DVR-II-A16-16</w:t>
                  </w:r>
                </w:p>
              </w:tc>
              <w:tc>
                <w:tcPr>
                  <w:tcW w:type="dxa" w:w="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42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2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发电机</w:t>
                  </w:r>
                </w:p>
              </w:tc>
              <w:tc>
                <w:tcPr>
                  <w:tcW w:type="dxa" w:w="55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TFW2-350-4</w:t>
                  </w:r>
                </w:p>
              </w:tc>
              <w:tc>
                <w:tcPr>
                  <w:tcW w:type="dxa" w:w="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42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2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风机</w:t>
                  </w:r>
                </w:p>
              </w:tc>
              <w:tc>
                <w:tcPr>
                  <w:tcW w:type="dxa" w:w="55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7.5KW</w:t>
                  </w:r>
                </w:p>
              </w:tc>
              <w:tc>
                <w:tcPr>
                  <w:tcW w:type="dxa" w:w="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4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42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2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二次供水设备</w:t>
                  </w:r>
                </w:p>
              </w:tc>
              <w:tc>
                <w:tcPr>
                  <w:tcW w:type="dxa" w:w="55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CK15-7/11KW</w:t>
                  </w:r>
                </w:p>
              </w:tc>
              <w:tc>
                <w:tcPr>
                  <w:tcW w:type="dxa" w:w="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42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2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二次供水水箱</w:t>
                  </w:r>
                </w:p>
              </w:tc>
              <w:tc>
                <w:tcPr>
                  <w:tcW w:type="dxa" w:w="55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1/36方</w:t>
                  </w:r>
                </w:p>
              </w:tc>
              <w:tc>
                <w:tcPr>
                  <w:tcW w:type="dxa" w:w="4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42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2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EPS应急柜</w:t>
                  </w:r>
                </w:p>
              </w:tc>
              <w:tc>
                <w:tcPr>
                  <w:tcW w:type="dxa" w:w="55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4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项目服务内容(说明：投标人在投标文件中响应）</w:t>
            </w:r>
          </w:p>
        </w:tc>
        <w:tc>
          <w:tcPr>
            <w:tcW w:type="dxa" w:w="5814"/>
          </w:tcPr>
          <w:p>
            <w:pPr>
              <w:pStyle w:val="null3"/>
              <w:ind w:firstLine="480"/>
              <w:jc w:val="left"/>
            </w:pPr>
            <w:r>
              <w:rPr>
                <w:rFonts w:ascii="仿宋_GB2312" w:hAnsi="仿宋_GB2312" w:cs="仿宋_GB2312" w:eastAsia="仿宋_GB2312"/>
                <w:sz w:val="24"/>
                <w:color w:val="000000"/>
              </w:rPr>
              <w:t>1.物业管理区域内环境卫生维护管理；</w:t>
            </w:r>
          </w:p>
          <w:p>
            <w:pPr>
              <w:pStyle w:val="null3"/>
              <w:ind w:firstLine="480"/>
              <w:jc w:val="left"/>
            </w:pPr>
            <w:r>
              <w:rPr>
                <w:rFonts w:ascii="仿宋_GB2312" w:hAnsi="仿宋_GB2312" w:cs="仿宋_GB2312" w:eastAsia="仿宋_GB2312"/>
                <w:sz w:val="24"/>
                <w:color w:val="000000"/>
              </w:rPr>
              <w:t>2.物业管理区域内公共秩序维护管理、日常安全巡查服务；</w:t>
            </w:r>
          </w:p>
          <w:p>
            <w:pPr>
              <w:pStyle w:val="null3"/>
              <w:ind w:firstLine="480"/>
              <w:jc w:val="left"/>
            </w:pPr>
            <w:r>
              <w:rPr>
                <w:rFonts w:ascii="仿宋_GB2312" w:hAnsi="仿宋_GB2312" w:cs="仿宋_GB2312" w:eastAsia="仿宋_GB2312"/>
                <w:sz w:val="24"/>
                <w:color w:val="000000"/>
              </w:rPr>
              <w:t>3.物业管理区域内车辆（机动车和非机动车）行驶、停放及场所管理；</w:t>
            </w:r>
          </w:p>
          <w:p>
            <w:pPr>
              <w:pStyle w:val="null3"/>
              <w:ind w:firstLine="480"/>
              <w:jc w:val="left"/>
            </w:pPr>
            <w:r>
              <w:rPr>
                <w:rFonts w:ascii="仿宋_GB2312" w:hAnsi="仿宋_GB2312" w:cs="仿宋_GB2312" w:eastAsia="仿宋_GB2312"/>
                <w:sz w:val="24"/>
                <w:color w:val="000000"/>
              </w:rPr>
              <w:t>4.物业管理区域内共用部位及共用设施设备运行和维修养护管理；</w:t>
            </w:r>
          </w:p>
          <w:p>
            <w:pPr>
              <w:pStyle w:val="null3"/>
              <w:ind w:firstLine="480"/>
              <w:jc w:val="left"/>
            </w:pPr>
            <w:r>
              <w:rPr>
                <w:rFonts w:ascii="仿宋_GB2312" w:hAnsi="仿宋_GB2312" w:cs="仿宋_GB2312" w:eastAsia="仿宋_GB2312"/>
                <w:sz w:val="24"/>
                <w:color w:val="000000"/>
              </w:rPr>
              <w:t>5.物业管理区域内装饰装修管理；</w:t>
            </w:r>
          </w:p>
          <w:p>
            <w:pPr>
              <w:pStyle w:val="null3"/>
              <w:ind w:firstLine="480"/>
              <w:jc w:val="left"/>
            </w:pPr>
            <w:r>
              <w:rPr>
                <w:rFonts w:ascii="仿宋_GB2312" w:hAnsi="仿宋_GB2312" w:cs="仿宋_GB2312" w:eastAsia="仿宋_GB2312"/>
                <w:sz w:val="24"/>
                <w:color w:val="000000"/>
              </w:rPr>
              <w:t>6.物业管理区域内绿化养护管理；</w:t>
            </w:r>
          </w:p>
          <w:p>
            <w:pPr>
              <w:pStyle w:val="null3"/>
              <w:ind w:firstLine="480"/>
              <w:jc w:val="left"/>
            </w:pPr>
            <w:r>
              <w:rPr>
                <w:rFonts w:ascii="仿宋_GB2312" w:hAnsi="仿宋_GB2312" w:cs="仿宋_GB2312" w:eastAsia="仿宋_GB2312"/>
                <w:sz w:val="24"/>
                <w:color w:val="000000"/>
              </w:rPr>
              <w:t>7.物业管理区域内社区文化建设管理；</w:t>
            </w:r>
          </w:p>
          <w:p>
            <w:pPr>
              <w:pStyle w:val="null3"/>
              <w:ind w:firstLine="480"/>
              <w:jc w:val="left"/>
            </w:pPr>
            <w:r>
              <w:rPr>
                <w:rFonts w:ascii="仿宋_GB2312" w:hAnsi="仿宋_GB2312" w:cs="仿宋_GB2312" w:eastAsia="仿宋_GB2312"/>
                <w:sz w:val="24"/>
                <w:color w:val="000000"/>
              </w:rPr>
              <w:t>8.向住户收取物业管理费；</w:t>
            </w:r>
          </w:p>
          <w:p>
            <w:pPr>
              <w:pStyle w:val="null3"/>
              <w:ind w:firstLine="480"/>
              <w:jc w:val="left"/>
            </w:pPr>
            <w:r>
              <w:rPr>
                <w:rFonts w:ascii="仿宋_GB2312" w:hAnsi="仿宋_GB2312" w:cs="仿宋_GB2312" w:eastAsia="仿宋_GB2312"/>
                <w:sz w:val="24"/>
                <w:color w:val="000000"/>
              </w:rPr>
              <w:t>9.物业管理区域内垃圾的收集、分类；</w:t>
            </w:r>
          </w:p>
          <w:p>
            <w:pPr>
              <w:pStyle w:val="null3"/>
              <w:ind w:firstLine="480"/>
              <w:jc w:val="left"/>
            </w:pPr>
            <w:r>
              <w:rPr>
                <w:rFonts w:ascii="仿宋_GB2312" w:hAnsi="仿宋_GB2312" w:cs="仿宋_GB2312" w:eastAsia="仿宋_GB2312"/>
                <w:sz w:val="24"/>
                <w:color w:val="000000"/>
              </w:rPr>
              <w:t>10.小区内安保系统维护管理；</w:t>
            </w:r>
          </w:p>
          <w:p>
            <w:pPr>
              <w:pStyle w:val="null3"/>
              <w:ind w:firstLine="480"/>
              <w:jc w:val="left"/>
            </w:pPr>
            <w:r>
              <w:rPr>
                <w:rFonts w:ascii="仿宋_GB2312" w:hAnsi="仿宋_GB2312" w:cs="仿宋_GB2312" w:eastAsia="仿宋_GB2312"/>
                <w:sz w:val="24"/>
                <w:color w:val="000000"/>
              </w:rPr>
              <w:t>11.小区违法建设监管防控；</w:t>
            </w:r>
          </w:p>
          <w:p>
            <w:pPr>
              <w:pStyle w:val="null3"/>
              <w:ind w:firstLine="480"/>
              <w:jc w:val="left"/>
            </w:pPr>
            <w:r>
              <w:rPr>
                <w:rFonts w:ascii="仿宋_GB2312" w:hAnsi="仿宋_GB2312" w:cs="仿宋_GB2312" w:eastAsia="仿宋_GB2312"/>
                <w:sz w:val="24"/>
                <w:color w:val="000000"/>
              </w:rPr>
              <w:t>12.其他按相关文件及物业管理条例，属于物业管理服务范围的其他工作。</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项目服务要求(说明：投标人在投标文件中响应）</w:t>
            </w:r>
          </w:p>
        </w:tc>
        <w:tc>
          <w:tcPr>
            <w:tcW w:type="dxa" w:w="5814"/>
          </w:tcPr>
          <w:p>
            <w:pPr>
              <w:pStyle w:val="null3"/>
              <w:ind w:firstLine="480"/>
              <w:jc w:val="both"/>
            </w:pPr>
            <w:r>
              <w:rPr>
                <w:rFonts w:ascii="仿宋_GB2312" w:hAnsi="仿宋_GB2312" w:cs="仿宋_GB2312" w:eastAsia="仿宋_GB2312"/>
                <w:sz w:val="24"/>
                <w:b/>
                <w:color w:val="000000"/>
              </w:rPr>
              <w:t>（一）综合服务</w:t>
            </w:r>
          </w:p>
          <w:p>
            <w:pPr>
              <w:pStyle w:val="null3"/>
              <w:ind w:firstLine="486"/>
              <w:jc w:val="both"/>
            </w:pPr>
            <w:r>
              <w:rPr>
                <w:rFonts w:ascii="仿宋_GB2312" w:hAnsi="仿宋_GB2312" w:cs="仿宋_GB2312" w:eastAsia="仿宋_GB2312"/>
                <w:sz w:val="24"/>
                <w:color w:val="000000"/>
              </w:rPr>
              <w:t>1.客户服务场所</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设立一个客户服务中心</w:t>
            </w:r>
            <w:r>
              <w:rPr>
                <w:rFonts w:ascii="仿宋_GB2312" w:hAnsi="仿宋_GB2312" w:cs="仿宋_GB2312" w:eastAsia="仿宋_GB2312"/>
                <w:sz w:val="24"/>
                <w:color w:val="000000"/>
              </w:rPr>
              <w:t>，至少应配置有办公桌</w:t>
            </w:r>
            <w:r>
              <w:rPr>
                <w:rFonts w:ascii="仿宋_GB2312" w:hAnsi="仿宋_GB2312" w:cs="仿宋_GB2312" w:eastAsia="仿宋_GB2312"/>
                <w:sz w:val="24"/>
                <w:color w:val="000000"/>
              </w:rPr>
              <w:t>4张、办公椅</w:t>
            </w:r>
            <w:r>
              <w:rPr>
                <w:rFonts w:ascii="仿宋_GB2312" w:hAnsi="仿宋_GB2312" w:cs="仿宋_GB2312" w:eastAsia="仿宋_GB2312"/>
                <w:sz w:val="24"/>
                <w:color w:val="000000"/>
              </w:rPr>
              <w:t>4</w:t>
            </w:r>
            <w:r>
              <w:rPr>
                <w:rFonts w:ascii="仿宋_GB2312" w:hAnsi="仿宋_GB2312" w:cs="仿宋_GB2312" w:eastAsia="仿宋_GB2312"/>
                <w:sz w:val="24"/>
                <w:color w:val="000000"/>
              </w:rPr>
              <w:t>把、饮水机</w:t>
            </w:r>
            <w:r>
              <w:rPr>
                <w:rFonts w:ascii="仿宋_GB2312" w:hAnsi="仿宋_GB2312" w:cs="仿宋_GB2312" w:eastAsia="仿宋_GB2312"/>
                <w:sz w:val="24"/>
                <w:color w:val="000000"/>
              </w:rPr>
              <w:t>2台、电脑3台、电话2部</w:t>
            </w:r>
            <w:r>
              <w:rPr>
                <w:rFonts w:ascii="仿宋_GB2312" w:hAnsi="仿宋_GB2312" w:cs="仿宋_GB2312" w:eastAsia="仿宋_GB2312"/>
                <w:sz w:val="24"/>
                <w:color w:val="000000"/>
              </w:rPr>
              <w:t>，</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应将此项要求</w:t>
            </w:r>
            <w:r>
              <w:rPr>
                <w:rFonts w:ascii="仿宋_GB2312" w:hAnsi="仿宋_GB2312" w:cs="仿宋_GB2312" w:eastAsia="仿宋_GB2312"/>
                <w:sz w:val="24"/>
                <w:color w:val="000000"/>
              </w:rPr>
              <w:t>逐一分项列明每一项物资名称、数量、</w:t>
            </w:r>
            <w:r>
              <w:rPr>
                <w:rFonts w:ascii="仿宋_GB2312" w:hAnsi="仿宋_GB2312" w:cs="仿宋_GB2312" w:eastAsia="仿宋_GB2312"/>
                <w:sz w:val="24"/>
                <w:color w:val="000000"/>
              </w:rPr>
              <w:t>单位、</w:t>
            </w:r>
            <w:r>
              <w:rPr>
                <w:rFonts w:ascii="仿宋_GB2312" w:hAnsi="仿宋_GB2312" w:cs="仿宋_GB2312" w:eastAsia="仿宋_GB2312"/>
                <w:sz w:val="24"/>
                <w:color w:val="000000"/>
              </w:rPr>
              <w:t>单价</w:t>
            </w:r>
            <w:r>
              <w:rPr>
                <w:rFonts w:ascii="仿宋_GB2312" w:hAnsi="仿宋_GB2312" w:cs="仿宋_GB2312" w:eastAsia="仿宋_GB2312"/>
                <w:sz w:val="24"/>
                <w:color w:val="000000"/>
              </w:rPr>
              <w:t>、</w:t>
            </w:r>
            <w:r>
              <w:rPr>
                <w:rFonts w:ascii="仿宋_GB2312" w:hAnsi="仿宋_GB2312" w:cs="仿宋_GB2312" w:eastAsia="仿宋_GB2312"/>
                <w:sz w:val="24"/>
                <w:color w:val="000000"/>
              </w:rPr>
              <w:t>单价汇总金额</w:t>
            </w:r>
            <w:r>
              <w:rPr>
                <w:rFonts w:ascii="仿宋_GB2312" w:hAnsi="仿宋_GB2312" w:cs="仿宋_GB2312" w:eastAsia="仿宋_GB2312"/>
                <w:sz w:val="24"/>
                <w:color w:val="000000"/>
              </w:rPr>
              <w:t>，计入本项目成本（不包含已计入其他项目成本或库存的情形）。</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2）公示有物业服务企业营业执照、其它管理人名录证书（复印件）、项目主要服务人员姓名、照片、岗位信息，物业服务事项、服务标准</w:t>
            </w:r>
            <w:r>
              <w:rPr>
                <w:rFonts w:ascii="仿宋_GB2312" w:hAnsi="仿宋_GB2312" w:cs="仿宋_GB2312" w:eastAsia="仿宋_GB2312"/>
                <w:sz w:val="24"/>
                <w:color w:val="000000"/>
              </w:rPr>
              <w:t>、</w:t>
            </w:r>
            <w:r>
              <w:rPr>
                <w:rFonts w:ascii="仿宋_GB2312" w:hAnsi="仿宋_GB2312" w:cs="仿宋_GB2312" w:eastAsia="仿宋_GB2312"/>
                <w:sz w:val="24"/>
                <w:color w:val="000000"/>
              </w:rPr>
              <w:t>报修电话、三级投诉电话等物业服务信息。提供特约服务的，应公示服务项目、服务标准及收费标准。</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3）客户服务中心工作人员施行至少8小时值班制度。</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4）公示有24小时服务电话。</w:t>
            </w:r>
          </w:p>
          <w:p>
            <w:pPr>
              <w:pStyle w:val="null3"/>
              <w:ind w:firstLine="486"/>
              <w:jc w:val="both"/>
            </w:pPr>
            <w:r>
              <w:rPr>
                <w:rFonts w:ascii="仿宋_GB2312" w:hAnsi="仿宋_GB2312" w:cs="仿宋_GB2312" w:eastAsia="仿宋_GB2312"/>
                <w:sz w:val="24"/>
                <w:color w:val="000000"/>
              </w:rPr>
              <w:t>2.人员</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1）从业人员按照相关规定取</w:t>
            </w:r>
            <w:r>
              <w:rPr>
                <w:rFonts w:ascii="仿宋_GB2312" w:hAnsi="仿宋_GB2312" w:cs="仿宋_GB2312" w:eastAsia="仿宋_GB2312"/>
                <w:sz w:val="24"/>
                <w:color w:val="000000"/>
              </w:rPr>
              <w:t>得职业资格证书。</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2）实行项目经理责任制，本项目配备1名项目负责人。</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3）综合维修岗位人员具有特种设备操作证。</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4）从业人员着装统一，佩戴</w:t>
            </w:r>
            <w:r>
              <w:rPr>
                <w:rFonts w:ascii="仿宋_GB2312" w:hAnsi="仿宋_GB2312" w:cs="仿宋_GB2312" w:eastAsia="仿宋_GB2312"/>
                <w:sz w:val="24"/>
                <w:color w:val="000000"/>
              </w:rPr>
              <w:t>工作牌（每人每年配置一个工作牌并计入投标报价中）</w:t>
            </w:r>
            <w:r>
              <w:rPr>
                <w:rFonts w:ascii="仿宋_GB2312" w:hAnsi="仿宋_GB2312" w:cs="仿宋_GB2312" w:eastAsia="仿宋_GB2312"/>
                <w:sz w:val="24"/>
                <w:color w:val="000000"/>
              </w:rPr>
              <w:t>，服务规范，语言文明，主动、热情。</w:t>
            </w:r>
          </w:p>
          <w:p>
            <w:pPr>
              <w:pStyle w:val="null3"/>
              <w:ind w:firstLine="486"/>
              <w:jc w:val="both"/>
            </w:pPr>
            <w:r>
              <w:rPr>
                <w:rFonts w:ascii="仿宋_GB2312" w:hAnsi="仿宋_GB2312" w:cs="仿宋_GB2312" w:eastAsia="仿宋_GB2312"/>
                <w:sz w:val="24"/>
                <w:color w:val="000000"/>
              </w:rPr>
              <w:t>3.制度</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1）有共用部位及共用设施设备维修养护、消防安全防范、绿化养护、环境卫生、公共秩序维护等管理制度。</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2）有突发公共事件应急预案。</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3）有物业服务工作记录。</w:t>
            </w:r>
          </w:p>
          <w:p>
            <w:pPr>
              <w:pStyle w:val="null3"/>
              <w:ind w:firstLine="486"/>
              <w:jc w:val="both"/>
            </w:pPr>
            <w:r>
              <w:rPr>
                <w:rFonts w:ascii="仿宋_GB2312" w:hAnsi="仿宋_GB2312" w:cs="仿宋_GB2312" w:eastAsia="仿宋_GB2312"/>
                <w:sz w:val="24"/>
                <w:color w:val="000000"/>
              </w:rPr>
              <w:t>4.档案</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1）供应商针对本项目提供物业服务档案管理方案，有电梯、消防等设施设备承接查验、运行、维修、养护档案资料。</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2）档案资料管理规范、齐全、整洁、方便查阅。</w:t>
            </w:r>
          </w:p>
          <w:p>
            <w:pPr>
              <w:pStyle w:val="null3"/>
              <w:ind w:firstLine="486"/>
              <w:jc w:val="both"/>
            </w:pPr>
            <w:r>
              <w:rPr>
                <w:rFonts w:ascii="仿宋_GB2312" w:hAnsi="仿宋_GB2312" w:cs="仿宋_GB2312" w:eastAsia="仿宋_GB2312"/>
                <w:sz w:val="24"/>
                <w:color w:val="000000"/>
              </w:rPr>
              <w:t>5.标识</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1）重点部位按相关要求设置有安全警示标识、消防标识、导向标识、指示标识及其它标识。</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2）有倡导文明、环保、健康生活的温馨提示标识。</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3）房屋栋号、房号及公共配套设施标识清晰、明显。</w:t>
            </w:r>
          </w:p>
          <w:p>
            <w:pPr>
              <w:pStyle w:val="null3"/>
              <w:ind w:firstLine="486"/>
              <w:jc w:val="both"/>
            </w:pPr>
            <w:r>
              <w:rPr>
                <w:rFonts w:ascii="仿宋_GB2312" w:hAnsi="仿宋_GB2312" w:cs="仿宋_GB2312" w:eastAsia="仿宋_GB2312"/>
                <w:sz w:val="24"/>
                <w:color w:val="000000"/>
              </w:rPr>
              <w:t>6.客户服务</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1）每年第一季度公示上一年度物业服务合同履行情况。</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2）重要物业服务事项应在主要出入口以书面形式履行告知义务。</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3）对违反治安、规划、环保等方面法律、法规规定的行为，应劝阻并报告相关行政主管部门。</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4）报修按双方约定时间到达现场，有报修、维修记录。</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5）业主或使用人提出的意见、建议、投诉在1个工作日内回复；投诉回访率不低于85%。</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6）每年组织1次满意度调查，客户满意率不低于85%。</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7）有宠物管理制度与措施，设置宠物管理标识、有园区犬只花名册。</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8）接受委托，提供邮件代收服务。</w:t>
            </w:r>
          </w:p>
          <w:p>
            <w:pPr>
              <w:pStyle w:val="null3"/>
              <w:ind w:firstLine="486"/>
              <w:jc w:val="both"/>
            </w:pPr>
            <w:r>
              <w:rPr>
                <w:rFonts w:ascii="仿宋_GB2312" w:hAnsi="仿宋_GB2312" w:cs="仿宋_GB2312" w:eastAsia="仿宋_GB2312"/>
                <w:sz w:val="24"/>
                <w:color w:val="000000"/>
              </w:rPr>
              <w:t>7.专项委托服务管理</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1）签订有专项服务委托合同，明确各方权利义务。</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2）专业服务企业应符合相关行政主管部门的资质要求；操作人员应持有相应的职业资格证书。</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3）专业服务企业人员进入物业管理区域内应佩戴标志。</w:t>
            </w:r>
          </w:p>
          <w:p>
            <w:pPr>
              <w:pStyle w:val="null3"/>
              <w:ind w:firstLine="480"/>
              <w:jc w:val="both"/>
            </w:pPr>
            <w:r>
              <w:rPr>
                <w:rFonts w:ascii="仿宋_GB2312" w:hAnsi="仿宋_GB2312" w:cs="仿宋_GB2312" w:eastAsia="仿宋_GB2312"/>
                <w:sz w:val="24"/>
                <w:b/>
                <w:color w:val="000000"/>
              </w:rPr>
              <w:t>（二）共用部位及共用设施设备运行和维修养护</w:t>
            </w:r>
          </w:p>
          <w:p>
            <w:pPr>
              <w:pStyle w:val="null3"/>
              <w:ind w:firstLine="486"/>
              <w:jc w:val="both"/>
            </w:pPr>
            <w:r>
              <w:rPr>
                <w:rFonts w:ascii="仿宋_GB2312" w:hAnsi="仿宋_GB2312" w:cs="仿宋_GB2312" w:eastAsia="仿宋_GB2312"/>
                <w:sz w:val="24"/>
                <w:b/>
                <w:color w:val="000000"/>
              </w:rPr>
              <w:t>1.综合管理</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1）按照相关规定实施承接查验。</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2）按照DB510100/T 054-2010的规定进行维修、更新、改造。</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3）有房屋共用部位及共用设施设备的基础档案。</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4）共用部位检查中发现的问题，应按照责任范围编制修缮计划，并按计划组织修缮。共用设施设备运行中出现的故障及检查中发现的问题，属于急修范围内，应在20分钟内组织到场维修。</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5）按合同约定规范房屋维修。</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6）每年第4季度制订出下一年度维修养护计划。</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7）特种设备按照有关规定运行、维修养护和定期检测。</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8）雷电、强降水、大风等极端天气前后有检查防范措施。</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9）设备机房</w:t>
            </w:r>
          </w:p>
          <w:p>
            <w:pPr>
              <w:pStyle w:val="null3"/>
              <w:ind w:firstLine="486"/>
              <w:jc w:val="both"/>
            </w:pPr>
            <w:r>
              <w:rPr>
                <w:rFonts w:ascii="仿宋_GB2312" w:hAnsi="仿宋_GB2312" w:cs="仿宋_GB2312" w:eastAsia="仿宋_GB2312"/>
                <w:sz w:val="24"/>
                <w:color w:val="000000"/>
              </w:rPr>
              <w:t>a、每月清洁1次，机房整洁有序，室内无杂物。</w:t>
            </w:r>
          </w:p>
          <w:p>
            <w:pPr>
              <w:pStyle w:val="null3"/>
              <w:ind w:firstLine="486"/>
              <w:jc w:val="both"/>
            </w:pPr>
            <w:r>
              <w:rPr>
                <w:rFonts w:ascii="仿宋_GB2312" w:hAnsi="仿宋_GB2312" w:cs="仿宋_GB2312" w:eastAsia="仿宋_GB2312"/>
                <w:sz w:val="24"/>
                <w:color w:val="000000"/>
              </w:rPr>
              <w:t>b、设有挡鼠板、鼠药盒或粘鼠板。</w:t>
            </w:r>
          </w:p>
          <w:p>
            <w:pPr>
              <w:pStyle w:val="null3"/>
              <w:ind w:firstLine="486"/>
              <w:jc w:val="both"/>
            </w:pPr>
            <w:r>
              <w:rPr>
                <w:rFonts w:ascii="仿宋_GB2312" w:hAnsi="仿宋_GB2312" w:cs="仿宋_GB2312" w:eastAsia="仿宋_GB2312"/>
                <w:sz w:val="24"/>
                <w:color w:val="000000"/>
              </w:rPr>
              <w:t>c、在明显易取位置配备有符合规定的消防器材，确保完好有效。</w:t>
            </w:r>
          </w:p>
          <w:p>
            <w:pPr>
              <w:pStyle w:val="null3"/>
              <w:ind w:firstLine="486"/>
              <w:jc w:val="both"/>
            </w:pPr>
            <w:r>
              <w:rPr>
                <w:rFonts w:ascii="仿宋_GB2312" w:hAnsi="仿宋_GB2312" w:cs="仿宋_GB2312" w:eastAsia="仿宋_GB2312"/>
                <w:sz w:val="24"/>
                <w:color w:val="000000"/>
              </w:rPr>
              <w:t>d、设施设备标识、标牌齐全。</w:t>
            </w:r>
          </w:p>
          <w:p>
            <w:pPr>
              <w:pStyle w:val="null3"/>
              <w:ind w:firstLine="486"/>
              <w:jc w:val="both"/>
            </w:pPr>
            <w:r>
              <w:rPr>
                <w:rFonts w:ascii="仿宋_GB2312" w:hAnsi="仿宋_GB2312" w:cs="仿宋_GB2312" w:eastAsia="仿宋_GB2312"/>
                <w:sz w:val="24"/>
                <w:color w:val="000000"/>
              </w:rPr>
              <w:t>e、张贴或悬挂相关制度、证书。</w:t>
            </w:r>
          </w:p>
          <w:p>
            <w:pPr>
              <w:pStyle w:val="null3"/>
              <w:ind w:firstLine="486"/>
              <w:jc w:val="both"/>
            </w:pPr>
            <w:r>
              <w:rPr>
                <w:rFonts w:ascii="仿宋_GB2312" w:hAnsi="仿宋_GB2312" w:cs="仿宋_GB2312" w:eastAsia="仿宋_GB2312"/>
                <w:sz w:val="24"/>
                <w:color w:val="000000"/>
              </w:rPr>
              <w:t>f、记录齐全、完整。</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10）运行、检查、维修养护记录应每月归档。</w:t>
            </w:r>
          </w:p>
          <w:p>
            <w:pPr>
              <w:pStyle w:val="null3"/>
              <w:ind w:firstLine="486"/>
              <w:jc w:val="both"/>
            </w:pPr>
            <w:r>
              <w:rPr>
                <w:rFonts w:ascii="仿宋_GB2312" w:hAnsi="仿宋_GB2312" w:cs="仿宋_GB2312" w:eastAsia="仿宋_GB2312"/>
                <w:sz w:val="24"/>
                <w:b/>
                <w:color w:val="000000"/>
              </w:rPr>
              <w:t>2.共用部位</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1）房屋结构</w:t>
            </w:r>
          </w:p>
          <w:p>
            <w:pPr>
              <w:pStyle w:val="null3"/>
              <w:ind w:firstLine="486"/>
              <w:jc w:val="both"/>
            </w:pPr>
            <w:r>
              <w:rPr>
                <w:rFonts w:ascii="仿宋_GB2312" w:hAnsi="仿宋_GB2312" w:cs="仿宋_GB2312" w:eastAsia="仿宋_GB2312"/>
                <w:sz w:val="24"/>
                <w:color w:val="000000"/>
              </w:rPr>
              <w:t>每年巡视</w:t>
            </w:r>
            <w:r>
              <w:rPr>
                <w:rFonts w:ascii="仿宋_GB2312" w:hAnsi="仿宋_GB2312" w:cs="仿宋_GB2312" w:eastAsia="仿宋_GB2312"/>
                <w:sz w:val="24"/>
                <w:color w:val="000000"/>
              </w:rPr>
              <w:t>1 次梁、板、柱等结构构件，外观出现变形、开裂等现象时，应建议相关业主申请房屋安全鉴定，同时采取必要的防护措施。</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2）建筑部件</w:t>
            </w:r>
          </w:p>
          <w:p>
            <w:pPr>
              <w:pStyle w:val="null3"/>
              <w:ind w:firstLine="486"/>
              <w:jc w:val="both"/>
            </w:pPr>
            <w:r>
              <w:rPr>
                <w:rFonts w:ascii="仿宋_GB2312" w:hAnsi="仿宋_GB2312" w:cs="仿宋_GB2312" w:eastAsia="仿宋_GB2312"/>
                <w:sz w:val="24"/>
                <w:color w:val="000000"/>
              </w:rPr>
              <w:t>a、每季度检查1 次外墙贴饰面或抹灰、屋檐、阳台、雨罩、空调室外机支撑构件等。</w:t>
            </w:r>
          </w:p>
          <w:p>
            <w:pPr>
              <w:pStyle w:val="null3"/>
              <w:ind w:firstLine="486"/>
              <w:jc w:val="both"/>
            </w:pPr>
            <w:r>
              <w:rPr>
                <w:rFonts w:ascii="仿宋_GB2312" w:hAnsi="仿宋_GB2312" w:cs="仿宋_GB2312" w:eastAsia="仿宋_GB2312"/>
                <w:sz w:val="24"/>
                <w:color w:val="000000"/>
              </w:rPr>
              <w:t>b、每季度巡查1 次共用部位的门、窗、玻璃等。</w:t>
            </w:r>
          </w:p>
          <w:p>
            <w:pPr>
              <w:pStyle w:val="null3"/>
              <w:ind w:firstLine="486"/>
              <w:jc w:val="both"/>
            </w:pPr>
            <w:r>
              <w:rPr>
                <w:rFonts w:ascii="仿宋_GB2312" w:hAnsi="仿宋_GB2312" w:cs="仿宋_GB2312" w:eastAsia="仿宋_GB2312"/>
                <w:sz w:val="24"/>
                <w:color w:val="000000"/>
              </w:rPr>
              <w:t>c、每季度检查1 次共用部位的室内地面、墙面、天棚；室外屋面、散水等。</w:t>
            </w:r>
          </w:p>
          <w:p>
            <w:pPr>
              <w:pStyle w:val="null3"/>
              <w:ind w:firstLine="486"/>
              <w:jc w:val="both"/>
            </w:pPr>
            <w:r>
              <w:rPr>
                <w:rFonts w:ascii="仿宋_GB2312" w:hAnsi="仿宋_GB2312" w:cs="仿宋_GB2312" w:eastAsia="仿宋_GB2312"/>
                <w:sz w:val="24"/>
                <w:color w:val="000000"/>
              </w:rPr>
              <w:t>d、每年汛前和强降雨后检查屋面防水和雨落管等。</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3）附属构筑物</w:t>
            </w:r>
          </w:p>
          <w:p>
            <w:pPr>
              <w:pStyle w:val="null3"/>
              <w:ind w:firstLine="486"/>
              <w:jc w:val="both"/>
            </w:pPr>
            <w:r>
              <w:rPr>
                <w:rFonts w:ascii="仿宋_GB2312" w:hAnsi="仿宋_GB2312" w:cs="仿宋_GB2312" w:eastAsia="仿宋_GB2312"/>
                <w:sz w:val="24"/>
                <w:color w:val="000000"/>
              </w:rPr>
              <w:t>a、每季度巡查1 次道路、场地、阶梯及扶手、侧石、管井、沟渠等。</w:t>
            </w:r>
          </w:p>
          <w:p>
            <w:pPr>
              <w:pStyle w:val="null3"/>
              <w:ind w:firstLine="486"/>
              <w:jc w:val="both"/>
            </w:pPr>
            <w:r>
              <w:rPr>
                <w:rFonts w:ascii="仿宋_GB2312" w:hAnsi="仿宋_GB2312" w:cs="仿宋_GB2312" w:eastAsia="仿宋_GB2312"/>
                <w:sz w:val="24"/>
                <w:color w:val="000000"/>
              </w:rPr>
              <w:t>b、每季度检查1 次雨、污水管井等。</w:t>
            </w:r>
          </w:p>
          <w:p>
            <w:pPr>
              <w:pStyle w:val="null3"/>
              <w:ind w:firstLine="486"/>
              <w:jc w:val="both"/>
            </w:pPr>
            <w:r>
              <w:rPr>
                <w:rFonts w:ascii="仿宋_GB2312" w:hAnsi="仿宋_GB2312" w:cs="仿宋_GB2312" w:eastAsia="仿宋_GB2312"/>
                <w:sz w:val="24"/>
                <w:color w:val="000000"/>
              </w:rPr>
              <w:t>c、每季度巡查1 次大门、围墙、围栏等。</w:t>
            </w:r>
          </w:p>
          <w:p>
            <w:pPr>
              <w:pStyle w:val="null3"/>
              <w:ind w:firstLine="486"/>
              <w:jc w:val="both"/>
            </w:pPr>
            <w:r>
              <w:rPr>
                <w:rFonts w:ascii="仿宋_GB2312" w:hAnsi="仿宋_GB2312" w:cs="仿宋_GB2312" w:eastAsia="仿宋_GB2312"/>
                <w:sz w:val="24"/>
                <w:color w:val="000000"/>
              </w:rPr>
              <w:t>d、每季度巡查1 次休闲椅、凉亭、景观小品等。</w:t>
            </w:r>
          </w:p>
          <w:p>
            <w:pPr>
              <w:pStyle w:val="null3"/>
              <w:ind w:firstLine="486"/>
              <w:jc w:val="both"/>
            </w:pPr>
            <w:r>
              <w:rPr>
                <w:rFonts w:ascii="仿宋_GB2312" w:hAnsi="仿宋_GB2312" w:cs="仿宋_GB2312" w:eastAsia="仿宋_GB2312"/>
                <w:sz w:val="24"/>
                <w:color w:val="000000"/>
              </w:rPr>
              <w:t>e、每年检测1 次防雷装置。</w:t>
            </w:r>
          </w:p>
          <w:p>
            <w:pPr>
              <w:pStyle w:val="null3"/>
              <w:ind w:firstLine="486"/>
              <w:jc w:val="both"/>
            </w:pPr>
            <w:r>
              <w:rPr>
                <w:rFonts w:ascii="仿宋_GB2312" w:hAnsi="仿宋_GB2312" w:cs="仿宋_GB2312" w:eastAsia="仿宋_GB2312"/>
                <w:sz w:val="24"/>
                <w:color w:val="000000"/>
              </w:rPr>
              <w:t>3.共用设施设备</w:t>
            </w:r>
          </w:p>
          <w:p>
            <w:pPr>
              <w:pStyle w:val="null3"/>
              <w:ind w:firstLine="486"/>
              <w:jc w:val="both"/>
            </w:pPr>
            <w:r>
              <w:rPr>
                <w:rFonts w:ascii="仿宋_GB2312" w:hAnsi="仿宋_GB2312" w:cs="仿宋_GB2312" w:eastAsia="仿宋_GB2312"/>
                <w:sz w:val="24"/>
                <w:b/>
                <w:color w:val="000000"/>
              </w:rPr>
              <w:t>供水系统：</w:t>
            </w:r>
          </w:p>
          <w:p>
            <w:pPr>
              <w:pStyle w:val="null3"/>
              <w:ind w:firstLine="486"/>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1）每半年应对二次供水设施清洗消毒至少2次，每年4次水质检测，水质符合GB 5749的要求。</w:t>
            </w:r>
          </w:p>
          <w:p>
            <w:pPr>
              <w:pStyle w:val="null3"/>
              <w:ind w:firstLine="486"/>
              <w:jc w:val="both"/>
            </w:pPr>
            <w:r>
              <w:rPr>
                <w:rFonts w:ascii="仿宋_GB2312" w:hAnsi="仿宋_GB2312" w:cs="仿宋_GB2312" w:eastAsia="仿宋_GB2312"/>
                <w:sz w:val="24"/>
                <w:b/>
                <w:color w:val="000000"/>
              </w:rPr>
              <w:t>分包说明：负责本项目二次供水设施清洗消毒及水质检测服务的实施单位应具有二次供水检验检测机构资质认定证书。中标人如不具备此能力的，则应委托具有专业清洗消毒及检测服务的实施单位进行二次供水设施清洗消毒及水质检测服务，中标人应与实施单位签订合同，并负责对其进行监督考核。分包比例：预算占比</w:t>
            </w:r>
            <w:r>
              <w:rPr>
                <w:rFonts w:ascii="仿宋_GB2312" w:hAnsi="仿宋_GB2312" w:cs="仿宋_GB2312" w:eastAsia="仿宋_GB2312"/>
                <w:sz w:val="24"/>
                <w:b/>
                <w:color w:val="000000"/>
              </w:rPr>
              <w:t>0.</w:t>
            </w:r>
            <w:r>
              <w:rPr>
                <w:rFonts w:ascii="仿宋_GB2312" w:hAnsi="仿宋_GB2312" w:cs="仿宋_GB2312" w:eastAsia="仿宋_GB2312"/>
                <w:sz w:val="24"/>
                <w:b/>
                <w:color w:val="000000"/>
              </w:rPr>
              <w:t>40</w:t>
            </w:r>
            <w:r>
              <w:rPr>
                <w:rFonts w:ascii="仿宋_GB2312" w:hAnsi="仿宋_GB2312" w:cs="仿宋_GB2312" w:eastAsia="仿宋_GB2312"/>
                <w:sz w:val="24"/>
                <w:b/>
                <w:color w:val="000000"/>
              </w:rPr>
              <w:t>%。</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2）每日巡检1次供水设施，发现跑冒滴漏现象及时解决。</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3）每日巡视1次水箱间、水泵房，检查设备运行状况。</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4）水箱、蓄水池盖板应保持完好并加锁，钥匙由专人保管；溢流管口、透气口应安装金属防护网并保持完好。</w:t>
            </w:r>
          </w:p>
          <w:p>
            <w:pPr>
              <w:pStyle w:val="null3"/>
              <w:ind w:firstLine="486"/>
              <w:jc w:val="both"/>
            </w:pPr>
            <w:r>
              <w:rPr>
                <w:rFonts w:ascii="仿宋_GB2312" w:hAnsi="仿宋_GB2312" w:cs="仿宋_GB2312" w:eastAsia="仿宋_GB2312"/>
                <w:sz w:val="24"/>
                <w:color w:val="000000"/>
              </w:rPr>
              <w:t>排水系统：</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1）有防汛预案，每年至少组织1次演练。</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2）供应商应配备防汛物资（沙袋200袋、防风胶纸50米、雨具</w:t>
            </w:r>
            <w:r>
              <w:rPr>
                <w:rFonts w:ascii="仿宋_GB2312" w:hAnsi="仿宋_GB2312" w:cs="仿宋_GB2312" w:eastAsia="仿宋_GB2312"/>
                <w:sz w:val="24"/>
                <w:color w:val="000000"/>
              </w:rPr>
              <w:t>15</w:t>
            </w:r>
            <w:r>
              <w:rPr>
                <w:rFonts w:ascii="仿宋_GB2312" w:hAnsi="仿宋_GB2312" w:cs="仿宋_GB2312" w:eastAsia="仿宋_GB2312"/>
                <w:sz w:val="24"/>
                <w:color w:val="000000"/>
              </w:rPr>
              <w:t>件、照明工具</w:t>
            </w:r>
            <w:r>
              <w:rPr>
                <w:rFonts w:ascii="仿宋_GB2312" w:hAnsi="仿宋_GB2312" w:cs="仿宋_GB2312" w:eastAsia="仿宋_GB2312"/>
                <w:sz w:val="24"/>
                <w:color w:val="000000"/>
              </w:rPr>
              <w:t>5套、发电机2台、抽水泵6台，防洪挡板40米）逐一分项列明每一项物资名称、数量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单位、</w:t>
            </w:r>
            <w:r>
              <w:rPr>
                <w:rFonts w:ascii="仿宋_GB2312" w:hAnsi="仿宋_GB2312" w:cs="仿宋_GB2312" w:eastAsia="仿宋_GB2312"/>
                <w:sz w:val="24"/>
                <w:color w:val="000000"/>
              </w:rPr>
              <w:t>单价</w:t>
            </w:r>
            <w:r>
              <w:rPr>
                <w:rFonts w:ascii="仿宋_GB2312" w:hAnsi="仿宋_GB2312" w:cs="仿宋_GB2312" w:eastAsia="仿宋_GB2312"/>
                <w:sz w:val="24"/>
                <w:color w:val="000000"/>
              </w:rPr>
              <w:t>、</w:t>
            </w:r>
            <w:r>
              <w:rPr>
                <w:rFonts w:ascii="仿宋_GB2312" w:hAnsi="仿宋_GB2312" w:cs="仿宋_GB2312" w:eastAsia="仿宋_GB2312"/>
                <w:sz w:val="24"/>
                <w:color w:val="000000"/>
              </w:rPr>
              <w:t>单价汇总金额</w:t>
            </w:r>
            <w:r>
              <w:rPr>
                <w:rFonts w:ascii="仿宋_GB2312" w:hAnsi="仿宋_GB2312" w:cs="仿宋_GB2312" w:eastAsia="仿宋_GB2312"/>
                <w:sz w:val="24"/>
                <w:color w:val="000000"/>
              </w:rPr>
              <w:t>，计入本项目成本（不包含已计入其他项目成本或库存的情形）。</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3）排水设施：每年汛前对雨、污水井、屋面雨水口等设施进行检查，组织清理、疏通；每次降雨前后对主要排水口、管井进行检查。</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4）污水泵：汛期每日巡视1 次，平时每月巡视1 次，检查设备运行状态；每月进行1 次手动启动测试；每年养护1 次。</w:t>
            </w:r>
          </w:p>
          <w:p>
            <w:pPr>
              <w:pStyle w:val="null3"/>
              <w:ind w:firstLine="486"/>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5）化粪池：每月清掏1次，发现异常及时清掏。供应商应将化粪池清理维护费用计入分项报价明细综合维修日常维护费中，进入总报价。</w:t>
            </w:r>
          </w:p>
          <w:p>
            <w:pPr>
              <w:pStyle w:val="null3"/>
              <w:ind w:firstLine="486"/>
              <w:jc w:val="both"/>
            </w:pPr>
            <w:r>
              <w:rPr>
                <w:rFonts w:ascii="仿宋_GB2312" w:hAnsi="仿宋_GB2312" w:cs="仿宋_GB2312" w:eastAsia="仿宋_GB2312"/>
                <w:sz w:val="24"/>
                <w:b/>
                <w:color w:val="000000"/>
              </w:rPr>
              <w:t>分包说明：负责本项目化粪池清理维护服务的实施单位应具有化粪池清理维护的相应资质。中标人如不具备此能力的，则应委托具有相应能力的实施单位进行化粪池清理维护服务，中标人应与实施单位签订合同，并负责对其进行监督考核。分包比例：预算占比</w:t>
            </w:r>
            <w:r>
              <w:rPr>
                <w:rFonts w:ascii="仿宋_GB2312" w:hAnsi="仿宋_GB2312" w:cs="仿宋_GB2312" w:eastAsia="仿宋_GB2312"/>
                <w:sz w:val="24"/>
                <w:b/>
                <w:color w:val="000000"/>
              </w:rPr>
              <w:t>0.52%。</w:t>
            </w:r>
          </w:p>
          <w:p>
            <w:pPr>
              <w:pStyle w:val="null3"/>
              <w:ind w:firstLine="486"/>
              <w:jc w:val="both"/>
            </w:pPr>
            <w:r>
              <w:rPr>
                <w:rFonts w:ascii="仿宋_GB2312" w:hAnsi="仿宋_GB2312" w:cs="仿宋_GB2312" w:eastAsia="仿宋_GB2312"/>
                <w:sz w:val="24"/>
                <w:color w:val="000000"/>
              </w:rPr>
              <w:t>供配电系统及照明：</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1）楼内照明：每半月巡视1次，一般故障1 日内修复；复杂故障1 周内修复。</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2）楼外照明：每周巡视1 次，一般故障3 日内修复；复杂故障半月内修复。</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3）应急照明：每周巡视1 次，发现故障，30分钟内组织维修。</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4）低压配电箱和线路：每季度检查1 次设备运行状况；每年养护1 次，养护内容包括紧固、检测、清扫。</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5）控制柜：每季度检查1 次设备运行状况；每年养护1 次，养护内容包括紧固、检测、调试、清扫。</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6）发电机：每半月试运行1 次，每次运行不低于20分钟。</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7）配电室、楼层配电间：有门、孔、洞、窗等处的防鼠措施完备；穿墙线槽周边封堵严密；锁具完好；</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8）路灯、楼道灯完好率应不低于85%。</w:t>
            </w:r>
          </w:p>
          <w:p>
            <w:pPr>
              <w:pStyle w:val="null3"/>
              <w:ind w:firstLine="482"/>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9）根据本项目小区配套设施情况，供应商应将本条要求所产生的公共照明及其他设施（除电梯外）用电费用（公共照明及其他设施（除电梯外）用电每</w:t>
            </w:r>
            <w:r>
              <w:rPr>
                <w:rFonts w:ascii="仿宋_GB2312" w:hAnsi="仿宋_GB2312" w:cs="仿宋_GB2312" w:eastAsia="仿宋_GB2312"/>
                <w:sz w:val="24"/>
                <w:b/>
                <w:color w:val="000000"/>
              </w:rPr>
              <w:t>月</w:t>
            </w:r>
            <w:r>
              <w:rPr>
                <w:rFonts w:ascii="仿宋_GB2312" w:hAnsi="仿宋_GB2312" w:cs="仿宋_GB2312" w:eastAsia="仿宋_GB2312"/>
                <w:sz w:val="24"/>
                <w:b/>
                <w:color w:val="000000"/>
              </w:rPr>
              <w:t>耗电量</w:t>
            </w:r>
            <w:r>
              <w:rPr>
                <w:rFonts w:ascii="仿宋_GB2312" w:hAnsi="仿宋_GB2312" w:cs="仿宋_GB2312" w:eastAsia="仿宋_GB2312"/>
                <w:sz w:val="24"/>
                <w:b/>
                <w:color w:val="000000"/>
              </w:rPr>
              <w:t>5000度</w:t>
            </w:r>
            <w:r>
              <w:rPr>
                <w:rFonts w:ascii="仿宋_GB2312" w:hAnsi="仿宋_GB2312" w:cs="仿宋_GB2312" w:eastAsia="仿宋_GB2312"/>
                <w:sz w:val="24"/>
                <w:b/>
                <w:color w:val="000000"/>
              </w:rPr>
              <w:t>，住宅小区现缴纳居民用电平均电价</w:t>
            </w:r>
            <w:r>
              <w:rPr>
                <w:rFonts w:ascii="仿宋_GB2312" w:hAnsi="仿宋_GB2312" w:cs="仿宋_GB2312" w:eastAsia="仿宋_GB2312"/>
                <w:sz w:val="24"/>
                <w:b/>
                <w:color w:val="000000"/>
              </w:rPr>
              <w:t>0.54元/度，供报价参考），计入分项报价明细共用设施设备日常能耗费中，进入总报价。</w:t>
            </w:r>
          </w:p>
          <w:p>
            <w:pPr>
              <w:pStyle w:val="null3"/>
              <w:ind w:firstLine="486"/>
              <w:jc w:val="both"/>
            </w:pPr>
            <w:r>
              <w:rPr>
                <w:rFonts w:ascii="仿宋_GB2312" w:hAnsi="仿宋_GB2312" w:cs="仿宋_GB2312" w:eastAsia="仿宋_GB2312"/>
                <w:sz w:val="24"/>
                <w:color w:val="000000"/>
              </w:rPr>
              <w:t>安全防范系统：</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1）物防</w:t>
            </w:r>
          </w:p>
          <w:p>
            <w:pPr>
              <w:pStyle w:val="null3"/>
              <w:ind w:firstLine="486"/>
              <w:jc w:val="both"/>
            </w:pPr>
            <w:r>
              <w:rPr>
                <w:rFonts w:ascii="仿宋_GB2312" w:hAnsi="仿宋_GB2312" w:cs="仿宋_GB2312" w:eastAsia="仿宋_GB2312"/>
                <w:sz w:val="24"/>
                <w:color w:val="000000"/>
              </w:rPr>
              <w:t>a、外露管道等易攀爬处有防盗设施，如：防盗伞、防爬刺、带钩铁丝或抹黄油等。</w:t>
            </w:r>
          </w:p>
          <w:p>
            <w:pPr>
              <w:pStyle w:val="null3"/>
              <w:ind w:firstLine="486"/>
              <w:jc w:val="both"/>
            </w:pPr>
            <w:r>
              <w:rPr>
                <w:rFonts w:ascii="仿宋_GB2312" w:hAnsi="仿宋_GB2312" w:cs="仿宋_GB2312" w:eastAsia="仿宋_GB2312"/>
                <w:sz w:val="24"/>
                <w:color w:val="000000"/>
              </w:rPr>
              <w:t>b、非机动车有集中停放点，有序停放。</w:t>
            </w:r>
          </w:p>
          <w:p>
            <w:pPr>
              <w:pStyle w:val="null3"/>
              <w:ind w:firstLine="486"/>
              <w:jc w:val="both"/>
            </w:pPr>
            <w:r>
              <w:rPr>
                <w:rFonts w:ascii="仿宋_GB2312" w:hAnsi="仿宋_GB2312" w:cs="仿宋_GB2312" w:eastAsia="仿宋_GB2312"/>
                <w:sz w:val="24"/>
                <w:color w:val="000000"/>
              </w:rPr>
              <w:t>c、物业区域内路灯、楼道灯等夜间照明设施齐全，使用正常。</w:t>
            </w:r>
          </w:p>
          <w:p>
            <w:pPr>
              <w:pStyle w:val="null3"/>
              <w:ind w:firstLine="486"/>
              <w:jc w:val="both"/>
            </w:pPr>
            <w:r>
              <w:rPr>
                <w:rFonts w:ascii="仿宋_GB2312" w:hAnsi="仿宋_GB2312" w:cs="仿宋_GB2312" w:eastAsia="仿宋_GB2312"/>
                <w:sz w:val="24"/>
                <w:color w:val="000000"/>
              </w:rPr>
              <w:t>d、落实专人对各类物防设施每月开展1次全面检查，及时排除安全隐患。</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2）技防</w:t>
            </w:r>
          </w:p>
          <w:p>
            <w:pPr>
              <w:pStyle w:val="null3"/>
              <w:ind w:firstLine="486"/>
              <w:jc w:val="both"/>
            </w:pPr>
            <w:r>
              <w:rPr>
                <w:rFonts w:ascii="仿宋_GB2312" w:hAnsi="仿宋_GB2312" w:cs="仿宋_GB2312" w:eastAsia="仿宋_GB2312"/>
                <w:sz w:val="24"/>
                <w:color w:val="000000"/>
              </w:rPr>
              <w:t>a、报警控制管理主机：每周检查3次，保障设备运行正常。</w:t>
            </w:r>
          </w:p>
          <w:p>
            <w:pPr>
              <w:pStyle w:val="null3"/>
              <w:ind w:firstLine="486"/>
              <w:jc w:val="both"/>
            </w:pPr>
            <w:r>
              <w:rPr>
                <w:rFonts w:ascii="仿宋_GB2312" w:hAnsi="仿宋_GB2312" w:cs="仿宋_GB2312" w:eastAsia="仿宋_GB2312"/>
                <w:sz w:val="24"/>
                <w:color w:val="000000"/>
              </w:rPr>
              <w:t>b、红外对射探测器：每半月做运行状态测试1次，保障设备运行正常。</w:t>
            </w:r>
          </w:p>
          <w:p>
            <w:pPr>
              <w:pStyle w:val="null3"/>
              <w:ind w:firstLine="486"/>
              <w:jc w:val="both"/>
            </w:pPr>
            <w:r>
              <w:rPr>
                <w:rFonts w:ascii="仿宋_GB2312" w:hAnsi="仿宋_GB2312" w:cs="仿宋_GB2312" w:eastAsia="仿宋_GB2312"/>
                <w:sz w:val="24"/>
                <w:color w:val="000000"/>
              </w:rPr>
              <w:t>c、图像采集设备：每周检查1次监视画面效果、录像、图像保存等功能，保障设备运行正常。</w:t>
            </w:r>
          </w:p>
          <w:p>
            <w:pPr>
              <w:pStyle w:val="null3"/>
              <w:ind w:firstLine="486"/>
              <w:jc w:val="both"/>
            </w:pPr>
            <w:r>
              <w:rPr>
                <w:rFonts w:ascii="仿宋_GB2312" w:hAnsi="仿宋_GB2312" w:cs="仿宋_GB2312" w:eastAsia="仿宋_GB2312"/>
                <w:sz w:val="24"/>
                <w:color w:val="000000"/>
              </w:rPr>
              <w:t>d、摄像头：每季度检查1次聚焦、清晰度、红外夜视、遮挡物、镜头清洁等情况，进行相应调校。</w:t>
            </w:r>
          </w:p>
          <w:p>
            <w:pPr>
              <w:pStyle w:val="null3"/>
              <w:ind w:firstLine="486"/>
              <w:jc w:val="both"/>
            </w:pPr>
            <w:r>
              <w:rPr>
                <w:rFonts w:ascii="仿宋_GB2312" w:hAnsi="仿宋_GB2312" w:cs="仿宋_GB2312" w:eastAsia="仿宋_GB2312"/>
                <w:sz w:val="24"/>
                <w:color w:val="000000"/>
              </w:rPr>
              <w:t>e、门禁管理设备：每月检查1次，保障设备运行正常。</w:t>
            </w:r>
          </w:p>
          <w:p>
            <w:pPr>
              <w:pStyle w:val="null3"/>
              <w:ind w:firstLine="486"/>
              <w:jc w:val="both"/>
            </w:pPr>
            <w:r>
              <w:rPr>
                <w:rFonts w:ascii="仿宋_GB2312" w:hAnsi="仿宋_GB2312" w:cs="仿宋_GB2312" w:eastAsia="仿宋_GB2312"/>
                <w:sz w:val="24"/>
                <w:color w:val="000000"/>
              </w:rPr>
              <w:t>f、技防设施设备出现运行不正常和损坏等问题，应立即进行维修。</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3）消防</w:t>
            </w:r>
          </w:p>
          <w:p>
            <w:pPr>
              <w:pStyle w:val="null3"/>
              <w:ind w:firstLine="486"/>
              <w:jc w:val="both"/>
            </w:pPr>
            <w:r>
              <w:rPr>
                <w:rFonts w:ascii="仿宋_GB2312" w:hAnsi="仿宋_GB2312" w:cs="仿宋_GB2312" w:eastAsia="仿宋_GB2312"/>
                <w:sz w:val="24"/>
                <w:color w:val="000000"/>
              </w:rPr>
              <w:t>a、消防设施设备完好，可随时启用；保持消防畅通。</w:t>
            </w:r>
          </w:p>
          <w:p>
            <w:pPr>
              <w:pStyle w:val="null3"/>
              <w:ind w:firstLine="486"/>
              <w:jc w:val="both"/>
            </w:pPr>
            <w:r>
              <w:rPr>
                <w:rFonts w:ascii="仿宋_GB2312" w:hAnsi="仿宋_GB2312" w:cs="仿宋_GB2312" w:eastAsia="仿宋_GB2312"/>
                <w:sz w:val="24"/>
                <w:color w:val="000000"/>
              </w:rPr>
              <w:t>b、在出入口、电梯口、防火门等醒目位置有提示火灾危险性、安全逃生路线、安全出口、消防设施器材使用方法的明显标志和警示标语、安全疏散路线指导图。</w:t>
            </w:r>
          </w:p>
          <w:p>
            <w:pPr>
              <w:pStyle w:val="null3"/>
              <w:ind w:firstLine="486"/>
              <w:jc w:val="both"/>
            </w:pPr>
            <w:r>
              <w:rPr>
                <w:rFonts w:ascii="仿宋_GB2312" w:hAnsi="仿宋_GB2312" w:cs="仿宋_GB2312" w:eastAsia="仿宋_GB2312"/>
                <w:sz w:val="24"/>
                <w:color w:val="000000"/>
              </w:rPr>
              <w:t>c、有消防安全责任制，明确各级岗位的消防安全职责。</w:t>
            </w:r>
          </w:p>
          <w:p>
            <w:pPr>
              <w:pStyle w:val="null3"/>
              <w:ind w:firstLine="486"/>
              <w:jc w:val="both"/>
            </w:pPr>
            <w:r>
              <w:rPr>
                <w:rFonts w:ascii="仿宋_GB2312" w:hAnsi="仿宋_GB2312" w:cs="仿宋_GB2312" w:eastAsia="仿宋_GB2312"/>
                <w:sz w:val="24"/>
                <w:color w:val="000000"/>
              </w:rPr>
              <w:t>d、有灭火和应急疏散预案，有义务消防队，配备必要的消防器材相关人员掌握消防基本知识和技能；高层住宅每年组织至少2次有员工、业主或使用人参加的消防演练。</w:t>
            </w:r>
          </w:p>
          <w:p>
            <w:pPr>
              <w:pStyle w:val="null3"/>
              <w:ind w:firstLine="486"/>
              <w:jc w:val="both"/>
            </w:pPr>
            <w:r>
              <w:rPr>
                <w:rFonts w:ascii="仿宋_GB2312" w:hAnsi="仿宋_GB2312" w:cs="仿宋_GB2312" w:eastAsia="仿宋_GB2312"/>
                <w:sz w:val="24"/>
                <w:color w:val="000000"/>
              </w:rPr>
              <w:t>e、发现消防安全违法行为和火灾隐患，立即纠正、排除；无法立即纠正、排除的，应向公安机关消防机构报告。</w:t>
            </w:r>
          </w:p>
          <w:p>
            <w:pPr>
              <w:pStyle w:val="null3"/>
              <w:ind w:firstLine="486"/>
              <w:jc w:val="both"/>
            </w:pPr>
            <w:r>
              <w:rPr>
                <w:rFonts w:ascii="仿宋_GB2312" w:hAnsi="仿宋_GB2312" w:cs="仿宋_GB2312" w:eastAsia="仿宋_GB2312"/>
                <w:sz w:val="24"/>
                <w:color w:val="000000"/>
              </w:rPr>
              <w:t>f、</w:t>
            </w:r>
            <w:r>
              <w:rPr>
                <w:rFonts w:ascii="仿宋_GB2312" w:hAnsi="仿宋_GB2312" w:cs="仿宋_GB2312" w:eastAsia="仿宋_GB2312"/>
                <w:sz w:val="24"/>
                <w:color w:val="000000"/>
              </w:rPr>
              <w:t>消防控制室设</w:t>
            </w:r>
            <w:r>
              <w:rPr>
                <w:rFonts w:ascii="仿宋_GB2312" w:hAnsi="仿宋_GB2312" w:cs="仿宋_GB2312" w:eastAsia="仿宋_GB2312"/>
                <w:sz w:val="24"/>
                <w:color w:val="000000"/>
              </w:rPr>
              <w:t>24 小时值班，及时处</w:t>
            </w:r>
            <w:r>
              <w:rPr>
                <w:rFonts w:ascii="仿宋_GB2312" w:hAnsi="仿宋_GB2312" w:cs="仿宋_GB2312" w:eastAsia="仿宋_GB2312"/>
                <w:sz w:val="24"/>
                <w:color w:val="000000"/>
              </w:rPr>
              <w:t>理各类报警、故障信息。</w:t>
            </w:r>
          </w:p>
          <w:p>
            <w:pPr>
              <w:pStyle w:val="null3"/>
              <w:ind w:firstLine="486"/>
              <w:jc w:val="both"/>
            </w:pPr>
            <w:r>
              <w:rPr>
                <w:rFonts w:ascii="仿宋_GB2312" w:hAnsi="仿宋_GB2312" w:cs="仿宋_GB2312" w:eastAsia="仿宋_GB2312"/>
                <w:sz w:val="24"/>
                <w:color w:val="000000"/>
              </w:rPr>
              <w:t>g、发生火情立即报警，组织扑救初起火灾，疏散遇险人员，协助配合公安机关消防机构工作。</w:t>
            </w:r>
          </w:p>
          <w:p>
            <w:pPr>
              <w:pStyle w:val="null3"/>
              <w:ind w:firstLine="486"/>
              <w:jc w:val="both"/>
            </w:pPr>
            <w:r>
              <w:rPr>
                <w:rFonts w:ascii="仿宋_GB2312" w:hAnsi="仿宋_GB2312" w:cs="仿宋_GB2312" w:eastAsia="仿宋_GB2312"/>
                <w:sz w:val="24"/>
                <w:color w:val="000000"/>
              </w:rPr>
              <w:t>h、与有资质的消防维保单位签订消防维保合同，约定消防维保的内容、要求、频次、期限以及双方的权利、义务与责任。</w:t>
            </w:r>
          </w:p>
          <w:p>
            <w:pPr>
              <w:pStyle w:val="null3"/>
              <w:ind w:firstLine="486"/>
              <w:jc w:val="both"/>
            </w:pPr>
            <w:r>
              <w:rPr>
                <w:rFonts w:ascii="仿宋_GB2312" w:hAnsi="仿宋_GB2312" w:cs="仿宋_GB2312" w:eastAsia="仿宋_GB2312"/>
                <w:sz w:val="24"/>
                <w:color w:val="000000"/>
              </w:rPr>
              <w:t>分包说明：负责本项目消防系统维保服务的实施单位应具有消防技术服务机构资质证书或消防技术服务机构管理平台备案的相关资质。中标人如不具备此资质的，则应委托具有此资质的实施单位进行维保，中标人应与实施单位签订合同，并负责对其进行监督考核。分包比例：预算占比</w:t>
            </w:r>
            <w:r>
              <w:rPr>
                <w:rFonts w:ascii="仿宋_GB2312" w:hAnsi="仿宋_GB2312" w:cs="仿宋_GB2312" w:eastAsia="仿宋_GB2312"/>
                <w:sz w:val="24"/>
                <w:color w:val="000000"/>
              </w:rPr>
              <w:t>1.</w:t>
            </w:r>
            <w:r>
              <w:rPr>
                <w:rFonts w:ascii="仿宋_GB2312" w:hAnsi="仿宋_GB2312" w:cs="仿宋_GB2312" w:eastAsia="仿宋_GB2312"/>
                <w:sz w:val="24"/>
                <w:color w:val="000000"/>
              </w:rPr>
              <w:t>11</w:t>
            </w:r>
            <w:r>
              <w:rPr>
                <w:rFonts w:ascii="仿宋_GB2312" w:hAnsi="仿宋_GB2312" w:cs="仿宋_GB2312" w:eastAsia="仿宋_GB2312"/>
                <w:sz w:val="24"/>
                <w:color w:val="000000"/>
              </w:rPr>
              <w:t>%。</w:t>
            </w:r>
          </w:p>
          <w:p>
            <w:pPr>
              <w:pStyle w:val="null3"/>
              <w:ind w:firstLine="486"/>
              <w:jc w:val="both"/>
            </w:pPr>
            <w:r>
              <w:rPr>
                <w:rFonts w:ascii="仿宋_GB2312" w:hAnsi="仿宋_GB2312" w:cs="仿宋_GB2312" w:eastAsia="仿宋_GB2312"/>
                <w:sz w:val="24"/>
                <w:color w:val="000000"/>
              </w:rPr>
              <w:t>i、有消防安全管理制度，每年对员工进行消防安全培训至少2次。每年对业主至少有2次消防安全宣传教育，可采用宣传栏、横幅、讲座等形式。</w:t>
            </w:r>
          </w:p>
          <w:p>
            <w:pPr>
              <w:pStyle w:val="null3"/>
              <w:ind w:firstLine="486"/>
              <w:jc w:val="both"/>
            </w:pPr>
            <w:r>
              <w:rPr>
                <w:rFonts w:ascii="仿宋_GB2312" w:hAnsi="仿宋_GB2312" w:cs="仿宋_GB2312" w:eastAsia="仿宋_GB2312"/>
                <w:sz w:val="24"/>
                <w:color w:val="000000"/>
              </w:rPr>
              <w:t>电梯：</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1）电梯须每年进行1次年检送检服务，年检送检服务包含定期检验并同时进行载荷试验。电梯检验有效期届满前1个月，应向电梯检验检测机构提出检验申请。</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2）在电梯轿厢内或者出入口的明显位置张贴有效的电梯检验标志；在电梯轿厢内显著位置张贴电梯使用的安全注意事项和警示标志、使用管理单位名称和维保单位名称及其急修、救援、投诉电话。</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3）有以岗位责任制为核心的电梯使用安全管理制度。</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4）电梯紧急报警装置能随时与值班人员取得有效联系。</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5）日常维护保养和定期检查中发现的问题应及时组织排除。</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6）与有相应有效资质的电梯维保单位签订电梯维保合同，约定维护保养的内容、要求、频次、期限以及双方的权利、义务与责任。</w:t>
            </w:r>
          </w:p>
          <w:p>
            <w:pPr>
              <w:pStyle w:val="null3"/>
              <w:ind w:firstLine="486"/>
              <w:jc w:val="both"/>
            </w:pPr>
            <w:r>
              <w:rPr>
                <w:rFonts w:ascii="仿宋_GB2312" w:hAnsi="仿宋_GB2312" w:cs="仿宋_GB2312" w:eastAsia="仿宋_GB2312"/>
                <w:sz w:val="24"/>
                <w:color w:val="000000"/>
              </w:rPr>
              <w:t>分包说明：负责本项目电梯维保（含年检送检服务），中标人若不具备维保【中华人民共和国特种设备安装改造维修许可证（含维修）或中华人民共和国特种设备生产许可证（含修理）】资质要求，则应委托具有资质的实施单位进行电梯维保（含年检送检服务）工作。中标人应与实施单位签订合同，并负责对其进行监督考核。分包比例：预算占比</w:t>
            </w:r>
            <w:r>
              <w:rPr>
                <w:rFonts w:ascii="仿宋_GB2312" w:hAnsi="仿宋_GB2312" w:cs="仿宋_GB2312" w:eastAsia="仿宋_GB2312"/>
                <w:sz w:val="24"/>
                <w:color w:val="000000"/>
              </w:rPr>
              <w:t>4.54</w:t>
            </w:r>
            <w:r>
              <w:rPr>
                <w:rFonts w:ascii="仿宋_GB2312" w:hAnsi="仿宋_GB2312" w:cs="仿宋_GB2312" w:eastAsia="仿宋_GB2312"/>
                <w:sz w:val="24"/>
                <w:color w:val="000000"/>
              </w:rPr>
              <w:t>%。</w:t>
            </w:r>
            <w:r>
              <w:rPr>
                <w:rFonts w:ascii="仿宋_GB2312" w:hAnsi="仿宋_GB2312" w:cs="仿宋_GB2312" w:eastAsia="仿宋_GB2312"/>
                <w:sz w:val="24"/>
                <w:color w:val="000000"/>
              </w:rPr>
              <w:t>投标人应将本条要求所产生的电梯维保费用及电梯年检费用（电梯年检费用标准按照川发改价格【</w:t>
            </w:r>
            <w:r>
              <w:rPr>
                <w:rFonts w:ascii="仿宋_GB2312" w:hAnsi="仿宋_GB2312" w:cs="仿宋_GB2312" w:eastAsia="仿宋_GB2312"/>
                <w:sz w:val="24"/>
                <w:color w:val="000000"/>
              </w:rPr>
              <w:t>2024】123号《关于特种设备检验检测收费标准的通知》进行计算）逐一分项计入分项报价明细中，进入总报价，并在备注中分别列明每栋楼电梯维保费用及每栋楼电梯年检费用计算明细。</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7）每年至少对电梯安全管理人员进行1次特种设备安全培训，保证其具备必要的安全知识。电梯安全管理人员具有特种设备安全管理人员证（项目代号：A4）或特种设备安全管理和作业人员证（项目代号：A）。</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8）有电梯突发事故应急预案，并每年演练1次。发生电梯困人时应及时采取措施。物业服务人员应在20分钟内到达现场。</w:t>
            </w:r>
          </w:p>
          <w:p>
            <w:pPr>
              <w:pStyle w:val="null3"/>
              <w:ind w:firstLine="486"/>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9）供应商应将本条要求所产生的电梯费（为确保电梯正常使用及业主出行，每天每部电梯的运行不少于2小时，住宅小区现缴纳居民用电平均电价0.54元/度，供报价参考）计入分项报价明细共用设施设备日常能耗费中，进入总报价。</w:t>
            </w:r>
          </w:p>
          <w:p>
            <w:pPr>
              <w:pStyle w:val="null3"/>
              <w:ind w:firstLine="486"/>
              <w:jc w:val="both"/>
            </w:pPr>
            <w:r>
              <w:rPr>
                <w:rFonts w:ascii="仿宋_GB2312" w:hAnsi="仿宋_GB2312" w:cs="仿宋_GB2312" w:eastAsia="仿宋_GB2312"/>
                <w:sz w:val="24"/>
                <w:color w:val="000000"/>
              </w:rPr>
              <w:t>防雷系统：</w:t>
            </w:r>
          </w:p>
          <w:p>
            <w:pPr>
              <w:pStyle w:val="null3"/>
              <w:ind w:firstLine="486"/>
              <w:jc w:val="both"/>
            </w:pPr>
            <w:r>
              <w:rPr>
                <w:rFonts w:ascii="仿宋_GB2312" w:hAnsi="仿宋_GB2312" w:cs="仿宋_GB2312" w:eastAsia="仿宋_GB2312"/>
                <w:sz w:val="24"/>
                <w:b/>
                <w:color w:val="000000"/>
              </w:rPr>
              <w:t>每年检测</w:t>
            </w:r>
            <w:r>
              <w:rPr>
                <w:rFonts w:ascii="仿宋_GB2312" w:hAnsi="仿宋_GB2312" w:cs="仿宋_GB2312" w:eastAsia="仿宋_GB2312"/>
                <w:sz w:val="24"/>
                <w:b/>
                <w:color w:val="000000"/>
              </w:rPr>
              <w:t>1次建筑物防雷装置(接闪杆、接闪带、接闪线、接闪网和电涌保护器)，做好报告存档。避雷设施分布1</w:t>
            </w:r>
            <w:r>
              <w:rPr>
                <w:rFonts w:ascii="仿宋_GB2312" w:hAnsi="仿宋_GB2312" w:cs="仿宋_GB2312" w:eastAsia="仿宋_GB2312"/>
                <w:sz w:val="24"/>
                <w:b/>
                <w:color w:val="000000"/>
              </w:rPr>
              <w:t>20</w:t>
            </w:r>
            <w:r>
              <w:rPr>
                <w:rFonts w:ascii="仿宋_GB2312" w:hAnsi="仿宋_GB2312" w:cs="仿宋_GB2312" w:eastAsia="仿宋_GB2312"/>
                <w:sz w:val="24"/>
                <w:b/>
                <w:color w:val="000000"/>
              </w:rPr>
              <w:t>个点位。</w:t>
            </w:r>
          </w:p>
          <w:p>
            <w:pPr>
              <w:pStyle w:val="null3"/>
              <w:ind w:firstLine="486"/>
              <w:jc w:val="both"/>
            </w:pPr>
            <w:r>
              <w:rPr>
                <w:rFonts w:ascii="仿宋_GB2312" w:hAnsi="仿宋_GB2312" w:cs="仿宋_GB2312" w:eastAsia="仿宋_GB2312"/>
                <w:sz w:val="24"/>
                <w:b/>
                <w:color w:val="000000"/>
              </w:rPr>
              <w:t>分包说明：负责本项目避雷系统检测服务的实施单位应具有气象部门颁发的《雷电防护装置检测资质证》。中标人如不具备此能力的，则应委托具有相应服务能力的实施单位进行避雷系统检测服务，中标人应与实施单位签订合同，并负责对其进行监督考核。分包比例：预算占比</w:t>
            </w:r>
            <w:r>
              <w:rPr>
                <w:rFonts w:ascii="仿宋_GB2312" w:hAnsi="仿宋_GB2312" w:cs="仿宋_GB2312" w:eastAsia="仿宋_GB2312"/>
                <w:sz w:val="24"/>
                <w:b/>
                <w:color w:val="000000"/>
              </w:rPr>
              <w:t>0.5</w:t>
            </w:r>
            <w:r>
              <w:rPr>
                <w:rFonts w:ascii="仿宋_GB2312" w:hAnsi="仿宋_GB2312" w:cs="仿宋_GB2312" w:eastAsia="仿宋_GB2312"/>
                <w:sz w:val="24"/>
                <w:b/>
                <w:color w:val="000000"/>
              </w:rPr>
              <w:t>5</w:t>
            </w:r>
            <w:r>
              <w:rPr>
                <w:rFonts w:ascii="仿宋_GB2312" w:hAnsi="仿宋_GB2312" w:cs="仿宋_GB2312" w:eastAsia="仿宋_GB2312"/>
                <w:sz w:val="24"/>
                <w:b/>
                <w:color w:val="000000"/>
              </w:rPr>
              <w:t>%。</w:t>
            </w:r>
          </w:p>
          <w:p>
            <w:pPr>
              <w:pStyle w:val="null3"/>
              <w:ind w:firstLine="486"/>
              <w:jc w:val="both"/>
            </w:pPr>
            <w:r>
              <w:rPr>
                <w:rFonts w:ascii="仿宋_GB2312" w:hAnsi="仿宋_GB2312" w:cs="仿宋_GB2312" w:eastAsia="仿宋_GB2312"/>
                <w:sz w:val="24"/>
                <w:color w:val="000000"/>
              </w:rPr>
              <w:t>游乐设施：</w:t>
            </w:r>
          </w:p>
          <w:p>
            <w:pPr>
              <w:pStyle w:val="null3"/>
              <w:ind w:firstLine="486"/>
              <w:jc w:val="both"/>
            </w:pPr>
            <w:r>
              <w:rPr>
                <w:rFonts w:ascii="仿宋_GB2312" w:hAnsi="仿宋_GB2312" w:cs="仿宋_GB2312" w:eastAsia="仿宋_GB2312"/>
                <w:sz w:val="24"/>
                <w:color w:val="000000"/>
              </w:rPr>
              <w:t>每日巡查</w:t>
            </w:r>
            <w:r>
              <w:rPr>
                <w:rFonts w:ascii="仿宋_GB2312" w:hAnsi="仿宋_GB2312" w:cs="仿宋_GB2312" w:eastAsia="仿宋_GB2312"/>
                <w:sz w:val="24"/>
                <w:color w:val="000000"/>
              </w:rPr>
              <w:t>1次游乐设施，确保无安全隐患。</w:t>
            </w:r>
          </w:p>
          <w:p>
            <w:pPr>
              <w:pStyle w:val="null3"/>
              <w:ind w:firstLine="486"/>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服务区域内加强</w:t>
            </w:r>
            <w:r>
              <w:rPr>
                <w:rFonts w:ascii="仿宋_GB2312" w:hAnsi="仿宋_GB2312" w:cs="仿宋_GB2312" w:eastAsia="仿宋_GB2312"/>
                <w:sz w:val="24"/>
                <w:color w:val="000000"/>
              </w:rPr>
              <w:t>设施设备</w:t>
            </w:r>
            <w:r>
              <w:rPr>
                <w:rFonts w:ascii="仿宋_GB2312" w:hAnsi="仿宋_GB2312" w:cs="仿宋_GB2312" w:eastAsia="仿宋_GB2312"/>
                <w:sz w:val="24"/>
                <w:color w:val="000000"/>
              </w:rPr>
              <w:t>管理</w:t>
            </w:r>
            <w:r>
              <w:rPr>
                <w:rFonts w:ascii="仿宋_GB2312" w:hAnsi="仿宋_GB2312" w:cs="仿宋_GB2312" w:eastAsia="仿宋_GB2312"/>
                <w:sz w:val="24"/>
                <w:color w:val="000000"/>
              </w:rPr>
              <w:t>维护</w:t>
            </w:r>
            <w:r>
              <w:rPr>
                <w:rFonts w:ascii="仿宋_GB2312" w:hAnsi="仿宋_GB2312" w:cs="仿宋_GB2312" w:eastAsia="仿宋_GB2312"/>
                <w:sz w:val="24"/>
                <w:color w:val="000000"/>
              </w:rPr>
              <w:t>是本项目的服务</w:t>
            </w:r>
            <w:r>
              <w:rPr>
                <w:rFonts w:ascii="仿宋_GB2312" w:hAnsi="仿宋_GB2312" w:cs="仿宋_GB2312" w:eastAsia="仿宋_GB2312"/>
                <w:sz w:val="24"/>
                <w:color w:val="000000"/>
              </w:rPr>
              <w:t>重点</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b/>
                <w:color w:val="000000"/>
              </w:rPr>
              <w:t>（三）装饰装修管理</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1）有装饰装修管理服务制度。</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2）有装饰装修管理档案。</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3）受理业主或使用人的装饰装修申报登记，与业主或使用人、装饰装修企业签订住宅室内装饰装修管理服务协议，告知业主或使用人在装饰装修工程中的禁止行为和注意事项。</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4）装饰装修期间每日巡查1 次现场，发现业主或使用人未申报登记或者有违法违规行为的，应立即劝阻；拒不改正的，报告相关行政主管部门及业主、业主委员会。</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5）委托清运装修垃圾的，应在指定地点临时堆放，在1周内清运，自行清运装修垃圾的，应采用袋装运输或密闭运输的方式清运。</w:t>
            </w:r>
          </w:p>
          <w:p>
            <w:pPr>
              <w:pStyle w:val="null3"/>
              <w:ind w:firstLine="480"/>
              <w:jc w:val="both"/>
            </w:pPr>
            <w:r>
              <w:rPr>
                <w:rFonts w:ascii="仿宋_GB2312" w:hAnsi="仿宋_GB2312" w:cs="仿宋_GB2312" w:eastAsia="仿宋_GB2312"/>
                <w:sz w:val="24"/>
                <w:b/>
                <w:color w:val="000000"/>
              </w:rPr>
              <w:t>（四）公共秩序维护</w:t>
            </w:r>
          </w:p>
          <w:p>
            <w:pPr>
              <w:pStyle w:val="null3"/>
              <w:ind w:firstLine="486"/>
              <w:jc w:val="both"/>
            </w:pPr>
            <w:r>
              <w:rPr>
                <w:rFonts w:ascii="仿宋_GB2312" w:hAnsi="仿宋_GB2312" w:cs="仿宋_GB2312" w:eastAsia="仿宋_GB2312"/>
                <w:sz w:val="24"/>
                <w:color w:val="000000"/>
              </w:rPr>
              <w:t>1.出入口有专人值守。</w:t>
            </w:r>
          </w:p>
          <w:p>
            <w:pPr>
              <w:pStyle w:val="null3"/>
              <w:ind w:firstLine="486"/>
              <w:jc w:val="both"/>
            </w:pPr>
            <w:r>
              <w:rPr>
                <w:rFonts w:ascii="仿宋_GB2312" w:hAnsi="仿宋_GB2312" w:cs="仿宋_GB2312" w:eastAsia="仿宋_GB2312"/>
                <w:sz w:val="24"/>
                <w:color w:val="000000"/>
              </w:rPr>
              <w:t>2.对重点区域、重点部位</w:t>
            </w:r>
            <w:r>
              <w:rPr>
                <w:rFonts w:ascii="仿宋_GB2312" w:hAnsi="仿宋_GB2312" w:cs="仿宋_GB2312" w:eastAsia="仿宋_GB2312"/>
                <w:sz w:val="24"/>
                <w:color w:val="000000"/>
              </w:rPr>
              <w:t>（含地下室、化粪池、发电机房、配电房、生活水泵房、消防泵房、屋面水箱、非机动车棚、停车场等）</w:t>
            </w:r>
            <w:r>
              <w:rPr>
                <w:rFonts w:ascii="仿宋_GB2312" w:hAnsi="仿宋_GB2312" w:cs="仿宋_GB2312" w:eastAsia="仿宋_GB2312"/>
                <w:sz w:val="24"/>
                <w:color w:val="000000"/>
              </w:rPr>
              <w:t>每</w:t>
            </w:r>
            <w:r>
              <w:rPr>
                <w:rFonts w:ascii="仿宋_GB2312" w:hAnsi="仿宋_GB2312" w:cs="仿宋_GB2312" w:eastAsia="仿宋_GB2312"/>
                <w:sz w:val="24"/>
                <w:color w:val="000000"/>
              </w:rPr>
              <w:t>2小时巡查1次。</w:t>
            </w:r>
          </w:p>
          <w:p>
            <w:pPr>
              <w:pStyle w:val="null3"/>
              <w:ind w:firstLine="486"/>
              <w:jc w:val="both"/>
            </w:pPr>
            <w:r>
              <w:rPr>
                <w:rFonts w:ascii="仿宋_GB2312" w:hAnsi="仿宋_GB2312" w:cs="仿宋_GB2312" w:eastAsia="仿宋_GB2312"/>
                <w:sz w:val="24"/>
                <w:color w:val="000000"/>
              </w:rPr>
              <w:t>3.建立外来人员管理制度，对来人来访进行询问登记。</w:t>
            </w:r>
          </w:p>
          <w:p>
            <w:pPr>
              <w:pStyle w:val="null3"/>
              <w:ind w:firstLine="486"/>
              <w:jc w:val="both"/>
            </w:pPr>
            <w:r>
              <w:rPr>
                <w:rFonts w:ascii="仿宋_GB2312" w:hAnsi="仿宋_GB2312" w:cs="仿宋_GB2312" w:eastAsia="仿宋_GB2312"/>
                <w:sz w:val="24"/>
                <w:color w:val="000000"/>
              </w:rPr>
              <w:t>4.对机动车实行进出登记管理制度，停放有序。</w:t>
            </w:r>
          </w:p>
          <w:p>
            <w:pPr>
              <w:pStyle w:val="null3"/>
              <w:ind w:firstLine="486"/>
              <w:jc w:val="both"/>
            </w:pPr>
            <w:r>
              <w:rPr>
                <w:rFonts w:ascii="仿宋_GB2312" w:hAnsi="仿宋_GB2312" w:cs="仿宋_GB2312" w:eastAsia="仿宋_GB2312"/>
                <w:sz w:val="24"/>
                <w:color w:val="000000"/>
              </w:rPr>
              <w:t>5.对大宗物品搬运进出，实行进出登记管理制度。</w:t>
            </w:r>
          </w:p>
          <w:p>
            <w:pPr>
              <w:pStyle w:val="null3"/>
              <w:ind w:firstLine="486"/>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.对违法犯罪行为立即报警，协助公安机关进行处理。</w:t>
            </w:r>
          </w:p>
          <w:p>
            <w:pPr>
              <w:pStyle w:val="null3"/>
              <w:ind w:firstLine="486"/>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.对秩序维护人员必须进行相关法律法规及岗位流程培训后方能上岗，每半年组织物管人员和保安人员开展1次安全防范教育培训。</w:t>
            </w:r>
          </w:p>
          <w:p>
            <w:pPr>
              <w:pStyle w:val="null3"/>
              <w:ind w:firstLine="486"/>
              <w:jc w:val="both"/>
            </w:pPr>
            <w:r>
              <w:rPr>
                <w:rFonts w:ascii="仿宋_GB2312" w:hAnsi="仿宋_GB2312" w:cs="仿宋_GB2312" w:eastAsia="仿宋_GB2312"/>
                <w:sz w:val="24"/>
                <w:color w:val="000000"/>
              </w:rPr>
              <w:t>9.利用小区公告栏张贴安全防范宣传品。</w:t>
            </w:r>
          </w:p>
          <w:p>
            <w:pPr>
              <w:pStyle w:val="null3"/>
              <w:ind w:firstLine="486"/>
              <w:jc w:val="both"/>
            </w:pPr>
            <w:r>
              <w:rPr>
                <w:rFonts w:ascii="仿宋_GB2312" w:hAnsi="仿宋_GB2312" w:cs="仿宋_GB2312" w:eastAsia="仿宋_GB2312"/>
                <w:sz w:val="24"/>
                <w:color w:val="000000"/>
              </w:rPr>
              <w:t>10.配合街道社区做好流动人口登记、按租户管理制度对出租房屋进行登记、上报工作。</w:t>
            </w:r>
          </w:p>
          <w:p>
            <w:pPr>
              <w:pStyle w:val="null3"/>
              <w:ind w:firstLine="486"/>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服务区域内公共秩序维护、进出人员及车辆的管理为本项目服务难点。</w:t>
            </w:r>
          </w:p>
          <w:p>
            <w:pPr>
              <w:pStyle w:val="null3"/>
              <w:ind w:firstLine="480"/>
              <w:jc w:val="both"/>
            </w:pPr>
            <w:r>
              <w:rPr>
                <w:rFonts w:ascii="仿宋_GB2312" w:hAnsi="仿宋_GB2312" w:cs="仿宋_GB2312" w:eastAsia="仿宋_GB2312"/>
                <w:sz w:val="24"/>
                <w:b/>
                <w:color w:val="000000"/>
              </w:rPr>
              <w:t>（五）环境卫生维护</w:t>
            </w:r>
          </w:p>
          <w:p>
            <w:pPr>
              <w:pStyle w:val="null3"/>
              <w:ind w:firstLine="486"/>
              <w:jc w:val="both"/>
            </w:pPr>
            <w:r>
              <w:rPr>
                <w:rFonts w:ascii="仿宋_GB2312" w:hAnsi="仿宋_GB2312" w:cs="仿宋_GB2312" w:eastAsia="仿宋_GB2312"/>
                <w:sz w:val="24"/>
                <w:color w:val="000000"/>
              </w:rPr>
              <w:t>1.生活垃圾的收集、清运</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1）有垃圾分类收集容器。</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2）每半月至少清洗1次垃圾收集容器（夏季1次/周），蝇、蚊孳生季节每周喷洒1次杀虫药。</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3）生活垃圾应清运至小区垃圾中转房，垃圾收集容器周边无散落垃圾。</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4）垃圾中转站保持密闭和外围整洁。</w:t>
            </w:r>
          </w:p>
          <w:p>
            <w:pPr>
              <w:pStyle w:val="null3"/>
              <w:ind w:firstLine="486"/>
              <w:jc w:val="both"/>
            </w:pPr>
            <w:r>
              <w:rPr>
                <w:rFonts w:ascii="仿宋_GB2312" w:hAnsi="仿宋_GB2312" w:cs="仿宋_GB2312" w:eastAsia="仿宋_GB2312"/>
                <w:sz w:val="24"/>
                <w:color w:val="000000"/>
              </w:rPr>
              <w:t>2.物业共用部分清洁</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1）公共场所每日清扫1次楼道、楼梯每日清扫1次。</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2）每季度擦拭1次楼梯扶手、栏杆、窗台、防火门、消火栓、指示牌等共用设施。</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3）电梯轿厢：每日擦拭1 次电梯轿厢门、面板。每日清拖1 次轿厢地面；每日巡视保洁2次电梯轿厢。</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4）楼外道路及设施：每日清扫1次、巡视保洁2次，楼外道路无积水；每月清洁1次楼外公共照明及共用设施；每季度清洁1次雨篷、门头等。</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5）配合相关部门进行有害生物的预防和控制。投放药物应预先告知，投药位置有明显标识；定期进行消杀灭害，有相关记录。</w:t>
            </w:r>
          </w:p>
          <w:p>
            <w:pPr>
              <w:pStyle w:val="null3"/>
              <w:ind w:firstLine="486"/>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服务区域内日常清扫保洁、生活垃圾清运为本项目服务重点。</w:t>
            </w:r>
          </w:p>
          <w:p>
            <w:pPr>
              <w:pStyle w:val="null3"/>
              <w:ind w:firstLine="480"/>
              <w:jc w:val="both"/>
            </w:pPr>
            <w:r>
              <w:rPr>
                <w:rFonts w:ascii="仿宋_GB2312" w:hAnsi="仿宋_GB2312" w:cs="仿宋_GB2312" w:eastAsia="仿宋_GB2312"/>
                <w:sz w:val="24"/>
                <w:b/>
                <w:color w:val="000000"/>
              </w:rPr>
              <w:t>（六）绿化养护</w:t>
            </w:r>
          </w:p>
          <w:p>
            <w:pPr>
              <w:pStyle w:val="null3"/>
              <w:ind w:firstLine="486"/>
              <w:jc w:val="both"/>
            </w:pPr>
            <w:r>
              <w:rPr>
                <w:rFonts w:ascii="仿宋_GB2312" w:hAnsi="仿宋_GB2312" w:cs="仿宋_GB2312" w:eastAsia="仿宋_GB2312"/>
                <w:sz w:val="24"/>
                <w:color w:val="000000"/>
              </w:rPr>
              <w:t>1.灌溉</w:t>
            </w:r>
          </w:p>
          <w:p>
            <w:pPr>
              <w:pStyle w:val="null3"/>
              <w:ind w:firstLine="486"/>
              <w:jc w:val="both"/>
            </w:pPr>
            <w:r>
              <w:rPr>
                <w:rFonts w:ascii="仿宋_GB2312" w:hAnsi="仿宋_GB2312" w:cs="仿宋_GB2312" w:eastAsia="仿宋_GB2312"/>
                <w:sz w:val="24"/>
                <w:color w:val="000000"/>
              </w:rPr>
              <w:t>有计划地进行浇灌，灌溉水下渗充足均匀，无明显旱涝情况发生；一般植物确保在萌芽前、</w:t>
            </w:r>
            <w:r>
              <w:rPr>
                <w:rFonts w:ascii="仿宋_GB2312" w:hAnsi="仿宋_GB2312" w:cs="仿宋_GB2312" w:eastAsia="仿宋_GB2312"/>
                <w:sz w:val="24"/>
                <w:color w:val="000000"/>
              </w:rPr>
              <w:t>4月、5月、秋季、入冬前浇水1 次，草坪根据长势和土壤情况适当增加灌溉次数。</w:t>
            </w:r>
          </w:p>
          <w:p>
            <w:pPr>
              <w:pStyle w:val="null3"/>
              <w:ind w:firstLine="486"/>
              <w:jc w:val="both"/>
            </w:pPr>
            <w:r>
              <w:rPr>
                <w:rFonts w:ascii="仿宋_GB2312" w:hAnsi="仿宋_GB2312" w:cs="仿宋_GB2312" w:eastAsia="仿宋_GB2312"/>
                <w:sz w:val="24"/>
                <w:color w:val="000000"/>
              </w:rPr>
              <w:t>2.施肥</w:t>
            </w:r>
          </w:p>
          <w:p>
            <w:pPr>
              <w:pStyle w:val="null3"/>
              <w:ind w:firstLine="486"/>
              <w:jc w:val="both"/>
            </w:pPr>
            <w:r>
              <w:rPr>
                <w:rFonts w:ascii="仿宋_GB2312" w:hAnsi="仿宋_GB2312" w:cs="仿宋_GB2312" w:eastAsia="仿宋_GB2312"/>
                <w:sz w:val="24"/>
                <w:color w:val="000000"/>
              </w:rPr>
              <w:t>根据植物生长情况施肥，一般乔木每年施肥</w:t>
            </w:r>
            <w:r>
              <w:rPr>
                <w:rFonts w:ascii="仿宋_GB2312" w:hAnsi="仿宋_GB2312" w:cs="仿宋_GB2312" w:eastAsia="仿宋_GB2312"/>
                <w:sz w:val="24"/>
                <w:color w:val="000000"/>
              </w:rPr>
              <w:t>1次；灌木每年施肥1次；地被和草坪植物每年春季萌芽和入冬前后施肥1次至2次；花坛植物根据生长情况进行追肥；生长不良的植物适当增加施肥频次。</w:t>
            </w:r>
          </w:p>
          <w:p>
            <w:pPr>
              <w:pStyle w:val="null3"/>
              <w:ind w:firstLine="486"/>
              <w:jc w:val="both"/>
            </w:pPr>
            <w:r>
              <w:rPr>
                <w:rFonts w:ascii="仿宋_GB2312" w:hAnsi="仿宋_GB2312" w:cs="仿宋_GB2312" w:eastAsia="仿宋_GB2312"/>
                <w:sz w:val="24"/>
                <w:color w:val="000000"/>
              </w:rPr>
              <w:t>3.病虫害防治</w:t>
            </w:r>
          </w:p>
          <w:p>
            <w:pPr>
              <w:pStyle w:val="null3"/>
              <w:ind w:firstLine="486"/>
              <w:jc w:val="both"/>
            </w:pPr>
            <w:r>
              <w:rPr>
                <w:rFonts w:ascii="仿宋_GB2312" w:hAnsi="仿宋_GB2312" w:cs="仿宋_GB2312" w:eastAsia="仿宋_GB2312"/>
                <w:sz w:val="24"/>
                <w:color w:val="000000"/>
              </w:rPr>
              <w:t>根据病虫害发生规律，植物生长季每</w:t>
            </w:r>
            <w:r>
              <w:rPr>
                <w:rFonts w:ascii="仿宋_GB2312" w:hAnsi="仿宋_GB2312" w:cs="仿宋_GB2312" w:eastAsia="仿宋_GB2312"/>
                <w:sz w:val="24"/>
                <w:color w:val="000000"/>
              </w:rPr>
              <w:t>2周检查1次病虫害情况；并根据检查结果防治病虫害，不因病虫害出现提前落叶、死亡现象。</w:t>
            </w:r>
          </w:p>
          <w:p>
            <w:pPr>
              <w:pStyle w:val="null3"/>
              <w:ind w:firstLine="486"/>
              <w:jc w:val="both"/>
            </w:pPr>
            <w:r>
              <w:rPr>
                <w:rFonts w:ascii="仿宋_GB2312" w:hAnsi="仿宋_GB2312" w:cs="仿宋_GB2312" w:eastAsia="仿宋_GB2312"/>
                <w:sz w:val="24"/>
                <w:color w:val="000000"/>
              </w:rPr>
              <w:t>4.整形修剪</w:t>
            </w:r>
          </w:p>
          <w:p>
            <w:pPr>
              <w:pStyle w:val="null3"/>
              <w:ind w:firstLine="486"/>
              <w:jc w:val="both"/>
            </w:pPr>
            <w:r>
              <w:rPr>
                <w:rFonts w:ascii="仿宋_GB2312" w:hAnsi="仿宋_GB2312" w:cs="仿宋_GB2312" w:eastAsia="仿宋_GB2312"/>
                <w:sz w:val="24"/>
                <w:color w:val="000000"/>
              </w:rPr>
              <w:t>乔木每年修剪</w:t>
            </w:r>
            <w:r>
              <w:rPr>
                <w:rFonts w:ascii="仿宋_GB2312" w:hAnsi="仿宋_GB2312" w:cs="仿宋_GB2312" w:eastAsia="仿宋_GB2312"/>
                <w:sz w:val="24"/>
                <w:color w:val="000000"/>
              </w:rPr>
              <w:t>1次；灌木每年生长季节和冬季修剪1次；绿篱每年至少修剪3次；草坪夏季每季至少修剪2 次。</w:t>
            </w:r>
          </w:p>
          <w:p>
            <w:pPr>
              <w:pStyle w:val="null3"/>
              <w:ind w:firstLine="486"/>
              <w:jc w:val="both"/>
            </w:pPr>
            <w:r>
              <w:rPr>
                <w:rFonts w:ascii="仿宋_GB2312" w:hAnsi="仿宋_GB2312" w:cs="仿宋_GB2312" w:eastAsia="仿宋_GB2312"/>
                <w:sz w:val="24"/>
                <w:color w:val="000000"/>
              </w:rPr>
              <w:t>5.除草</w:t>
            </w:r>
          </w:p>
          <w:p>
            <w:pPr>
              <w:pStyle w:val="null3"/>
              <w:ind w:firstLine="486"/>
              <w:jc w:val="both"/>
            </w:pPr>
            <w:r>
              <w:rPr>
                <w:rFonts w:ascii="仿宋_GB2312" w:hAnsi="仿宋_GB2312" w:cs="仿宋_GB2312" w:eastAsia="仿宋_GB2312"/>
                <w:sz w:val="24"/>
                <w:color w:val="000000"/>
              </w:rPr>
              <w:t>每年全面除草</w:t>
            </w:r>
            <w:r>
              <w:rPr>
                <w:rFonts w:ascii="仿宋_GB2312" w:hAnsi="仿宋_GB2312" w:cs="仿宋_GB2312" w:eastAsia="仿宋_GB2312"/>
                <w:sz w:val="24"/>
                <w:color w:val="000000"/>
              </w:rPr>
              <w:t>1次，重点绿地增加除草次数。</w:t>
            </w:r>
          </w:p>
          <w:p>
            <w:pPr>
              <w:pStyle w:val="null3"/>
              <w:ind w:firstLine="486"/>
              <w:jc w:val="both"/>
            </w:pPr>
            <w:r>
              <w:rPr>
                <w:rFonts w:ascii="仿宋_GB2312" w:hAnsi="仿宋_GB2312" w:cs="仿宋_GB2312" w:eastAsia="仿宋_GB2312"/>
                <w:sz w:val="24"/>
                <w:color w:val="000000"/>
              </w:rPr>
              <w:t>6.垃圾处理</w:t>
            </w:r>
          </w:p>
          <w:p>
            <w:pPr>
              <w:pStyle w:val="null3"/>
              <w:ind w:firstLine="486"/>
              <w:jc w:val="both"/>
            </w:pPr>
            <w:r>
              <w:rPr>
                <w:rFonts w:ascii="仿宋_GB2312" w:hAnsi="仿宋_GB2312" w:cs="仿宋_GB2312" w:eastAsia="仿宋_GB2312"/>
                <w:sz w:val="24"/>
                <w:color w:val="000000"/>
              </w:rPr>
              <w:t>绿化作业产生的垃圾应在作业完成后</w:t>
            </w:r>
            <w:r>
              <w:rPr>
                <w:rFonts w:ascii="仿宋_GB2312" w:hAnsi="仿宋_GB2312" w:cs="仿宋_GB2312" w:eastAsia="仿宋_GB2312"/>
                <w:sz w:val="24"/>
                <w:color w:val="000000"/>
              </w:rPr>
              <w:t>2小时内清理干净。</w:t>
            </w:r>
          </w:p>
          <w:p>
            <w:pPr>
              <w:pStyle w:val="null3"/>
              <w:ind w:firstLine="486"/>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为保障本小区环境卫生工作的质量要求，确保本小区业主的居住环境，在高温天气期间需保持对小区公共区域进行清洁标准，应按照要求向环境维护员</w:t>
            </w:r>
            <w:r>
              <w:rPr>
                <w:rFonts w:ascii="仿宋_GB2312" w:hAnsi="仿宋_GB2312" w:cs="仿宋_GB2312" w:eastAsia="仿宋_GB2312"/>
                <w:sz w:val="24"/>
                <w:color w:val="000000"/>
              </w:rPr>
              <w:t>每人</w:t>
            </w:r>
            <w:r>
              <w:rPr>
                <w:rFonts w:ascii="仿宋_GB2312" w:hAnsi="仿宋_GB2312" w:cs="仿宋_GB2312" w:eastAsia="仿宋_GB2312"/>
                <w:sz w:val="24"/>
                <w:color w:val="000000"/>
              </w:rPr>
              <w:t>支付共</w:t>
            </w:r>
            <w:r>
              <w:rPr>
                <w:rFonts w:ascii="仿宋_GB2312" w:hAnsi="仿宋_GB2312" w:cs="仿宋_GB2312" w:eastAsia="仿宋_GB2312"/>
                <w:sz w:val="24"/>
                <w:color w:val="000000"/>
              </w:rPr>
              <w:t>30日的高温津贴，并将此项费用计入投标报价。</w:t>
            </w:r>
          </w:p>
          <w:p>
            <w:pPr>
              <w:pStyle w:val="null3"/>
              <w:ind w:firstLine="480"/>
              <w:jc w:val="both"/>
            </w:pPr>
            <w:r>
              <w:rPr>
                <w:rFonts w:ascii="仿宋_GB2312" w:hAnsi="仿宋_GB2312" w:cs="仿宋_GB2312" w:eastAsia="仿宋_GB2312"/>
                <w:sz w:val="24"/>
                <w:b/>
                <w:color w:val="000000"/>
              </w:rPr>
              <w:t>（七）社区文化建设</w:t>
            </w:r>
          </w:p>
          <w:p>
            <w:pPr>
              <w:pStyle w:val="null3"/>
              <w:ind w:firstLine="486"/>
              <w:jc w:val="both"/>
            </w:pPr>
            <w:r>
              <w:rPr>
                <w:rFonts w:ascii="仿宋_GB2312" w:hAnsi="仿宋_GB2312" w:cs="仿宋_GB2312" w:eastAsia="仿宋_GB2312"/>
                <w:sz w:val="24"/>
                <w:color w:val="000000"/>
              </w:rPr>
              <w:t>1.有管务公开栏及其它宣传栏，内容每季度更新1次。</w:t>
            </w:r>
          </w:p>
          <w:p>
            <w:pPr>
              <w:pStyle w:val="null3"/>
              <w:ind w:firstLine="486"/>
              <w:jc w:val="both"/>
            </w:pPr>
            <w:r>
              <w:rPr>
                <w:rFonts w:ascii="仿宋_GB2312" w:hAnsi="仿宋_GB2312" w:cs="仿宋_GB2312" w:eastAsia="仿宋_GB2312"/>
                <w:sz w:val="24"/>
                <w:color w:val="000000"/>
              </w:rPr>
              <w:t>2.每年至少开展2次精神文明宣传教育工作，内容包括科学防疫、消防安全、食品卫生、房屋及其附属设施设备使用安全、环保及法律等知识。</w:t>
            </w:r>
          </w:p>
          <w:p>
            <w:pPr>
              <w:pStyle w:val="null3"/>
              <w:ind w:firstLine="486"/>
              <w:jc w:val="both"/>
            </w:pPr>
            <w:r>
              <w:rPr>
                <w:rFonts w:ascii="仿宋_GB2312" w:hAnsi="仿宋_GB2312" w:cs="仿宋_GB2312" w:eastAsia="仿宋_GB2312"/>
                <w:sz w:val="24"/>
                <w:color w:val="000000"/>
              </w:rPr>
              <w:t>3.每年按物业服务合同约定组织社区文化活动。</w:t>
            </w:r>
          </w:p>
          <w:p>
            <w:pPr>
              <w:pStyle w:val="null3"/>
              <w:ind w:firstLine="486"/>
              <w:jc w:val="both"/>
            </w:pPr>
            <w:r>
              <w:rPr>
                <w:rFonts w:ascii="仿宋_GB2312" w:hAnsi="仿宋_GB2312" w:cs="仿宋_GB2312" w:eastAsia="仿宋_GB2312"/>
                <w:sz w:val="24"/>
                <w:color w:val="000000"/>
              </w:rPr>
              <w:t>4.社区文化有活动计划、有记录、有总结，相关资料齐全。</w:t>
            </w:r>
          </w:p>
          <w:p>
            <w:pPr>
              <w:pStyle w:val="null3"/>
              <w:ind w:firstLine="480"/>
              <w:jc w:val="both"/>
            </w:pPr>
            <w:r>
              <w:rPr>
                <w:rFonts w:ascii="仿宋_GB2312" w:hAnsi="仿宋_GB2312" w:cs="仿宋_GB2312" w:eastAsia="仿宋_GB2312"/>
                <w:sz w:val="24"/>
                <w:b/>
                <w:color w:val="000000"/>
              </w:rPr>
              <w:t>（八）其它服务要求</w:t>
            </w:r>
          </w:p>
          <w:p>
            <w:pPr>
              <w:pStyle w:val="null3"/>
              <w:ind w:firstLine="486"/>
              <w:jc w:val="both"/>
            </w:pPr>
            <w:r>
              <w:rPr>
                <w:rFonts w:ascii="仿宋_GB2312" w:hAnsi="仿宋_GB2312" w:cs="仿宋_GB2312" w:eastAsia="仿宋_GB2312"/>
                <w:sz w:val="24"/>
                <w:color w:val="000000"/>
              </w:rPr>
              <w:t>1.协助采购人完成戒毒、防邪工作，包括但不限于：开展禁毒宣传活动，普及毒品预防和艾滋病防治等相关知识，宣传禁毒戒毒政策法规，增强社区居民特别是辖区青少年禁毒意识，提高其自觉抵制毒品的能力，倡导禁毒社会工作理念，以及采购人交办的其他禁毒工作，努力营造包容、友善的社区氛围。</w:t>
            </w:r>
          </w:p>
          <w:p>
            <w:pPr>
              <w:pStyle w:val="null3"/>
              <w:ind w:firstLine="486"/>
              <w:jc w:val="both"/>
            </w:pPr>
            <w:r>
              <w:rPr>
                <w:rFonts w:ascii="仿宋_GB2312" w:hAnsi="仿宋_GB2312" w:cs="仿宋_GB2312" w:eastAsia="仿宋_GB2312"/>
                <w:sz w:val="24"/>
                <w:color w:val="000000"/>
              </w:rPr>
              <w:t>2.协助采购人做好小区违建治理工作。做到源头治理，早发现、早处置、早报告。</w:t>
            </w:r>
          </w:p>
          <w:p>
            <w:pPr>
              <w:pStyle w:val="null3"/>
              <w:ind w:firstLine="486"/>
              <w:jc w:val="both"/>
            </w:pPr>
            <w:r>
              <w:rPr>
                <w:rFonts w:ascii="仿宋_GB2312" w:hAnsi="仿宋_GB2312" w:cs="仿宋_GB2312" w:eastAsia="仿宋_GB2312"/>
                <w:sz w:val="24"/>
                <w:color w:val="000000"/>
              </w:rPr>
              <w:t>3.采购人交办的其他事项及上级单位安排事项，中标供应商也应积极响应，按照相关要求，组织人员保质保量完成。</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人员要求（按下列人员要求配置）</w:t>
            </w:r>
          </w:p>
        </w:tc>
        <w:tc>
          <w:tcPr>
            <w:tcW w:type="dxa" w:w="5814"/>
          </w:tcPr>
          <w:p>
            <w:pPr>
              <w:pStyle w:val="null3"/>
              <w:ind w:firstLine="480"/>
              <w:jc w:val="both"/>
            </w:pPr>
            <w:r>
              <w:rPr>
                <w:rFonts w:ascii="仿宋_GB2312" w:hAnsi="仿宋_GB2312" w:cs="仿宋_GB2312" w:eastAsia="仿宋_GB2312"/>
                <w:sz w:val="24"/>
                <w:color w:val="000000"/>
              </w:rPr>
              <w:t>1.本项目服务人员配备总数不低于</w:t>
            </w:r>
            <w:r>
              <w:rPr>
                <w:rFonts w:ascii="仿宋_GB2312" w:hAnsi="仿宋_GB2312" w:cs="仿宋_GB2312" w:eastAsia="仿宋_GB2312"/>
                <w:sz w:val="24"/>
                <w:color w:val="000000"/>
              </w:rPr>
              <w:t>25</w:t>
            </w:r>
            <w:r>
              <w:rPr>
                <w:rFonts w:ascii="仿宋_GB2312" w:hAnsi="仿宋_GB2312" w:cs="仿宋_GB2312" w:eastAsia="仿宋_GB2312"/>
                <w:sz w:val="24"/>
                <w:color w:val="000000"/>
              </w:rPr>
              <w:t>人</w:t>
            </w:r>
            <w:r>
              <w:rPr>
                <w:rFonts w:ascii="仿宋_GB2312" w:hAnsi="仿宋_GB2312" w:cs="仿宋_GB2312" w:eastAsia="仿宋_GB2312"/>
                <w:sz w:val="24"/>
              </w:rPr>
              <w:t>，全部为专门服务于本项目的全职全日制人员，工作时间均为每人每日</w:t>
            </w:r>
            <w:r>
              <w:rPr>
                <w:rFonts w:ascii="仿宋_GB2312" w:hAnsi="仿宋_GB2312" w:cs="仿宋_GB2312" w:eastAsia="仿宋_GB2312"/>
                <w:sz w:val="24"/>
              </w:rPr>
              <w:t>八</w:t>
            </w:r>
            <w:r>
              <w:rPr>
                <w:rFonts w:ascii="仿宋_GB2312" w:hAnsi="仿宋_GB2312" w:cs="仿宋_GB2312" w:eastAsia="仿宋_GB2312"/>
                <w:sz w:val="24"/>
              </w:rPr>
              <w:t>小时标准工时制，</w:t>
            </w:r>
            <w:r>
              <w:rPr>
                <w:rFonts w:ascii="仿宋_GB2312" w:hAnsi="仿宋_GB2312" w:cs="仿宋_GB2312" w:eastAsia="仿宋_GB2312"/>
                <w:sz w:val="24"/>
              </w:rPr>
              <w:t>工资实行月工资制，</w:t>
            </w:r>
            <w:r>
              <w:rPr>
                <w:rFonts w:ascii="仿宋_GB2312" w:hAnsi="仿宋_GB2312" w:cs="仿宋_GB2312" w:eastAsia="仿宋_GB2312"/>
                <w:sz w:val="24"/>
              </w:rPr>
              <w:t>除采购文件明确约定外，各岗位人员不得同时兼任其他岗位或项目工作，也不得跨岗位调休。在本项目服务期限内，投标文件</w:t>
            </w:r>
            <w:r>
              <w:rPr>
                <w:rFonts w:ascii="仿宋_GB2312" w:hAnsi="仿宋_GB2312" w:cs="仿宋_GB2312" w:eastAsia="仿宋_GB2312"/>
                <w:sz w:val="24"/>
              </w:rPr>
              <w:t>中</w:t>
            </w:r>
            <w:r>
              <w:rPr>
                <w:rFonts w:ascii="仿宋_GB2312" w:hAnsi="仿宋_GB2312" w:cs="仿宋_GB2312" w:eastAsia="仿宋_GB2312"/>
                <w:sz w:val="24"/>
              </w:rPr>
              <w:t>人员配置及要求均应</w:t>
            </w:r>
            <w:r>
              <w:rPr>
                <w:rFonts w:ascii="仿宋_GB2312" w:hAnsi="仿宋_GB2312" w:cs="仿宋_GB2312" w:eastAsia="仿宋_GB2312"/>
                <w:sz w:val="24"/>
              </w:rPr>
              <w:t>满足</w:t>
            </w:r>
            <w:r>
              <w:rPr>
                <w:rFonts w:ascii="仿宋_GB2312" w:hAnsi="仿宋_GB2312" w:cs="仿宋_GB2312" w:eastAsia="仿宋_GB2312"/>
                <w:sz w:val="24"/>
              </w:rPr>
              <w:t>招标文件人员配置及要求</w:t>
            </w:r>
            <w:r>
              <w:rPr>
                <w:rFonts w:ascii="仿宋_GB2312" w:hAnsi="仿宋_GB2312" w:cs="仿宋_GB2312" w:eastAsia="仿宋_GB2312"/>
                <w:sz w:val="24"/>
              </w:rPr>
              <w:t>。</w:t>
            </w:r>
            <w:r>
              <w:rPr>
                <w:rFonts w:ascii="仿宋_GB2312" w:hAnsi="仿宋_GB2312" w:cs="仿宋_GB2312" w:eastAsia="仿宋_GB2312"/>
                <w:sz w:val="24"/>
              </w:rPr>
              <w:t>本项目人员在工作期间发生的疾病和人身安全、安全责任事故、劳务纠纷等负责，采购人对此不承担任何的责任和义务，但采购人应积极配合投标人妥善处置。</w:t>
            </w:r>
          </w:p>
          <w:p>
            <w:pPr>
              <w:pStyle w:val="null3"/>
              <w:ind w:firstLine="486"/>
              <w:jc w:val="both"/>
            </w:pPr>
            <w:r>
              <w:rPr>
                <w:rFonts w:ascii="仿宋_GB2312" w:hAnsi="仿宋_GB2312" w:cs="仿宋_GB2312" w:eastAsia="仿宋_GB2312"/>
                <w:sz w:val="24"/>
                <w:color w:val="000000"/>
              </w:rPr>
              <w:t>2.人员配置具体要求：</w:t>
            </w:r>
          </w:p>
          <w:tbl>
            <w:tblPr>
              <w:tblInd w:type="dxa" w:w="30"/>
              <w:tblBorders>
                <w:top w:val="none" w:color="000000" w:sz="4"/>
                <w:left w:val="none" w:color="000000" w:sz="4"/>
                <w:bottom w:val="none" w:color="000000" w:sz="4"/>
                <w:right w:val="none" w:color="000000" w:sz="4"/>
                <w:insideH w:val="none"/>
                <w:insideV w:val="none"/>
              </w:tblBorders>
            </w:tblPr>
            <w:tblGrid>
              <w:gridCol w:w="768"/>
              <w:gridCol w:w="729"/>
              <w:gridCol w:w="1744"/>
              <w:gridCol w:w="2325"/>
            </w:tblGrid>
            <w:tr>
              <w:tc>
                <w:tcPr>
                  <w:tcW w:type="dxa" w:w="76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岗位</w:t>
                  </w:r>
                </w:p>
              </w:tc>
              <w:tc>
                <w:tcPr>
                  <w:tcW w:type="dxa" w:w="72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人数</w:t>
                  </w:r>
                </w:p>
              </w:tc>
              <w:tc>
                <w:tcPr>
                  <w:tcW w:type="dxa" w:w="174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配置说明</w:t>
                  </w:r>
                </w:p>
              </w:tc>
              <w:tc>
                <w:tcPr>
                  <w:tcW w:type="dxa" w:w="232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备注</w:t>
                  </w:r>
                </w:p>
              </w:tc>
            </w:tr>
            <w:tr>
              <w:tc>
                <w:tcPr>
                  <w:tcW w:type="dxa" w:w="7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项目经理</w:t>
                  </w:r>
                </w:p>
              </w:tc>
              <w:tc>
                <w:tcPr>
                  <w:tcW w:type="dxa" w:w="7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1人</w:t>
                  </w:r>
                </w:p>
              </w:tc>
              <w:tc>
                <w:tcPr>
                  <w:tcW w:type="dxa" w:w="17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1.项目管理的第一责任人，负责项目的全面工作。</w:t>
                  </w:r>
                </w:p>
                <w:p>
                  <w:pPr>
                    <w:pStyle w:val="null3"/>
                    <w:spacing w:before="105" w:after="105"/>
                    <w:jc w:val="left"/>
                  </w:pPr>
                  <w:r>
                    <w:rPr>
                      <w:rFonts w:ascii="仿宋_GB2312" w:hAnsi="仿宋_GB2312" w:cs="仿宋_GB2312" w:eastAsia="仿宋_GB2312"/>
                      <w:sz w:val="24"/>
                      <w:color w:val="000000"/>
                    </w:rPr>
                    <w:t>2.45周岁以下，具有本科及以上学历。具备5年及以上类似物业管理项目的项目经理工作经验。</w:t>
                  </w:r>
                </w:p>
                <w:p>
                  <w:pPr>
                    <w:pStyle w:val="null3"/>
                    <w:spacing w:before="105" w:after="10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项目经理法定节假日每天在岗8小时。</w:t>
                  </w:r>
                </w:p>
              </w:tc>
              <w:tc>
                <w:tcPr>
                  <w:tcW w:type="dxa" w:w="23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★1.具有5年及以上物业管理工作经验（提供工作经验证明材料，格式自拟）。</w:t>
                  </w:r>
                </w:p>
                <w:p>
                  <w:pPr>
                    <w:pStyle w:val="null3"/>
                    <w:spacing w:before="105" w:after="105"/>
                    <w:jc w:val="left"/>
                  </w:pPr>
                  <w:r>
                    <w:rPr>
                      <w:rFonts w:ascii="仿宋_GB2312" w:hAnsi="仿宋_GB2312" w:cs="仿宋_GB2312" w:eastAsia="仿宋_GB2312"/>
                      <w:sz w:val="24"/>
                      <w:color w:val="000000"/>
                    </w:rPr>
                    <w:t>★2.提供有效期内身份证正反面、学历证复印件</w:t>
                  </w:r>
                  <w:r>
                    <w:rPr>
                      <w:rFonts w:ascii="仿宋_GB2312" w:hAnsi="仿宋_GB2312" w:cs="仿宋_GB2312" w:eastAsia="仿宋_GB2312"/>
                      <w:sz w:val="24"/>
                      <w:color w:val="000000"/>
                    </w:rPr>
                    <w:t>及学历证学信网</w:t>
                  </w:r>
                  <w:r>
                    <w:rPr>
                      <w:rFonts w:ascii="仿宋_GB2312" w:hAnsi="仿宋_GB2312" w:cs="仿宋_GB2312" w:eastAsia="仿宋_GB2312"/>
                      <w:sz w:val="24"/>
                      <w:color w:val="000000"/>
                    </w:rPr>
                    <w:t>查询</w:t>
                  </w:r>
                  <w:r>
                    <w:rPr>
                      <w:rFonts w:ascii="仿宋_GB2312" w:hAnsi="仿宋_GB2312" w:cs="仿宋_GB2312" w:eastAsia="仿宋_GB2312"/>
                      <w:sz w:val="24"/>
                      <w:color w:val="000000"/>
                    </w:rPr>
                    <w:t>截图。</w:t>
                  </w:r>
                </w:p>
                <w:p>
                  <w:pPr>
                    <w:pStyle w:val="null3"/>
                    <w:spacing w:before="105" w:after="105"/>
                    <w:jc w:val="left"/>
                  </w:pPr>
                  <w:r>
                    <w:rPr>
                      <w:rFonts w:ascii="仿宋_GB2312" w:hAnsi="仿宋_GB2312" w:cs="仿宋_GB2312" w:eastAsia="仿宋_GB2312"/>
                      <w:sz w:val="24"/>
                      <w:color w:val="000000"/>
                    </w:rPr>
                    <w:t>★3.供应商员</w:t>
                  </w:r>
                  <w:r>
                    <w:rPr>
                      <w:rFonts w:ascii="仿宋_GB2312" w:hAnsi="仿宋_GB2312" w:cs="仿宋_GB2312" w:eastAsia="仿宋_GB2312"/>
                      <w:sz w:val="24"/>
                      <w:color w:val="000000"/>
                    </w:rPr>
                    <w:t>工在职证明材料（提供签订的劳动合同）。</w:t>
                  </w:r>
                </w:p>
                <w:p>
                  <w:pPr>
                    <w:pStyle w:val="null3"/>
                    <w:spacing w:before="105" w:after="105"/>
                    <w:jc w:val="left"/>
                  </w:pPr>
                  <w:r>
                    <w:rPr>
                      <w:rFonts w:ascii="仿宋_GB2312" w:hAnsi="仿宋_GB2312" w:cs="仿宋_GB2312" w:eastAsia="仿宋_GB2312"/>
                      <w:sz w:val="24"/>
                      <w:color w:val="000000"/>
                    </w:rPr>
                    <w:t>★4.公安机关开具的无犯罪记录证明（无犯罪记录证明需提供在网站可以查询版本）</w:t>
                  </w:r>
                </w:p>
              </w:tc>
            </w:tr>
            <w:tr>
              <w:tc>
                <w:tcPr>
                  <w:tcW w:type="dxa" w:w="7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客户服务</w:t>
                  </w:r>
                </w:p>
              </w:tc>
              <w:tc>
                <w:tcPr>
                  <w:tcW w:type="dxa" w:w="7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1人</w:t>
                  </w:r>
                </w:p>
              </w:tc>
              <w:tc>
                <w:tcPr>
                  <w:tcW w:type="dxa" w:w="17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1.负责项目客户接待、收费及档案管理等工作。</w:t>
                  </w:r>
                </w:p>
                <w:p>
                  <w:pPr>
                    <w:pStyle w:val="null3"/>
                    <w:spacing w:before="105" w:after="105"/>
                    <w:jc w:val="left"/>
                  </w:pPr>
                  <w:r>
                    <w:rPr>
                      <w:rFonts w:ascii="仿宋_GB2312" w:hAnsi="仿宋_GB2312" w:cs="仿宋_GB2312" w:eastAsia="仿宋_GB2312"/>
                      <w:sz w:val="24"/>
                      <w:color w:val="000000"/>
                    </w:rPr>
                    <w:t>2.40周岁以下，具有大专及以上学历。具有2年以上物业客户服务工作经验。</w:t>
                  </w:r>
                </w:p>
                <w:p>
                  <w:pPr>
                    <w:pStyle w:val="null3"/>
                    <w:spacing w:before="105" w:after="10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客户服务人员周末双休日每天在岗3小时。</w:t>
                  </w:r>
                </w:p>
              </w:tc>
              <w:tc>
                <w:tcPr>
                  <w:tcW w:type="dxa" w:w="23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★1.提供具有2年工作经验证明材料，格式自拟。</w:t>
                  </w:r>
                </w:p>
                <w:p>
                  <w:pPr>
                    <w:pStyle w:val="null3"/>
                    <w:spacing w:before="105" w:after="105"/>
                    <w:jc w:val="left"/>
                  </w:pPr>
                  <w:r>
                    <w:rPr>
                      <w:rFonts w:ascii="仿宋_GB2312" w:hAnsi="仿宋_GB2312" w:cs="仿宋_GB2312" w:eastAsia="仿宋_GB2312"/>
                      <w:sz w:val="24"/>
                      <w:color w:val="000000"/>
                    </w:rPr>
                    <w:t>★2.提供有效期内身份证正反面复印件。</w:t>
                  </w:r>
                </w:p>
                <w:p>
                  <w:pPr>
                    <w:pStyle w:val="null3"/>
                    <w:spacing w:before="105" w:after="105"/>
                    <w:jc w:val="left"/>
                  </w:pPr>
                  <w:r>
                    <w:rPr>
                      <w:rFonts w:ascii="仿宋_GB2312" w:hAnsi="仿宋_GB2312" w:cs="仿宋_GB2312" w:eastAsia="仿宋_GB2312"/>
                      <w:sz w:val="24"/>
                      <w:color w:val="000000"/>
                    </w:rPr>
                    <w:t>★3.提供学历证书复印件及学信网网页查询截图。</w:t>
                  </w:r>
                </w:p>
                <w:p>
                  <w:pPr>
                    <w:pStyle w:val="null3"/>
                    <w:spacing w:before="105" w:after="105"/>
                    <w:jc w:val="left"/>
                  </w:pPr>
                  <w:r>
                    <w:rPr>
                      <w:rFonts w:ascii="仿宋_GB2312" w:hAnsi="仿宋_GB2312" w:cs="仿宋_GB2312" w:eastAsia="仿宋_GB2312"/>
                      <w:sz w:val="24"/>
                      <w:color w:val="000000"/>
                    </w:rPr>
                    <w:t>★4.提供二级乙等及以上普通话水平测试等级证书复印件。</w:t>
                  </w:r>
                </w:p>
                <w:p>
                  <w:pPr>
                    <w:pStyle w:val="null3"/>
                    <w:spacing w:before="105" w:after="105"/>
                    <w:jc w:val="left"/>
                  </w:pPr>
                  <w:r>
                    <w:rPr>
                      <w:rFonts w:ascii="仿宋_GB2312" w:hAnsi="仿宋_GB2312" w:cs="仿宋_GB2312" w:eastAsia="仿宋_GB2312"/>
                      <w:sz w:val="24"/>
                      <w:color w:val="000000"/>
                    </w:rPr>
                    <w:t>★5.公安机关开具的无犯罪记录证明（无犯罪记录证明需提供在网站可以查询版本）</w:t>
                  </w:r>
                </w:p>
              </w:tc>
            </w:tr>
            <w:tr>
              <w:tc>
                <w:tcPr>
                  <w:tcW w:type="dxa" w:w="7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综合维修人员</w:t>
                  </w:r>
                </w:p>
              </w:tc>
              <w:tc>
                <w:tcPr>
                  <w:tcW w:type="dxa" w:w="7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1人</w:t>
                  </w:r>
                </w:p>
              </w:tc>
              <w:tc>
                <w:tcPr>
                  <w:tcW w:type="dxa" w:w="17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1.负责小区内土建、给排水、弱电及其他设施设备维修维护工作；负责电梯安全巡查、日常维护工作。</w:t>
                  </w:r>
                </w:p>
                <w:p>
                  <w:pPr>
                    <w:pStyle w:val="null3"/>
                    <w:spacing w:before="105" w:after="105"/>
                    <w:jc w:val="left"/>
                  </w:pPr>
                  <w:r>
                    <w:rPr>
                      <w:rFonts w:ascii="仿宋_GB2312" w:hAnsi="仿宋_GB2312" w:cs="仿宋_GB2312" w:eastAsia="仿宋_GB2312"/>
                      <w:sz w:val="24"/>
                      <w:color w:val="000000"/>
                    </w:rPr>
                    <w:t>2.男55周岁以下，女50周岁以下，具有2年以上物业综合维修服务工作经验。</w:t>
                  </w:r>
                </w:p>
                <w:p>
                  <w:pPr>
                    <w:pStyle w:val="null3"/>
                    <w:spacing w:before="105" w:after="105"/>
                    <w:jc w:val="left"/>
                  </w:pPr>
                  <w:r>
                    <w:rPr>
                      <w:rFonts w:ascii="仿宋_GB2312" w:hAnsi="仿宋_GB2312" w:cs="仿宋_GB2312" w:eastAsia="仿宋_GB2312"/>
                      <w:sz w:val="24"/>
                      <w:color w:val="000000"/>
                    </w:rPr>
                    <w:t>3.综合维修人员法定节假日每天在岗8小时，周末双休日每天在岗3小时。</w:t>
                  </w:r>
                </w:p>
              </w:tc>
              <w:tc>
                <w:tcPr>
                  <w:tcW w:type="dxa" w:w="23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持有《中华人民共和国特种作业操作证》（同时具备高压和低压电工作业）；具有特种设备安全管理人员证（项目代号：A4）或特种设备安全管理和作业人员证（项目代号：A）（说明:提供有效的证书复印件；)</w:t>
                  </w:r>
                </w:p>
                <w:p>
                  <w:pPr>
                    <w:pStyle w:val="null3"/>
                    <w:spacing w:before="105" w:after="105"/>
                    <w:jc w:val="left"/>
                  </w:pPr>
                  <w:r>
                    <w:rPr>
                      <w:rFonts w:ascii="仿宋_GB2312" w:hAnsi="仿宋_GB2312" w:cs="仿宋_GB2312" w:eastAsia="仿宋_GB2312"/>
                      <w:sz w:val="24"/>
                      <w:color w:val="000000"/>
                    </w:rPr>
                    <w:t>★2.提供有效身份证正反面复印件。</w:t>
                  </w:r>
                </w:p>
                <w:p>
                  <w:pPr>
                    <w:pStyle w:val="null3"/>
                    <w:spacing w:before="105" w:after="105"/>
                    <w:jc w:val="left"/>
                  </w:pPr>
                  <w:r>
                    <w:rPr>
                      <w:rFonts w:ascii="仿宋_GB2312" w:hAnsi="仿宋_GB2312" w:cs="仿宋_GB2312" w:eastAsia="仿宋_GB2312"/>
                      <w:sz w:val="24"/>
                      <w:color w:val="000000"/>
                    </w:rPr>
                    <w:t>★3.公安机关开具的无犯罪记录证明（无犯罪记录证明需提供在网站可以查询版本）</w:t>
                  </w:r>
                </w:p>
                <w:p>
                  <w:pPr>
                    <w:pStyle w:val="null3"/>
                    <w:spacing w:before="105" w:after="105"/>
                    <w:jc w:val="left"/>
                  </w:pPr>
                  <w:r>
                    <w:rPr>
                      <w:rFonts w:ascii="仿宋_GB2312" w:hAnsi="仿宋_GB2312" w:cs="仿宋_GB2312" w:eastAsia="仿宋_GB2312"/>
                      <w:sz w:val="24"/>
                      <w:color w:val="000000"/>
                    </w:rPr>
                    <w:t>★4.提供具有2年以上物业综合维修服务工作经验证明材料，格式自拟。</w:t>
                  </w:r>
                </w:p>
              </w:tc>
            </w:tr>
            <w:tr>
              <w:tc>
                <w:tcPr>
                  <w:tcW w:type="dxa" w:w="7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环境维护员</w:t>
                  </w:r>
                </w:p>
              </w:tc>
              <w:tc>
                <w:tcPr>
                  <w:tcW w:type="dxa" w:w="7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7人</w:t>
                  </w:r>
                </w:p>
              </w:tc>
              <w:tc>
                <w:tcPr>
                  <w:tcW w:type="dxa" w:w="17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1.负责项目清扫保洁、垃圾清运、日常绿化养护等环境维护工作。</w:t>
                  </w:r>
                </w:p>
                <w:p>
                  <w:pPr>
                    <w:pStyle w:val="null3"/>
                    <w:spacing w:before="105" w:after="105"/>
                    <w:jc w:val="left"/>
                  </w:pPr>
                  <w:r>
                    <w:rPr>
                      <w:rFonts w:ascii="仿宋_GB2312" w:hAnsi="仿宋_GB2312" w:cs="仿宋_GB2312" w:eastAsia="仿宋_GB2312"/>
                      <w:sz w:val="24"/>
                      <w:color w:val="000000"/>
                    </w:rPr>
                    <w:t>2.男60周岁以下，女50周岁以下，具有2年以上物业管理保洁服务工作</w:t>
                  </w:r>
                  <w:r>
                    <w:rPr>
                      <w:rFonts w:ascii="仿宋_GB2312" w:hAnsi="仿宋_GB2312" w:cs="仿宋_GB2312" w:eastAsia="仿宋_GB2312"/>
                      <w:sz w:val="24"/>
                      <w:color w:val="000000"/>
                    </w:rPr>
                    <w:t>经验。</w:t>
                  </w:r>
                </w:p>
                <w:p>
                  <w:pPr>
                    <w:pStyle w:val="null3"/>
                    <w:spacing w:before="105" w:after="10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设环境维护组长1人，大专以上学历。</w:t>
                  </w:r>
                </w:p>
                <w:p>
                  <w:pPr>
                    <w:pStyle w:val="null3"/>
                    <w:spacing w:before="105" w:after="105"/>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环境维护人员周末双休日</w:t>
                  </w:r>
                  <w:r>
                    <w:rPr>
                      <w:rFonts w:ascii="仿宋_GB2312" w:hAnsi="仿宋_GB2312" w:cs="仿宋_GB2312" w:eastAsia="仿宋_GB2312"/>
                      <w:sz w:val="24"/>
                      <w:color w:val="000000"/>
                    </w:rPr>
                    <w:t>每天2人在岗2小时；法定节假日每天4人员在岗4小时。</w:t>
                  </w:r>
                </w:p>
              </w:tc>
              <w:tc>
                <w:tcPr>
                  <w:tcW w:type="dxa" w:w="23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1.提供环境维护组长</w:t>
                  </w:r>
                  <w:r>
                    <w:rPr>
                      <w:rFonts w:ascii="仿宋_GB2312" w:hAnsi="仿宋_GB2312" w:cs="仿宋_GB2312" w:eastAsia="仿宋_GB2312"/>
                      <w:sz w:val="24"/>
                      <w:color w:val="000000"/>
                    </w:rPr>
                    <w:t>学历证复印件及学历证学信网截图。</w:t>
                  </w:r>
                </w:p>
                <w:p>
                  <w:pPr>
                    <w:pStyle w:val="null3"/>
                    <w:spacing w:before="105" w:after="10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.提供具有2年工作经验证</w:t>
                  </w:r>
                  <w:r>
                    <w:rPr>
                      <w:rFonts w:ascii="仿宋_GB2312" w:hAnsi="仿宋_GB2312" w:cs="仿宋_GB2312" w:eastAsia="仿宋_GB2312"/>
                      <w:sz w:val="24"/>
                      <w:color w:val="000000"/>
                    </w:rPr>
                    <w:t>明材料，格式自拟。</w:t>
                  </w:r>
                </w:p>
                <w:p>
                  <w:pPr>
                    <w:pStyle w:val="null3"/>
                    <w:spacing w:before="105" w:after="10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.提供有效期内身份证正反面复印件。</w:t>
                  </w:r>
                </w:p>
                <w:p>
                  <w:pPr>
                    <w:pStyle w:val="null3"/>
                    <w:spacing w:before="105" w:after="10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.公安机关开具的无犯罪记录证明（无犯罪记录证明需提供在网站可以查询版本）</w:t>
                  </w:r>
                </w:p>
              </w:tc>
            </w:tr>
            <w:tr>
              <w:tc>
                <w:tcPr>
                  <w:tcW w:type="dxa" w:w="7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秩序维护人员</w:t>
                  </w:r>
                </w:p>
              </w:tc>
              <w:tc>
                <w:tcPr>
                  <w:tcW w:type="dxa" w:w="7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15人</w:t>
                  </w:r>
                </w:p>
              </w:tc>
              <w:tc>
                <w:tcPr>
                  <w:tcW w:type="dxa" w:w="17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1.负责项目秩序维护、安全巡视、消防管理及应急突发事件处理等工作。</w:t>
                  </w:r>
                </w:p>
                <w:p>
                  <w:pPr>
                    <w:pStyle w:val="null3"/>
                    <w:spacing w:before="105" w:after="105"/>
                    <w:jc w:val="left"/>
                  </w:pPr>
                  <w:r>
                    <w:rPr>
                      <w:rFonts w:ascii="仿宋_GB2312" w:hAnsi="仿宋_GB2312" w:cs="仿宋_GB2312" w:eastAsia="仿宋_GB2312"/>
                      <w:sz w:val="24"/>
                      <w:color w:val="000000"/>
                    </w:rPr>
                    <w:t>2.男60周岁以下，女50周岁以下</w:t>
                  </w:r>
                  <w:r>
                    <w:rPr>
                      <w:rFonts w:ascii="仿宋_GB2312" w:hAnsi="仿宋_GB2312" w:cs="仿宋_GB2312" w:eastAsia="仿宋_GB2312"/>
                      <w:sz w:val="24"/>
                      <w:color w:val="000000"/>
                    </w:rPr>
                    <w:t>，具有1年以上物业管理秩序维护服务工作经验。</w:t>
                  </w:r>
                </w:p>
                <w:p>
                  <w:pPr>
                    <w:pStyle w:val="null3"/>
                    <w:spacing w:before="105" w:after="10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设秩序维护队长1人，大专以上学历。</w:t>
                  </w:r>
                </w:p>
                <w:p>
                  <w:pPr>
                    <w:pStyle w:val="null3"/>
                    <w:spacing w:before="105" w:after="105"/>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秩序维护人员周末双休日每天6人在岗8小时；法定节假日每天6人员在岗8小时。周末节假日每小区只开放一个大门。</w:t>
                  </w:r>
                </w:p>
              </w:tc>
              <w:tc>
                <w:tcPr>
                  <w:tcW w:type="dxa" w:w="23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1.提供秩序维护队长</w:t>
                  </w:r>
                  <w:r>
                    <w:rPr>
                      <w:rFonts w:ascii="仿宋_GB2312" w:hAnsi="仿宋_GB2312" w:cs="仿宋_GB2312" w:eastAsia="仿宋_GB2312"/>
                      <w:sz w:val="24"/>
                      <w:color w:val="000000"/>
                    </w:rPr>
                    <w:t>学历证复印件及学历证学信网</w:t>
                  </w:r>
                  <w:r>
                    <w:rPr>
                      <w:rFonts w:ascii="仿宋_GB2312" w:hAnsi="仿宋_GB2312" w:cs="仿宋_GB2312" w:eastAsia="仿宋_GB2312"/>
                      <w:sz w:val="24"/>
                      <w:color w:val="000000"/>
                    </w:rPr>
                    <w:t>查询</w:t>
                  </w:r>
                  <w:r>
                    <w:rPr>
                      <w:rFonts w:ascii="仿宋_GB2312" w:hAnsi="仿宋_GB2312" w:cs="仿宋_GB2312" w:eastAsia="仿宋_GB2312"/>
                      <w:sz w:val="24"/>
                      <w:color w:val="000000"/>
                    </w:rPr>
                    <w:t>截图。</w:t>
                  </w:r>
                </w:p>
                <w:p>
                  <w:pPr>
                    <w:pStyle w:val="null3"/>
                    <w:spacing w:before="105" w:after="10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.至少6人具有行政主管部门颁发的四级（中级）及以上职业资格证书[消防设施操作员或建（构）筑物消防员证]，提供有效的证书复印件。</w:t>
                  </w:r>
                </w:p>
                <w:p>
                  <w:pPr>
                    <w:pStyle w:val="null3"/>
                    <w:spacing w:before="105" w:after="10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.至少</w:t>
                  </w:r>
                  <w:r>
                    <w:rPr>
                      <w:rFonts w:ascii="仿宋_GB2312" w:hAnsi="仿宋_GB2312" w:cs="仿宋_GB2312" w:eastAsia="仿宋_GB2312"/>
                      <w:sz w:val="24"/>
                      <w:color w:val="000000"/>
                    </w:rPr>
                    <w:t>9</w:t>
                  </w:r>
                  <w:r>
                    <w:rPr>
                      <w:rFonts w:ascii="仿宋_GB2312" w:hAnsi="仿宋_GB2312" w:cs="仿宋_GB2312" w:eastAsia="仿宋_GB2312"/>
                      <w:sz w:val="24"/>
                      <w:color w:val="000000"/>
                    </w:rPr>
                    <w:t>人持有公安部门颁发的保安员证或人力资源和社会保障局颁发的保安员职业资格证，提供有效的证书复印件。</w:t>
                  </w:r>
                </w:p>
                <w:p>
                  <w:pPr>
                    <w:pStyle w:val="null3"/>
                    <w:spacing w:before="105" w:after="10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.提供有效期内身份证正反面复印件。</w:t>
                  </w:r>
                </w:p>
                <w:p>
                  <w:pPr>
                    <w:pStyle w:val="null3"/>
                    <w:spacing w:before="105" w:after="10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.提供公安机关开具的无犯罪记录证明（无犯罪记录证明需提供在网站可以查询版本）</w:t>
                  </w:r>
                </w:p>
                <w:p>
                  <w:pPr>
                    <w:pStyle w:val="null3"/>
                    <w:spacing w:before="105" w:after="10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.提供具有</w:t>
                  </w:r>
                  <w:r>
                    <w:rPr>
                      <w:rFonts w:ascii="仿宋_GB2312" w:hAnsi="仿宋_GB2312" w:cs="仿宋_GB2312" w:eastAsia="仿宋_GB2312"/>
                      <w:sz w:val="24"/>
                      <w:color w:val="000000"/>
                    </w:rPr>
                    <w:t>1</w:t>
                  </w:r>
                  <w:r>
                    <w:rPr>
                      <w:rFonts w:ascii="仿宋_GB2312" w:hAnsi="仿宋_GB2312" w:cs="仿宋_GB2312" w:eastAsia="仿宋_GB2312"/>
                      <w:sz w:val="24"/>
                      <w:color w:val="000000"/>
                    </w:rPr>
                    <w:t>年工作经验证</w:t>
                  </w:r>
                  <w:r>
                    <w:rPr>
                      <w:rFonts w:ascii="仿宋_GB2312" w:hAnsi="仿宋_GB2312" w:cs="仿宋_GB2312" w:eastAsia="仿宋_GB2312"/>
                      <w:sz w:val="24"/>
                      <w:color w:val="000000"/>
                    </w:rPr>
                    <w:t>明材料，格式自拟。</w:t>
                  </w:r>
                </w:p>
              </w:tc>
            </w:tr>
            <w:tr>
              <w:tc>
                <w:tcPr>
                  <w:tcW w:type="dxa" w:w="7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合计</w:t>
                  </w:r>
                </w:p>
              </w:tc>
              <w:tc>
                <w:tcPr>
                  <w:tcW w:type="dxa" w:w="2473"/>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25人</w:t>
                  </w:r>
                </w:p>
              </w:tc>
              <w:tc>
                <w:tcPr>
                  <w:tcW w:type="dxa" w:w="23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4"/>
                <w:color w:val="000000"/>
              </w:rPr>
              <w:t>★说明：供应商中标后持证人员为派驻现场的固定人员，不得随意更换人员，以便于采购人管理；若需出现更换人员，须及时上报采购人，经采购人同意认可方可更换，采购人未认可情况</w:t>
            </w:r>
            <w:r>
              <w:rPr>
                <w:rFonts w:ascii="仿宋_GB2312" w:hAnsi="仿宋_GB2312" w:cs="仿宋_GB2312" w:eastAsia="仿宋_GB2312"/>
                <w:sz w:val="24"/>
                <w:color w:val="000000"/>
              </w:rPr>
              <w:t>下更换项目经理的罚款</w:t>
            </w:r>
            <w:r>
              <w:rPr>
                <w:rFonts w:ascii="仿宋_GB2312" w:hAnsi="仿宋_GB2312" w:cs="仿宋_GB2312" w:eastAsia="仿宋_GB2312"/>
                <w:sz w:val="24"/>
                <w:color w:val="000000"/>
              </w:rPr>
              <w:t>20000元/次，更换其他持证人员的罚款10000元/人/次，且采购人有权终止与承包人的服务合同。（说明：投标人在投标文件中响应）</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项目要求（包括采购标的需执行的国家相关标准、行业标准、地方标准或者其他标准、规范）（说明：投标人在投标文件中响应）</w:t>
            </w:r>
          </w:p>
        </w:tc>
        <w:tc>
          <w:tcPr>
            <w:tcW w:type="dxa" w:w="5814"/>
          </w:tcPr>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1）遵守釆购人的工作守则，应按招标人要求坚守岗位，履职尽责到位。因供应商失职而造成招标人损失的，釆购人有权要求供应商赔偿损失。对失职、违规或不服从指挥的，供应商应及时加以整改。</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2）按照工作需要，供应商需要做到服务区域全覆盖。</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3）供应商必须严格遵守国家、省、市有关劳动法规和保险条例。</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根据项目的服务要求，本项目配置人员为本项目定员定岗定编固定员工，全部为专门服务于本项目的全职全日制人员，不得使用非全日制及兼职人员；为保证本项目人员受劳动法保护，本项目配备的人员按照《中华人民共和国劳动合同法》应当全员与供应商签订劳动合同（非劳务合同），并全员购买社保。</w:t>
            </w:r>
          </w:p>
          <w:p>
            <w:pPr>
              <w:pStyle w:val="null3"/>
              <w:ind w:firstLine="48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合同执行过程中，承包人选派的持证上岗人员须与合同签订时指派的人员一致，除人员因突发意外不能到岗，若需出现更换人员，须及时上报采购人，经采购人同意认可方可更换，采购人未认可情况下更换项目经理的罚款</w:t>
            </w:r>
            <w:r>
              <w:rPr>
                <w:rFonts w:ascii="仿宋_GB2312" w:hAnsi="仿宋_GB2312" w:cs="仿宋_GB2312" w:eastAsia="仿宋_GB2312"/>
                <w:sz w:val="24"/>
                <w:color w:val="000000"/>
              </w:rPr>
              <w:t>20000元/次，更换其他持证人员的罚款10000元/人/次，且采购人有权终止与承包人的服务合同。</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中标供应商在合同签订后、上岗前应提供投标文件中所有相关人员的有效身份证、学历证、和其他相关证书、在职证明等原件交由采购人复核，如果中标供应商不能按时提供或不能完整提供或提供不真实资料，采购人有权单方面解除合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投标人针对本项目制定项目服务方案（说明：投标人按下列要求提供服务方案）</w:t>
            </w:r>
          </w:p>
        </w:tc>
        <w:tc>
          <w:tcPr>
            <w:tcW w:type="dxa" w:w="5814"/>
          </w:tcPr>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1）考察分析描述方案应当包括：“项目概况分析”“项目管理重难点分析”2项内容。</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2）项目组织机构管理方案应当包括：“管理机构设置”“工作职能组织运行图”“人员配置及岗位职责”“日常管理制度”“考核办法”5项内容。</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3）综合服务方案应当包括：“客户服务方案”“档案的管理方案”2项内容。</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4）共用部位及共用设施设备运行和维修养护方案应当包括：“共有设施设备维修养护方案”“物业共用部位维修养护方案”“电梯突发事故应急预案”3项内容。</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5）公共秩序维护管理方案应当包括：“公共秩序维护方案”“机动车非机动车管理方案”2项内容。</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6）环境卫生维护方案应当包括：“环境维护的具体措施”“生活垃圾收集转运方案”2项内容。</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7）绿化养护方案应当包括：“小区树木、花草日常养护方案”“季节性维护方案”2项内容。</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8）社区文化建设方案应当包括：“社区文化服务方案”“特约（便民）服务方案”2项内容。</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9）其它服务方案应当包括：“戒毒、防邪防控服务方案”“小区违建治理服务方案”2项内容。</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10）应急措施方案应当包括：“本项目范围突然断水、断电的应急措施”“业主与使用人自用部位排水设施阻塞的应急措施”“雨、污水管及排水管网阻塞的应急措施”“消防应急措施”“治安应急措施”“突发公共卫生事件应急措施”6项内容。</w:t>
            </w:r>
          </w:p>
          <w:p>
            <w:pPr>
              <w:pStyle w:val="null3"/>
              <w:spacing w:before="105" w:after="105"/>
              <w:ind w:firstLine="482"/>
              <w:jc w:val="both"/>
            </w:pPr>
            <w:r>
              <w:rPr>
                <w:rFonts w:ascii="仿宋_GB2312" w:hAnsi="仿宋_GB2312" w:cs="仿宋_GB2312" w:eastAsia="仿宋_GB2312"/>
                <w:sz w:val="24"/>
                <w:b/>
                <w:color w:val="000000"/>
              </w:rPr>
              <w:t>备注：服务方案内容中，若出现项目名称、地址、物业类型、采购人单位名称错误，或与本项目无关的、或与本项目采购需求内容不一致的，或招标文件要求的服务方案组成有漏项的、方案内容描述错误的，仅有框架或标题无方案内容的，或照搬其他地区及项目的内容的，明显复制或套用其他项目或公司方案内容，方案内容中出现的供应商单位名称与投标人单位名称不一致的，服务方案中工作频次及相关指标</w:t>
            </w:r>
            <w:r>
              <w:rPr>
                <w:rFonts w:ascii="仿宋_GB2312" w:hAnsi="仿宋_GB2312" w:cs="仿宋_GB2312" w:eastAsia="仿宋_GB2312"/>
                <w:sz w:val="24"/>
                <w:b/>
                <w:color w:val="000000"/>
              </w:rPr>
              <w:t>(如涉及)或服务标准低于本项目服务要求的等任意一种情形，均视为未实质性响应本项目。</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考核内容及标准（说明：投标人在投标文件中响应）</w:t>
            </w:r>
          </w:p>
        </w:tc>
        <w:tc>
          <w:tcPr>
            <w:tcW w:type="dxa" w:w="5814"/>
          </w:tcPr>
          <w:p>
            <w:pPr>
              <w:pStyle w:val="null3"/>
              <w:ind w:firstLine="486"/>
              <w:jc w:val="both"/>
            </w:pPr>
            <w:r>
              <w:rPr>
                <w:rFonts w:ascii="仿宋_GB2312" w:hAnsi="仿宋_GB2312" w:cs="仿宋_GB2312" w:eastAsia="仿宋_GB2312"/>
                <w:sz w:val="24"/>
                <w:color w:val="000000"/>
              </w:rPr>
              <w:t>1.考核办法</w:t>
            </w:r>
          </w:p>
          <w:p>
            <w:pPr>
              <w:pStyle w:val="null3"/>
              <w:ind w:firstLine="486"/>
              <w:jc w:val="both"/>
            </w:pPr>
            <w:r>
              <w:rPr>
                <w:rFonts w:ascii="仿宋_GB2312" w:hAnsi="仿宋_GB2312" w:cs="仿宋_GB2312" w:eastAsia="仿宋_GB2312"/>
                <w:sz w:val="24"/>
                <w:color w:val="000000"/>
              </w:rPr>
              <w:t>物业管理服务考核实行百分制，考核工作由街道办事处或小区临时管委会负责，按照考核标准实施定期或不定期考核计分，月末统计考核成绩。</w:t>
            </w:r>
          </w:p>
          <w:p>
            <w:pPr>
              <w:pStyle w:val="null3"/>
              <w:ind w:firstLine="486"/>
              <w:jc w:val="both"/>
            </w:pPr>
            <w:r>
              <w:rPr>
                <w:rFonts w:ascii="仿宋_GB2312" w:hAnsi="仿宋_GB2312" w:cs="仿宋_GB2312" w:eastAsia="仿宋_GB2312"/>
                <w:sz w:val="24"/>
                <w:color w:val="000000"/>
              </w:rPr>
              <w:t>2.奖惩细则</w:t>
            </w:r>
          </w:p>
          <w:p>
            <w:pPr>
              <w:pStyle w:val="null3"/>
              <w:ind w:firstLine="486"/>
              <w:jc w:val="both"/>
            </w:pPr>
            <w:r>
              <w:rPr>
                <w:rFonts w:ascii="仿宋_GB2312" w:hAnsi="仿宋_GB2312" w:cs="仿宋_GB2312" w:eastAsia="仿宋_GB2312"/>
                <w:sz w:val="24"/>
                <w:color w:val="000000"/>
              </w:rPr>
              <w:t>2.1考核总分为100分，总得分≥95分为优秀，95分＞总得分≥90分为良好，90＞总得分≥80分为合格，总得分＜80分为不合格。</w:t>
            </w:r>
          </w:p>
          <w:p>
            <w:pPr>
              <w:pStyle w:val="null3"/>
              <w:ind w:firstLine="486"/>
              <w:jc w:val="both"/>
            </w:pPr>
            <w:r>
              <w:rPr>
                <w:rFonts w:ascii="仿宋_GB2312" w:hAnsi="仿宋_GB2312" w:cs="仿宋_GB2312" w:eastAsia="仿宋_GB2312"/>
                <w:sz w:val="24"/>
                <w:color w:val="000000"/>
              </w:rPr>
              <w:t>2.2街道和社区（街道打分按88.9%计算，社区打分按11.1%计算，汇总两者得分为最终得分）根据考核情况按不超过物业合同金额（考核得分超过100分，按100分计）向物业服务企业拨付物业费，95分以上（含95分）不扣钱，95分以下扣钱，每扣1分扣1000元。一年内连续三次或者累计三次低于80分，采购人有权解除合同。</w:t>
            </w:r>
          </w:p>
          <w:p>
            <w:pPr>
              <w:pStyle w:val="null3"/>
              <w:ind w:firstLine="486"/>
              <w:jc w:val="both"/>
            </w:pPr>
            <w:r>
              <w:rPr>
                <w:rFonts w:ascii="仿宋_GB2312" w:hAnsi="仿宋_GB2312" w:cs="仿宋_GB2312" w:eastAsia="仿宋_GB2312"/>
                <w:sz w:val="24"/>
                <w:color w:val="000000"/>
              </w:rPr>
              <w:t>2.3以上考核内容及标准仅限于项目目前现状，后期如因项目服务标准、服务事项进行变更，以采购人调整后的考核办法执行。</w:t>
            </w:r>
          </w:p>
          <w:p>
            <w:pPr>
              <w:pStyle w:val="null3"/>
              <w:ind w:firstLine="480"/>
              <w:jc w:val="left"/>
            </w:pPr>
            <w:r>
              <w:rPr>
                <w:rFonts w:ascii="仿宋_GB2312" w:hAnsi="仿宋_GB2312" w:cs="仿宋_GB2312" w:eastAsia="仿宋_GB2312"/>
              </w:rPr>
              <w:t xml:space="preserve"> </w:t>
            </w:r>
          </w:p>
          <w:p>
            <w:pPr>
              <w:pStyle w:val="null3"/>
              <w:spacing w:before="105" w:after="105"/>
              <w:ind w:firstLine="480"/>
              <w:jc w:val="both"/>
            </w:pPr>
            <w:r>
              <w:rPr>
                <w:rFonts w:ascii="仿宋_GB2312" w:hAnsi="仿宋_GB2312" w:cs="仿宋_GB2312" w:eastAsia="仿宋_GB2312"/>
                <w:sz w:val="24"/>
                <w:b/>
                <w:color w:val="000000"/>
              </w:rPr>
              <w:t>服务考核的具体扣分办法</w:t>
            </w:r>
          </w:p>
          <w:p>
            <w:pPr>
              <w:pStyle w:val="null3"/>
              <w:spacing w:before="105" w:after="105"/>
              <w:ind w:firstLine="482"/>
              <w:jc w:val="center"/>
            </w:pPr>
            <w:r>
              <w:rPr>
                <w:rFonts w:ascii="仿宋_GB2312" w:hAnsi="仿宋_GB2312" w:cs="仿宋_GB2312" w:eastAsia="仿宋_GB2312"/>
                <w:sz w:val="24"/>
                <w:b/>
              </w:rPr>
              <w:t>1.综合服务</w:t>
            </w:r>
          </w:p>
          <w:tbl>
            <w:tblPr>
              <w:tblInd w:type="dxa" w:w="30"/>
              <w:tblBorders>
                <w:top w:val="none" w:color="000000" w:sz="4"/>
                <w:left w:val="none" w:color="000000" w:sz="4"/>
                <w:bottom w:val="none" w:color="000000" w:sz="4"/>
                <w:right w:val="none" w:color="000000" w:sz="4"/>
                <w:insideH w:val="none"/>
                <w:insideV w:val="none"/>
              </w:tblBorders>
            </w:tblPr>
            <w:tblGrid>
              <w:gridCol w:w="869"/>
              <w:gridCol w:w="2459"/>
              <w:gridCol w:w="689"/>
              <w:gridCol w:w="869"/>
              <w:gridCol w:w="689"/>
            </w:tblGrid>
            <w:tr>
              <w:tc>
                <w:tcPr>
                  <w:tcW w:type="dxa" w:w="86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服务内容</w:t>
                  </w:r>
                </w:p>
              </w:tc>
              <w:tc>
                <w:tcPr>
                  <w:tcW w:type="dxa" w:w="245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服务标准</w:t>
                  </w:r>
                </w:p>
              </w:tc>
              <w:tc>
                <w:tcPr>
                  <w:tcW w:type="dxa" w:w="68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标准</w:t>
                  </w:r>
                </w:p>
                <w:p>
                  <w:pPr>
                    <w:pStyle w:val="null3"/>
                    <w:spacing w:before="105" w:after="105"/>
                    <w:jc w:val="center"/>
                  </w:pPr>
                  <w:r>
                    <w:rPr>
                      <w:rFonts w:ascii="仿宋_GB2312" w:hAnsi="仿宋_GB2312" w:cs="仿宋_GB2312" w:eastAsia="仿宋_GB2312"/>
                      <w:sz w:val="24"/>
                    </w:rPr>
                    <w:t>分值</w:t>
                  </w:r>
                </w:p>
              </w:tc>
              <w:tc>
                <w:tcPr>
                  <w:tcW w:type="dxa" w:w="86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单项标</w:t>
                  </w:r>
                </w:p>
                <w:p>
                  <w:pPr>
                    <w:pStyle w:val="null3"/>
                    <w:spacing w:before="105" w:after="105"/>
                    <w:jc w:val="center"/>
                  </w:pPr>
                  <w:r>
                    <w:rPr>
                      <w:rFonts w:ascii="仿宋_GB2312" w:hAnsi="仿宋_GB2312" w:cs="仿宋_GB2312" w:eastAsia="仿宋_GB2312"/>
                      <w:sz w:val="24"/>
                    </w:rPr>
                    <w:t>准分值</w:t>
                  </w:r>
                </w:p>
              </w:tc>
              <w:tc>
                <w:tcPr>
                  <w:tcW w:type="dxa" w:w="68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考评</w:t>
                  </w:r>
                </w:p>
                <w:p>
                  <w:pPr>
                    <w:pStyle w:val="null3"/>
                    <w:spacing w:before="105" w:after="105"/>
                    <w:jc w:val="center"/>
                  </w:pPr>
                  <w:r>
                    <w:rPr>
                      <w:rFonts w:ascii="仿宋_GB2312" w:hAnsi="仿宋_GB2312" w:cs="仿宋_GB2312" w:eastAsia="仿宋_GB2312"/>
                      <w:sz w:val="24"/>
                    </w:rPr>
                    <w:t>得分</w:t>
                  </w:r>
                </w:p>
              </w:tc>
            </w:tr>
            <w:tr>
              <w:tc>
                <w:tcPr>
                  <w:tcW w:type="dxa" w:w="869"/>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1.1客户服务场所</w:t>
                  </w:r>
                </w:p>
              </w:tc>
              <w:tc>
                <w:tcPr>
                  <w:tcW w:type="dxa" w:w="24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ind w:firstLine="480"/>
                    <w:jc w:val="left"/>
                  </w:pPr>
                  <w:r>
                    <w:rPr>
                      <w:rFonts w:ascii="仿宋_GB2312" w:hAnsi="仿宋_GB2312" w:cs="仿宋_GB2312" w:eastAsia="仿宋_GB2312"/>
                      <w:sz w:val="24"/>
                    </w:rPr>
                    <w:t>1.1.1有客户服务中心；配备满足服务需要的办公设施和设备。</w:t>
                  </w:r>
                </w:p>
              </w:tc>
              <w:tc>
                <w:tcPr>
                  <w:tcW w:type="dxa" w:w="689"/>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26分</w:t>
                  </w:r>
                </w:p>
              </w:tc>
              <w:tc>
                <w:tcPr>
                  <w:tcW w:type="dxa" w:w="8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69"/>
                  <w:vMerge/>
                  <w:tcBorders>
                    <w:top w:val="none" w:color="000000" w:sz="4"/>
                    <w:left w:val="single" w:color="000000" w:sz="8"/>
                    <w:bottom w:val="single" w:color="000000" w:sz="8"/>
                    <w:right w:val="single" w:color="000000" w:sz="8"/>
                  </w:tcBorders>
                </w:tcPr>
                <w:p/>
              </w:tc>
              <w:tc>
                <w:tcPr>
                  <w:tcW w:type="dxa" w:w="24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1.1.2公示有物业服务企业营业执照、项目主要服务人员姓名、照片、岗位信息，物业服务事项、服务标准、报修电话、三级投诉电话等物业服务及收费信息。</w:t>
                  </w:r>
                </w:p>
              </w:tc>
              <w:tc>
                <w:tcPr>
                  <w:tcW w:type="dxa" w:w="689"/>
                  <w:vMerge/>
                  <w:tcBorders>
                    <w:top w:val="none" w:color="000000" w:sz="4"/>
                    <w:left w:val="none" w:color="000000" w:sz="4"/>
                    <w:bottom w:val="single" w:color="000000" w:sz="8"/>
                    <w:right w:val="single" w:color="000000" w:sz="8"/>
                  </w:tcBorders>
                </w:tcPr>
                <w:p/>
              </w:tc>
              <w:tc>
                <w:tcPr>
                  <w:tcW w:type="dxa" w:w="8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69"/>
                  <w:vMerge/>
                  <w:tcBorders>
                    <w:top w:val="none" w:color="000000" w:sz="4"/>
                    <w:left w:val="single" w:color="000000" w:sz="8"/>
                    <w:bottom w:val="single" w:color="000000" w:sz="8"/>
                    <w:right w:val="single" w:color="000000" w:sz="8"/>
                  </w:tcBorders>
                </w:tcPr>
                <w:p/>
              </w:tc>
              <w:tc>
                <w:tcPr>
                  <w:tcW w:type="dxa" w:w="24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1.1.3 公示特约服务项目、标准及收费标准</w:t>
                  </w:r>
                </w:p>
              </w:tc>
              <w:tc>
                <w:tcPr>
                  <w:tcW w:type="dxa" w:w="689"/>
                  <w:vMerge/>
                  <w:tcBorders>
                    <w:top w:val="none" w:color="000000" w:sz="4"/>
                    <w:left w:val="none" w:color="000000" w:sz="4"/>
                    <w:bottom w:val="single" w:color="000000" w:sz="8"/>
                    <w:right w:val="single" w:color="000000" w:sz="8"/>
                  </w:tcBorders>
                </w:tcPr>
                <w:p/>
              </w:tc>
              <w:tc>
                <w:tcPr>
                  <w:tcW w:type="dxa" w:w="8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69"/>
                  <w:vMerge/>
                  <w:tcBorders>
                    <w:top w:val="none" w:color="000000" w:sz="4"/>
                    <w:left w:val="single" w:color="000000" w:sz="8"/>
                    <w:bottom w:val="single" w:color="000000" w:sz="8"/>
                    <w:right w:val="single" w:color="000000" w:sz="8"/>
                  </w:tcBorders>
                </w:tcPr>
                <w:p/>
              </w:tc>
              <w:tc>
                <w:tcPr>
                  <w:tcW w:type="dxa" w:w="24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1.1.4</w:t>
                  </w:r>
                  <w:r>
                    <w:rPr>
                      <w:rFonts w:ascii="仿宋_GB2312" w:hAnsi="仿宋_GB2312" w:cs="仿宋_GB2312" w:eastAsia="仿宋_GB2312"/>
                      <w:sz w:val="24"/>
                      <w:color w:val="000000"/>
                    </w:rPr>
                    <w:t>客户服务中心工作人员施行至少8小时值班制度</w:t>
                  </w:r>
                  <w:r>
                    <w:rPr>
                      <w:rFonts w:ascii="仿宋_GB2312" w:hAnsi="仿宋_GB2312" w:cs="仿宋_GB2312" w:eastAsia="仿宋_GB2312"/>
                      <w:sz w:val="24"/>
                    </w:rPr>
                    <w:t>，其它时间物业管理区域内有值班人员。公示有24 小时服务电话。</w:t>
                  </w:r>
                </w:p>
              </w:tc>
              <w:tc>
                <w:tcPr>
                  <w:tcW w:type="dxa" w:w="689"/>
                  <w:vMerge/>
                  <w:tcBorders>
                    <w:top w:val="none" w:color="000000" w:sz="4"/>
                    <w:left w:val="none" w:color="000000" w:sz="4"/>
                    <w:bottom w:val="single" w:color="000000" w:sz="8"/>
                    <w:right w:val="single" w:color="000000" w:sz="8"/>
                  </w:tcBorders>
                </w:tcPr>
                <w:p/>
              </w:tc>
              <w:tc>
                <w:tcPr>
                  <w:tcW w:type="dxa" w:w="8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69"/>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1.2人员</w:t>
                  </w:r>
                </w:p>
              </w:tc>
              <w:tc>
                <w:tcPr>
                  <w:tcW w:type="dxa" w:w="24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ind w:firstLine="480"/>
                    <w:jc w:val="left"/>
                  </w:pPr>
                  <w:r>
                    <w:rPr>
                      <w:rFonts w:ascii="仿宋_GB2312" w:hAnsi="仿宋_GB2312" w:cs="仿宋_GB2312" w:eastAsia="仿宋_GB2312"/>
                      <w:sz w:val="24"/>
                    </w:rPr>
                    <w:t>1.2.1 从业人员取得相关职业资格证书。</w:t>
                  </w:r>
                </w:p>
              </w:tc>
              <w:tc>
                <w:tcPr>
                  <w:tcW w:type="dxa" w:w="689"/>
                  <w:vMerge/>
                  <w:tcBorders>
                    <w:top w:val="none" w:color="000000" w:sz="4"/>
                    <w:left w:val="none" w:color="000000" w:sz="4"/>
                    <w:bottom w:val="single" w:color="000000" w:sz="8"/>
                    <w:right w:val="single" w:color="000000" w:sz="8"/>
                  </w:tcBorders>
                </w:tcPr>
                <w:p/>
              </w:tc>
              <w:tc>
                <w:tcPr>
                  <w:tcW w:type="dxa" w:w="8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69"/>
                  <w:vMerge/>
                  <w:tcBorders>
                    <w:top w:val="none" w:color="000000" w:sz="4"/>
                    <w:left w:val="single" w:color="000000" w:sz="8"/>
                    <w:bottom w:val="single" w:color="000000" w:sz="8"/>
                    <w:right w:val="single" w:color="000000" w:sz="8"/>
                  </w:tcBorders>
                </w:tcPr>
                <w:p/>
              </w:tc>
              <w:tc>
                <w:tcPr>
                  <w:tcW w:type="dxa" w:w="24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1.2.2 实行项目经理责任制，一个物业管理区域配备1名项目负责人。</w:t>
                  </w:r>
                </w:p>
              </w:tc>
              <w:tc>
                <w:tcPr>
                  <w:tcW w:type="dxa" w:w="689"/>
                  <w:vMerge/>
                  <w:tcBorders>
                    <w:top w:val="none" w:color="000000" w:sz="4"/>
                    <w:left w:val="none" w:color="000000" w:sz="4"/>
                    <w:bottom w:val="single" w:color="000000" w:sz="8"/>
                    <w:right w:val="single" w:color="000000" w:sz="8"/>
                  </w:tcBorders>
                </w:tcPr>
                <w:p/>
              </w:tc>
              <w:tc>
                <w:tcPr>
                  <w:tcW w:type="dxa" w:w="8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69"/>
                  <w:vMerge/>
                  <w:tcBorders>
                    <w:top w:val="none" w:color="000000" w:sz="4"/>
                    <w:left w:val="single" w:color="000000" w:sz="8"/>
                    <w:bottom w:val="single" w:color="000000" w:sz="8"/>
                    <w:right w:val="single" w:color="000000" w:sz="8"/>
                  </w:tcBorders>
                </w:tcPr>
                <w:p/>
              </w:tc>
              <w:tc>
                <w:tcPr>
                  <w:tcW w:type="dxa" w:w="24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1.2.3综合维修岗位人员具有特种设备操作证（低压电工或高压电工）。</w:t>
                  </w:r>
                </w:p>
              </w:tc>
              <w:tc>
                <w:tcPr>
                  <w:tcW w:type="dxa" w:w="689"/>
                  <w:vMerge/>
                  <w:tcBorders>
                    <w:top w:val="none" w:color="000000" w:sz="4"/>
                    <w:left w:val="none" w:color="000000" w:sz="4"/>
                    <w:bottom w:val="single" w:color="000000" w:sz="8"/>
                    <w:right w:val="single" w:color="000000" w:sz="8"/>
                  </w:tcBorders>
                </w:tcPr>
                <w:p/>
              </w:tc>
              <w:tc>
                <w:tcPr>
                  <w:tcW w:type="dxa" w:w="8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69"/>
                  <w:vMerge/>
                  <w:tcBorders>
                    <w:top w:val="none" w:color="000000" w:sz="4"/>
                    <w:left w:val="single" w:color="000000" w:sz="8"/>
                    <w:bottom w:val="single" w:color="000000" w:sz="8"/>
                    <w:right w:val="single" w:color="000000" w:sz="8"/>
                  </w:tcBorders>
                </w:tcPr>
                <w:p/>
              </w:tc>
              <w:tc>
                <w:tcPr>
                  <w:tcW w:type="dxa" w:w="24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1.2.4从业人员统一着装，佩戴标志，规范服务，语言文明，主动、热情。</w:t>
                  </w:r>
                </w:p>
              </w:tc>
              <w:tc>
                <w:tcPr>
                  <w:tcW w:type="dxa" w:w="689"/>
                  <w:vMerge/>
                  <w:tcBorders>
                    <w:top w:val="none" w:color="000000" w:sz="4"/>
                    <w:left w:val="none" w:color="000000" w:sz="4"/>
                    <w:bottom w:val="single" w:color="000000" w:sz="8"/>
                    <w:right w:val="single" w:color="000000" w:sz="8"/>
                  </w:tcBorders>
                </w:tcPr>
                <w:p/>
              </w:tc>
              <w:tc>
                <w:tcPr>
                  <w:tcW w:type="dxa" w:w="8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69"/>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1.3制度</w:t>
                  </w:r>
                </w:p>
              </w:tc>
              <w:tc>
                <w:tcPr>
                  <w:tcW w:type="dxa" w:w="24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ind w:firstLine="480"/>
                    <w:jc w:val="left"/>
                  </w:pPr>
                  <w:r>
                    <w:rPr>
                      <w:rFonts w:ascii="仿宋_GB2312" w:hAnsi="仿宋_GB2312" w:cs="仿宋_GB2312" w:eastAsia="仿宋_GB2312"/>
                      <w:sz w:val="24"/>
                    </w:rPr>
                    <w:t>1.3.1有双方签订规范的物业服务合同，合同权利义务关系明确</w:t>
                  </w:r>
                </w:p>
              </w:tc>
              <w:tc>
                <w:tcPr>
                  <w:tcW w:type="dxa" w:w="689"/>
                  <w:vMerge/>
                  <w:tcBorders>
                    <w:top w:val="none" w:color="000000" w:sz="4"/>
                    <w:left w:val="none" w:color="000000" w:sz="4"/>
                    <w:bottom w:val="single" w:color="000000" w:sz="8"/>
                    <w:right w:val="single" w:color="000000" w:sz="8"/>
                  </w:tcBorders>
                </w:tcPr>
                <w:p/>
              </w:tc>
              <w:tc>
                <w:tcPr>
                  <w:tcW w:type="dxa" w:w="8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69"/>
                  <w:vMerge/>
                  <w:tcBorders>
                    <w:top w:val="none" w:color="000000" w:sz="4"/>
                    <w:left w:val="single" w:color="000000" w:sz="8"/>
                    <w:bottom w:val="single" w:color="000000" w:sz="8"/>
                    <w:right w:val="single" w:color="000000" w:sz="8"/>
                  </w:tcBorders>
                </w:tcPr>
                <w:p/>
              </w:tc>
              <w:tc>
                <w:tcPr>
                  <w:tcW w:type="dxa" w:w="24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1.3.2有公共部位及共用设施设备维修维护、消防安全防范、绿化养护、环境卫生、公共秩序维护等管理制度；</w:t>
                  </w:r>
                </w:p>
              </w:tc>
              <w:tc>
                <w:tcPr>
                  <w:tcW w:type="dxa" w:w="689"/>
                  <w:vMerge/>
                  <w:tcBorders>
                    <w:top w:val="none" w:color="000000" w:sz="4"/>
                    <w:left w:val="none" w:color="000000" w:sz="4"/>
                    <w:bottom w:val="single" w:color="000000" w:sz="8"/>
                    <w:right w:val="single" w:color="000000" w:sz="8"/>
                  </w:tcBorders>
                </w:tcPr>
                <w:p/>
              </w:tc>
              <w:tc>
                <w:tcPr>
                  <w:tcW w:type="dxa" w:w="8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69"/>
                  <w:vMerge/>
                  <w:tcBorders>
                    <w:top w:val="none" w:color="000000" w:sz="4"/>
                    <w:left w:val="single" w:color="000000" w:sz="8"/>
                    <w:bottom w:val="single" w:color="000000" w:sz="8"/>
                    <w:right w:val="single" w:color="000000" w:sz="8"/>
                  </w:tcBorders>
                </w:tcPr>
                <w:p/>
              </w:tc>
              <w:tc>
                <w:tcPr>
                  <w:tcW w:type="dxa" w:w="24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1.3.4有突发公共事件应急预案；有物业服务工作记录.</w:t>
                  </w:r>
                </w:p>
              </w:tc>
              <w:tc>
                <w:tcPr>
                  <w:tcW w:type="dxa" w:w="689"/>
                  <w:vMerge/>
                  <w:tcBorders>
                    <w:top w:val="none" w:color="000000" w:sz="4"/>
                    <w:left w:val="none" w:color="000000" w:sz="4"/>
                    <w:bottom w:val="single" w:color="000000" w:sz="8"/>
                    <w:right w:val="single" w:color="000000" w:sz="8"/>
                  </w:tcBorders>
                </w:tcPr>
                <w:p/>
              </w:tc>
              <w:tc>
                <w:tcPr>
                  <w:tcW w:type="dxa" w:w="8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69"/>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1.4档案</w:t>
                  </w:r>
                </w:p>
              </w:tc>
              <w:tc>
                <w:tcPr>
                  <w:tcW w:type="dxa" w:w="24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ind w:firstLine="482"/>
                    <w:jc w:val="left"/>
                  </w:pPr>
                  <w:r>
                    <w:rPr>
                      <w:rFonts w:ascii="仿宋_GB2312" w:hAnsi="仿宋_GB2312" w:cs="仿宋_GB2312" w:eastAsia="仿宋_GB2312"/>
                      <w:sz w:val="24"/>
                    </w:rPr>
                    <w:t>1.4.1有物业服务档案管理制度，有电梯、消防等设施设备承接查验、运行、维修、养护档案资料</w:t>
                  </w:r>
                </w:p>
              </w:tc>
              <w:tc>
                <w:tcPr>
                  <w:tcW w:type="dxa" w:w="689"/>
                  <w:vMerge/>
                  <w:tcBorders>
                    <w:top w:val="none" w:color="000000" w:sz="4"/>
                    <w:left w:val="none" w:color="000000" w:sz="4"/>
                    <w:bottom w:val="single" w:color="000000" w:sz="8"/>
                    <w:right w:val="single" w:color="000000" w:sz="8"/>
                  </w:tcBorders>
                </w:tcPr>
                <w:p/>
              </w:tc>
              <w:tc>
                <w:tcPr>
                  <w:tcW w:type="dxa" w:w="8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0.5分</w:t>
                  </w: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69"/>
                  <w:vMerge/>
                  <w:tcBorders>
                    <w:top w:val="none" w:color="000000" w:sz="4"/>
                    <w:left w:val="single" w:color="000000" w:sz="8"/>
                    <w:bottom w:val="single" w:color="000000" w:sz="8"/>
                    <w:right w:val="single" w:color="000000" w:sz="8"/>
                  </w:tcBorders>
                </w:tcPr>
                <w:p/>
              </w:tc>
              <w:tc>
                <w:tcPr>
                  <w:tcW w:type="dxa" w:w="24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1.4.2项目资料管理规范、齐全、整洁、查阅方便</w:t>
                  </w:r>
                </w:p>
              </w:tc>
              <w:tc>
                <w:tcPr>
                  <w:tcW w:type="dxa" w:w="689"/>
                  <w:vMerge/>
                  <w:tcBorders>
                    <w:top w:val="none" w:color="000000" w:sz="4"/>
                    <w:left w:val="none" w:color="000000" w:sz="4"/>
                    <w:bottom w:val="single" w:color="000000" w:sz="8"/>
                    <w:right w:val="single" w:color="000000" w:sz="8"/>
                  </w:tcBorders>
                </w:tcPr>
                <w:p/>
              </w:tc>
              <w:tc>
                <w:tcPr>
                  <w:tcW w:type="dxa" w:w="8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0.5分</w:t>
                  </w: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69"/>
                  <w:vMerge/>
                  <w:tcBorders>
                    <w:top w:val="none" w:color="000000" w:sz="4"/>
                    <w:left w:val="single" w:color="000000" w:sz="8"/>
                    <w:bottom w:val="single" w:color="000000" w:sz="8"/>
                    <w:right w:val="single" w:color="000000" w:sz="8"/>
                  </w:tcBorders>
                </w:tcPr>
                <w:p/>
              </w:tc>
              <w:tc>
                <w:tcPr>
                  <w:tcW w:type="dxa" w:w="24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1.4.3有档案管理人员</w:t>
                  </w:r>
                </w:p>
              </w:tc>
              <w:tc>
                <w:tcPr>
                  <w:tcW w:type="dxa" w:w="689"/>
                  <w:vMerge/>
                  <w:tcBorders>
                    <w:top w:val="none" w:color="000000" w:sz="4"/>
                    <w:left w:val="none" w:color="000000" w:sz="4"/>
                    <w:bottom w:val="single" w:color="000000" w:sz="8"/>
                    <w:right w:val="single" w:color="000000" w:sz="8"/>
                  </w:tcBorders>
                </w:tcPr>
                <w:p/>
              </w:tc>
              <w:tc>
                <w:tcPr>
                  <w:tcW w:type="dxa" w:w="8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0.5分</w:t>
                  </w: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69"/>
                  <w:vMerge/>
                  <w:tcBorders>
                    <w:top w:val="none" w:color="000000" w:sz="4"/>
                    <w:left w:val="single" w:color="000000" w:sz="8"/>
                    <w:bottom w:val="single" w:color="000000" w:sz="8"/>
                    <w:right w:val="single" w:color="000000" w:sz="8"/>
                  </w:tcBorders>
                </w:tcPr>
                <w:p/>
              </w:tc>
              <w:tc>
                <w:tcPr>
                  <w:tcW w:type="dxa" w:w="24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1.4.4应用物业服务电子软件管理业主信息、基础资料、维修养护资料。</w:t>
                  </w:r>
                </w:p>
              </w:tc>
              <w:tc>
                <w:tcPr>
                  <w:tcW w:type="dxa" w:w="689"/>
                  <w:vMerge/>
                  <w:tcBorders>
                    <w:top w:val="none" w:color="000000" w:sz="4"/>
                    <w:left w:val="none" w:color="000000" w:sz="4"/>
                    <w:bottom w:val="single" w:color="000000" w:sz="8"/>
                    <w:right w:val="single" w:color="000000" w:sz="8"/>
                  </w:tcBorders>
                </w:tcPr>
                <w:p/>
              </w:tc>
              <w:tc>
                <w:tcPr>
                  <w:tcW w:type="dxa" w:w="8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0.5分</w:t>
                  </w: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69"/>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1.5标识</w:t>
                  </w:r>
                </w:p>
              </w:tc>
              <w:tc>
                <w:tcPr>
                  <w:tcW w:type="dxa" w:w="24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ind w:firstLine="482"/>
                    <w:jc w:val="left"/>
                  </w:pPr>
                  <w:r>
                    <w:rPr>
                      <w:rFonts w:ascii="仿宋_GB2312" w:hAnsi="仿宋_GB2312" w:cs="仿宋_GB2312" w:eastAsia="仿宋_GB2312"/>
                      <w:sz w:val="24"/>
                    </w:rPr>
                    <w:t>1.5.1重点部位按相关要求设置有安全警示标识、消防标识、导向标识、指示标识及其它标识</w:t>
                  </w:r>
                </w:p>
              </w:tc>
              <w:tc>
                <w:tcPr>
                  <w:tcW w:type="dxa" w:w="689"/>
                  <w:vMerge/>
                  <w:tcBorders>
                    <w:top w:val="none" w:color="000000" w:sz="4"/>
                    <w:left w:val="none" w:color="000000" w:sz="4"/>
                    <w:bottom w:val="single" w:color="000000" w:sz="8"/>
                    <w:right w:val="single" w:color="000000" w:sz="8"/>
                  </w:tcBorders>
                </w:tcPr>
                <w:p/>
              </w:tc>
              <w:tc>
                <w:tcPr>
                  <w:tcW w:type="dxa" w:w="8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0.5分</w:t>
                  </w: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69"/>
                  <w:vMerge/>
                  <w:tcBorders>
                    <w:top w:val="none" w:color="000000" w:sz="4"/>
                    <w:left w:val="single" w:color="000000" w:sz="8"/>
                    <w:bottom w:val="single" w:color="000000" w:sz="8"/>
                    <w:right w:val="single" w:color="000000" w:sz="8"/>
                  </w:tcBorders>
                </w:tcPr>
                <w:p/>
              </w:tc>
              <w:tc>
                <w:tcPr>
                  <w:tcW w:type="dxa" w:w="24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1.5.2 有倡导文明、环保、健康生活的温馨提示标识</w:t>
                  </w:r>
                </w:p>
              </w:tc>
              <w:tc>
                <w:tcPr>
                  <w:tcW w:type="dxa" w:w="689"/>
                  <w:vMerge/>
                  <w:tcBorders>
                    <w:top w:val="none" w:color="000000" w:sz="4"/>
                    <w:left w:val="none" w:color="000000" w:sz="4"/>
                    <w:bottom w:val="single" w:color="000000" w:sz="8"/>
                    <w:right w:val="single" w:color="000000" w:sz="8"/>
                  </w:tcBorders>
                </w:tcPr>
                <w:p/>
              </w:tc>
              <w:tc>
                <w:tcPr>
                  <w:tcW w:type="dxa" w:w="8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0.5分</w:t>
                  </w: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69"/>
                  <w:vMerge/>
                  <w:tcBorders>
                    <w:top w:val="none" w:color="000000" w:sz="4"/>
                    <w:left w:val="single" w:color="000000" w:sz="8"/>
                    <w:bottom w:val="single" w:color="000000" w:sz="8"/>
                    <w:right w:val="single" w:color="000000" w:sz="8"/>
                  </w:tcBorders>
                </w:tcPr>
                <w:p/>
              </w:tc>
              <w:tc>
                <w:tcPr>
                  <w:tcW w:type="dxa" w:w="24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1.5.3房屋栋号、房号及公共配套设施、设备标识清晰、明显</w:t>
                  </w:r>
                </w:p>
              </w:tc>
              <w:tc>
                <w:tcPr>
                  <w:tcW w:type="dxa" w:w="689"/>
                  <w:vMerge/>
                  <w:tcBorders>
                    <w:top w:val="none" w:color="000000" w:sz="4"/>
                    <w:left w:val="none" w:color="000000" w:sz="4"/>
                    <w:bottom w:val="single" w:color="000000" w:sz="8"/>
                    <w:right w:val="single" w:color="000000" w:sz="8"/>
                  </w:tcBorders>
                </w:tcPr>
                <w:p/>
              </w:tc>
              <w:tc>
                <w:tcPr>
                  <w:tcW w:type="dxa" w:w="8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0.5分</w:t>
                  </w: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69"/>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1.6客户服务</w:t>
                  </w:r>
                </w:p>
              </w:tc>
              <w:tc>
                <w:tcPr>
                  <w:tcW w:type="dxa" w:w="24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ind w:firstLine="480"/>
                    <w:jc w:val="left"/>
                  </w:pPr>
                  <w:r>
                    <w:rPr>
                      <w:rFonts w:ascii="仿宋_GB2312" w:hAnsi="仿宋_GB2312" w:cs="仿宋_GB2312" w:eastAsia="仿宋_GB2312"/>
                      <w:sz w:val="24"/>
                    </w:rPr>
                    <w:t>1.6.1 每年第一季度公示上一年度物业服务合同履行情况。</w:t>
                  </w:r>
                </w:p>
              </w:tc>
              <w:tc>
                <w:tcPr>
                  <w:tcW w:type="dxa" w:w="689"/>
                  <w:vMerge/>
                  <w:tcBorders>
                    <w:top w:val="none" w:color="000000" w:sz="4"/>
                    <w:left w:val="none" w:color="000000" w:sz="4"/>
                    <w:bottom w:val="single" w:color="000000" w:sz="8"/>
                    <w:right w:val="single" w:color="000000" w:sz="8"/>
                  </w:tcBorders>
                </w:tcPr>
                <w:p/>
              </w:tc>
              <w:tc>
                <w:tcPr>
                  <w:tcW w:type="dxa" w:w="8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69"/>
                  <w:vMerge/>
                  <w:tcBorders>
                    <w:top w:val="none" w:color="000000" w:sz="4"/>
                    <w:left w:val="single" w:color="000000" w:sz="8"/>
                    <w:bottom w:val="single" w:color="000000" w:sz="8"/>
                    <w:right w:val="single" w:color="000000" w:sz="8"/>
                  </w:tcBorders>
                </w:tcPr>
                <w:p/>
              </w:tc>
              <w:tc>
                <w:tcPr>
                  <w:tcW w:type="dxa" w:w="24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1.6.2 对重要物业服务事项在主要出入口、各单元门内以书面形式告知</w:t>
                  </w:r>
                </w:p>
              </w:tc>
              <w:tc>
                <w:tcPr>
                  <w:tcW w:type="dxa" w:w="689"/>
                  <w:vMerge/>
                  <w:tcBorders>
                    <w:top w:val="none" w:color="000000" w:sz="4"/>
                    <w:left w:val="none" w:color="000000" w:sz="4"/>
                    <w:bottom w:val="single" w:color="000000" w:sz="8"/>
                    <w:right w:val="single" w:color="000000" w:sz="8"/>
                  </w:tcBorders>
                </w:tcPr>
                <w:p/>
              </w:tc>
              <w:tc>
                <w:tcPr>
                  <w:tcW w:type="dxa" w:w="8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69"/>
                  <w:vMerge/>
                  <w:tcBorders>
                    <w:top w:val="none" w:color="000000" w:sz="4"/>
                    <w:left w:val="single" w:color="000000" w:sz="8"/>
                    <w:bottom w:val="single" w:color="000000" w:sz="8"/>
                    <w:right w:val="single" w:color="000000" w:sz="8"/>
                  </w:tcBorders>
                </w:tcPr>
                <w:p/>
              </w:tc>
              <w:tc>
                <w:tcPr>
                  <w:tcW w:type="dxa" w:w="24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1.6.3 对违反治安、规划、环保等方面法律、法规规定的行为，有报告相关行政主管部门的记录</w:t>
                  </w:r>
                </w:p>
              </w:tc>
              <w:tc>
                <w:tcPr>
                  <w:tcW w:type="dxa" w:w="689"/>
                  <w:vMerge/>
                  <w:tcBorders>
                    <w:top w:val="none" w:color="000000" w:sz="4"/>
                    <w:left w:val="none" w:color="000000" w:sz="4"/>
                    <w:bottom w:val="single" w:color="000000" w:sz="8"/>
                    <w:right w:val="single" w:color="000000" w:sz="8"/>
                  </w:tcBorders>
                </w:tcPr>
                <w:p/>
              </w:tc>
              <w:tc>
                <w:tcPr>
                  <w:tcW w:type="dxa" w:w="8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69"/>
                  <w:vMerge/>
                  <w:tcBorders>
                    <w:top w:val="none" w:color="000000" w:sz="4"/>
                    <w:left w:val="single" w:color="000000" w:sz="8"/>
                    <w:bottom w:val="single" w:color="000000" w:sz="8"/>
                    <w:right w:val="single" w:color="000000" w:sz="8"/>
                  </w:tcBorders>
                </w:tcPr>
                <w:p/>
              </w:tc>
              <w:tc>
                <w:tcPr>
                  <w:tcW w:type="dxa" w:w="24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1.6.4 报修按双方约定时间到达现场，有报修、维修记录。</w:t>
                  </w:r>
                  <w:r>
                    <w:rPr>
                      <w:rFonts w:ascii="仿宋_GB2312" w:hAnsi="仿宋_GB2312" w:cs="仿宋_GB2312" w:eastAsia="仿宋_GB2312"/>
                      <w:sz w:val="21"/>
                    </w:rPr>
                    <w:t xml:space="preserve"> </w:t>
                  </w:r>
                </w:p>
              </w:tc>
              <w:tc>
                <w:tcPr>
                  <w:tcW w:type="dxa" w:w="689"/>
                  <w:vMerge/>
                  <w:tcBorders>
                    <w:top w:val="none" w:color="000000" w:sz="4"/>
                    <w:left w:val="none" w:color="000000" w:sz="4"/>
                    <w:bottom w:val="single" w:color="000000" w:sz="8"/>
                    <w:right w:val="single" w:color="000000" w:sz="8"/>
                  </w:tcBorders>
                </w:tcPr>
                <w:p/>
              </w:tc>
              <w:tc>
                <w:tcPr>
                  <w:tcW w:type="dxa" w:w="8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69"/>
                  <w:vMerge/>
                  <w:tcBorders>
                    <w:top w:val="none" w:color="000000" w:sz="4"/>
                    <w:left w:val="single" w:color="000000" w:sz="8"/>
                    <w:bottom w:val="single" w:color="000000" w:sz="8"/>
                    <w:right w:val="single" w:color="000000" w:sz="8"/>
                  </w:tcBorders>
                </w:tcPr>
                <w:p/>
              </w:tc>
              <w:tc>
                <w:tcPr>
                  <w:tcW w:type="dxa" w:w="24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1.6.5 投诉应在1个工作日内回复，投诉回复率不低于85%，记录完整</w:t>
                  </w:r>
                </w:p>
              </w:tc>
              <w:tc>
                <w:tcPr>
                  <w:tcW w:type="dxa" w:w="689"/>
                  <w:vMerge/>
                  <w:tcBorders>
                    <w:top w:val="none" w:color="000000" w:sz="4"/>
                    <w:left w:val="none" w:color="000000" w:sz="4"/>
                    <w:bottom w:val="single" w:color="000000" w:sz="8"/>
                    <w:right w:val="single" w:color="000000" w:sz="8"/>
                  </w:tcBorders>
                </w:tcPr>
                <w:p/>
              </w:tc>
              <w:tc>
                <w:tcPr>
                  <w:tcW w:type="dxa" w:w="8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69"/>
                  <w:vMerge/>
                  <w:tcBorders>
                    <w:top w:val="none" w:color="000000" w:sz="4"/>
                    <w:left w:val="single" w:color="000000" w:sz="8"/>
                    <w:bottom w:val="single" w:color="000000" w:sz="8"/>
                    <w:right w:val="single" w:color="000000" w:sz="8"/>
                  </w:tcBorders>
                </w:tcPr>
                <w:p/>
              </w:tc>
              <w:tc>
                <w:tcPr>
                  <w:tcW w:type="dxa" w:w="24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1.6.6 每年组织1次满意度调查，客户满意率不低于85%</w:t>
                  </w:r>
                </w:p>
              </w:tc>
              <w:tc>
                <w:tcPr>
                  <w:tcW w:type="dxa" w:w="689"/>
                  <w:vMerge/>
                  <w:tcBorders>
                    <w:top w:val="none" w:color="000000" w:sz="4"/>
                    <w:left w:val="none" w:color="000000" w:sz="4"/>
                    <w:bottom w:val="single" w:color="000000" w:sz="8"/>
                    <w:right w:val="single" w:color="000000" w:sz="8"/>
                  </w:tcBorders>
                </w:tcPr>
                <w:p/>
              </w:tc>
              <w:tc>
                <w:tcPr>
                  <w:tcW w:type="dxa" w:w="8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2分</w:t>
                  </w: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69"/>
                  <w:vMerge/>
                  <w:tcBorders>
                    <w:top w:val="none" w:color="000000" w:sz="4"/>
                    <w:left w:val="single" w:color="000000" w:sz="8"/>
                    <w:bottom w:val="single" w:color="000000" w:sz="8"/>
                    <w:right w:val="single" w:color="000000" w:sz="8"/>
                  </w:tcBorders>
                </w:tcPr>
                <w:p/>
              </w:tc>
              <w:tc>
                <w:tcPr>
                  <w:tcW w:type="dxa" w:w="24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1.6.7 有宠物管理制度与措施。设置宠物管理标识、有园区犬只花名册</w:t>
                  </w:r>
                </w:p>
              </w:tc>
              <w:tc>
                <w:tcPr>
                  <w:tcW w:type="dxa" w:w="689"/>
                  <w:vMerge/>
                  <w:tcBorders>
                    <w:top w:val="none" w:color="000000" w:sz="4"/>
                    <w:left w:val="none" w:color="000000" w:sz="4"/>
                    <w:bottom w:val="single" w:color="000000" w:sz="8"/>
                    <w:right w:val="single" w:color="000000" w:sz="8"/>
                  </w:tcBorders>
                </w:tcPr>
                <w:p/>
              </w:tc>
              <w:tc>
                <w:tcPr>
                  <w:tcW w:type="dxa" w:w="8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69"/>
                  <w:vMerge/>
                  <w:tcBorders>
                    <w:top w:val="none" w:color="000000" w:sz="4"/>
                    <w:left w:val="single" w:color="000000" w:sz="8"/>
                    <w:bottom w:val="single" w:color="000000" w:sz="8"/>
                    <w:right w:val="single" w:color="000000" w:sz="8"/>
                  </w:tcBorders>
                </w:tcPr>
                <w:p/>
              </w:tc>
              <w:tc>
                <w:tcPr>
                  <w:tcW w:type="dxa" w:w="24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1.6.8 接受委托，提供邮件代收服务。</w:t>
                  </w:r>
                </w:p>
              </w:tc>
              <w:tc>
                <w:tcPr>
                  <w:tcW w:type="dxa" w:w="689"/>
                  <w:vMerge/>
                  <w:tcBorders>
                    <w:top w:val="none" w:color="000000" w:sz="4"/>
                    <w:left w:val="none" w:color="000000" w:sz="4"/>
                    <w:bottom w:val="single" w:color="000000" w:sz="8"/>
                    <w:right w:val="single" w:color="000000" w:sz="8"/>
                  </w:tcBorders>
                </w:tcPr>
                <w:p/>
              </w:tc>
              <w:tc>
                <w:tcPr>
                  <w:tcW w:type="dxa" w:w="8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0.5分</w:t>
                  </w: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69"/>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1.7专项委托服务管理</w:t>
                  </w:r>
                </w:p>
              </w:tc>
              <w:tc>
                <w:tcPr>
                  <w:tcW w:type="dxa" w:w="24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ind w:firstLine="480"/>
                    <w:jc w:val="left"/>
                  </w:pPr>
                  <w:r>
                    <w:rPr>
                      <w:rFonts w:ascii="仿宋_GB2312" w:hAnsi="仿宋_GB2312" w:cs="仿宋_GB2312" w:eastAsia="仿宋_GB2312"/>
                      <w:sz w:val="24"/>
                    </w:rPr>
                    <w:t>1.7.1 签订有专项服务委托合同，明确各方权利义务</w:t>
                  </w:r>
                </w:p>
              </w:tc>
              <w:tc>
                <w:tcPr>
                  <w:tcW w:type="dxa" w:w="689"/>
                  <w:vMerge/>
                  <w:tcBorders>
                    <w:top w:val="none" w:color="000000" w:sz="4"/>
                    <w:left w:val="none" w:color="000000" w:sz="4"/>
                    <w:bottom w:val="single" w:color="000000" w:sz="8"/>
                    <w:right w:val="single" w:color="000000" w:sz="8"/>
                  </w:tcBorders>
                </w:tcPr>
                <w:p/>
              </w:tc>
              <w:tc>
                <w:tcPr>
                  <w:tcW w:type="dxa" w:w="8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69"/>
                  <w:vMerge/>
                  <w:tcBorders>
                    <w:top w:val="none" w:color="000000" w:sz="4"/>
                    <w:left w:val="single" w:color="000000" w:sz="8"/>
                    <w:bottom w:val="single" w:color="000000" w:sz="8"/>
                    <w:right w:val="single" w:color="000000" w:sz="8"/>
                  </w:tcBorders>
                </w:tcPr>
                <w:p/>
              </w:tc>
              <w:tc>
                <w:tcPr>
                  <w:tcW w:type="dxa" w:w="24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1.7.2专项服务企业应符合相关行政主管部门的资质要求；操作人员应持有相应的职业资格证书。</w:t>
                  </w:r>
                </w:p>
              </w:tc>
              <w:tc>
                <w:tcPr>
                  <w:tcW w:type="dxa" w:w="689"/>
                  <w:vMerge/>
                  <w:tcBorders>
                    <w:top w:val="none" w:color="000000" w:sz="4"/>
                    <w:left w:val="none" w:color="000000" w:sz="4"/>
                    <w:bottom w:val="single" w:color="000000" w:sz="8"/>
                    <w:right w:val="single" w:color="000000" w:sz="8"/>
                  </w:tcBorders>
                </w:tcPr>
                <w:p/>
              </w:tc>
              <w:tc>
                <w:tcPr>
                  <w:tcW w:type="dxa" w:w="8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69"/>
                  <w:vMerge/>
                  <w:tcBorders>
                    <w:top w:val="none" w:color="000000" w:sz="4"/>
                    <w:left w:val="single" w:color="000000" w:sz="8"/>
                    <w:bottom w:val="single" w:color="000000" w:sz="8"/>
                    <w:right w:val="single" w:color="000000" w:sz="8"/>
                  </w:tcBorders>
                </w:tcPr>
                <w:p/>
              </w:tc>
              <w:tc>
                <w:tcPr>
                  <w:tcW w:type="dxa" w:w="24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1.7.3专业服务企业人员进入物业管理区域内应佩戴标志。</w:t>
                  </w:r>
                </w:p>
              </w:tc>
              <w:tc>
                <w:tcPr>
                  <w:tcW w:type="dxa" w:w="689"/>
                  <w:vMerge/>
                  <w:tcBorders>
                    <w:top w:val="none" w:color="000000" w:sz="4"/>
                    <w:left w:val="none" w:color="000000" w:sz="4"/>
                    <w:bottom w:val="single" w:color="000000" w:sz="8"/>
                    <w:right w:val="single" w:color="000000" w:sz="8"/>
                  </w:tcBorders>
                </w:tcPr>
                <w:p/>
              </w:tc>
              <w:tc>
                <w:tcPr>
                  <w:tcW w:type="dxa" w:w="8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bl>
          <w:p>
            <w:pPr>
              <w:pStyle w:val="null3"/>
              <w:jc w:val="center"/>
            </w:pPr>
            <w:r>
              <w:rPr>
                <w:rFonts w:ascii="仿宋_GB2312" w:hAnsi="仿宋_GB2312" w:cs="仿宋_GB2312" w:eastAsia="仿宋_GB2312"/>
                <w:sz w:val="24"/>
                <w:b/>
              </w:rPr>
              <w:t>2、共用部位及共用设施设备运行和维修养护</w:t>
            </w:r>
          </w:p>
          <w:tbl>
            <w:tblPr>
              <w:tblInd w:type="dxa" w:w="30"/>
              <w:tblBorders>
                <w:top w:val="none" w:color="000000" w:sz="4"/>
                <w:left w:val="none" w:color="000000" w:sz="4"/>
                <w:bottom w:val="none" w:color="000000" w:sz="4"/>
                <w:right w:val="none" w:color="000000" w:sz="4"/>
                <w:insideH w:val="none"/>
                <w:insideV w:val="none"/>
              </w:tblBorders>
            </w:tblPr>
            <w:tblGrid>
              <w:gridCol w:w="816"/>
              <w:gridCol w:w="2300"/>
              <w:gridCol w:w="647"/>
              <w:gridCol w:w="1165"/>
              <w:gridCol w:w="647"/>
            </w:tblGrid>
            <w:tr>
              <w:tc>
                <w:tcPr>
                  <w:tcW w:type="dxa" w:w="81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rPr>
                    <w:t>服务内容</w:t>
                  </w:r>
                </w:p>
              </w:tc>
              <w:tc>
                <w:tcPr>
                  <w:tcW w:type="dxa" w:w="230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ind w:firstLine="480"/>
                    <w:jc w:val="center"/>
                  </w:pPr>
                  <w:r>
                    <w:rPr>
                      <w:rFonts w:ascii="仿宋_GB2312" w:hAnsi="仿宋_GB2312" w:cs="仿宋_GB2312" w:eastAsia="仿宋_GB2312"/>
                      <w:sz w:val="24"/>
                    </w:rPr>
                    <w:t>服务标准</w:t>
                  </w:r>
                </w:p>
              </w:tc>
              <w:tc>
                <w:tcPr>
                  <w:tcW w:type="dxa" w:w="64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rPr>
                    <w:t>标准分值</w:t>
                  </w:r>
                </w:p>
              </w:tc>
              <w:tc>
                <w:tcPr>
                  <w:tcW w:type="dxa" w:w="116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rPr>
                    <w:t>单项分值</w:t>
                  </w:r>
                </w:p>
              </w:tc>
              <w:tc>
                <w:tcPr>
                  <w:tcW w:type="dxa" w:w="64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rPr>
                    <w:t>考评得分</w:t>
                  </w:r>
                </w:p>
              </w:tc>
            </w:tr>
            <w:tr>
              <w:tc>
                <w:tcPr>
                  <w:tcW w:type="dxa" w:w="816"/>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2.1综合管理</w:t>
                  </w:r>
                </w:p>
              </w:tc>
              <w:tc>
                <w:tcPr>
                  <w:tcW w:type="dxa" w:w="230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ind w:firstLine="480"/>
                    <w:jc w:val="both"/>
                  </w:pPr>
                  <w:r>
                    <w:rPr>
                      <w:rFonts w:ascii="仿宋_GB2312" w:hAnsi="仿宋_GB2312" w:cs="仿宋_GB2312" w:eastAsia="仿宋_GB2312"/>
                      <w:sz w:val="24"/>
                    </w:rPr>
                    <w:t>2.1.1按照相关规定实施承接查验。按照DB510100/T 054-2010的规定进行维修、更新、改造。</w:t>
                  </w:r>
                </w:p>
              </w:tc>
              <w:tc>
                <w:tcPr>
                  <w:tcW w:type="dxa" w:w="647"/>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30分</w:t>
                  </w:r>
                </w:p>
              </w:tc>
              <w:tc>
                <w:tcPr>
                  <w:tcW w:type="dxa" w:w="11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64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16"/>
                  <w:vMerge/>
                  <w:tcBorders>
                    <w:top w:val="none" w:color="000000" w:sz="4"/>
                    <w:left w:val="single" w:color="000000" w:sz="8"/>
                    <w:bottom w:val="single" w:color="000000" w:sz="8"/>
                    <w:right w:val="single" w:color="000000" w:sz="8"/>
                  </w:tcBorders>
                </w:tcPr>
                <w:p/>
              </w:tc>
              <w:tc>
                <w:tcPr>
                  <w:tcW w:type="dxa" w:w="230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2.1.2有房屋共用部位及共用设施设备的基础档案</w:t>
                  </w:r>
                </w:p>
              </w:tc>
              <w:tc>
                <w:tcPr>
                  <w:tcW w:type="dxa" w:w="647"/>
                  <w:vMerge/>
                  <w:tcBorders>
                    <w:top w:val="none" w:color="000000" w:sz="4"/>
                    <w:left w:val="none" w:color="000000" w:sz="4"/>
                    <w:bottom w:val="single" w:color="000000" w:sz="8"/>
                    <w:right w:val="single" w:color="000000" w:sz="8"/>
                  </w:tcBorders>
                </w:tcPr>
                <w:p/>
              </w:tc>
              <w:tc>
                <w:tcPr>
                  <w:tcW w:type="dxa" w:w="11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64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16"/>
                  <w:vMerge/>
                  <w:tcBorders>
                    <w:top w:val="none" w:color="000000" w:sz="4"/>
                    <w:left w:val="single" w:color="000000" w:sz="8"/>
                    <w:bottom w:val="single" w:color="000000" w:sz="8"/>
                    <w:right w:val="single" w:color="000000" w:sz="8"/>
                  </w:tcBorders>
                </w:tcPr>
                <w:p/>
              </w:tc>
              <w:tc>
                <w:tcPr>
                  <w:tcW w:type="dxa" w:w="230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2.1.3共用部位检查中发现的问题，应按照责任范围编制修缮计划，并按计划组织修缮。共用设施设备运行中属于急修范围内，应在20分钟内组织到场维修。</w:t>
                  </w:r>
                </w:p>
              </w:tc>
              <w:tc>
                <w:tcPr>
                  <w:tcW w:type="dxa" w:w="647"/>
                  <w:vMerge/>
                  <w:tcBorders>
                    <w:top w:val="none" w:color="000000" w:sz="4"/>
                    <w:left w:val="none" w:color="000000" w:sz="4"/>
                    <w:bottom w:val="single" w:color="000000" w:sz="8"/>
                    <w:right w:val="single" w:color="000000" w:sz="8"/>
                  </w:tcBorders>
                </w:tcPr>
                <w:p/>
              </w:tc>
              <w:tc>
                <w:tcPr>
                  <w:tcW w:type="dxa" w:w="11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64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16"/>
                  <w:vMerge/>
                  <w:tcBorders>
                    <w:top w:val="none" w:color="000000" w:sz="4"/>
                    <w:left w:val="single" w:color="000000" w:sz="8"/>
                    <w:bottom w:val="single" w:color="000000" w:sz="8"/>
                    <w:right w:val="single" w:color="000000" w:sz="8"/>
                  </w:tcBorders>
                </w:tcPr>
                <w:p/>
              </w:tc>
              <w:tc>
                <w:tcPr>
                  <w:tcW w:type="dxa" w:w="230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2.1.4每年第4季度制订出下一年度维修养护计划。</w:t>
                  </w:r>
                </w:p>
              </w:tc>
              <w:tc>
                <w:tcPr>
                  <w:tcW w:type="dxa" w:w="647"/>
                  <w:vMerge/>
                  <w:tcBorders>
                    <w:top w:val="none" w:color="000000" w:sz="4"/>
                    <w:left w:val="none" w:color="000000" w:sz="4"/>
                    <w:bottom w:val="single" w:color="000000" w:sz="8"/>
                    <w:right w:val="single" w:color="000000" w:sz="8"/>
                  </w:tcBorders>
                </w:tcPr>
                <w:p/>
              </w:tc>
              <w:tc>
                <w:tcPr>
                  <w:tcW w:type="dxa" w:w="11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64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16"/>
                  <w:vMerge/>
                  <w:tcBorders>
                    <w:top w:val="none" w:color="000000" w:sz="4"/>
                    <w:left w:val="single" w:color="000000" w:sz="8"/>
                    <w:bottom w:val="single" w:color="000000" w:sz="8"/>
                    <w:right w:val="single" w:color="000000" w:sz="8"/>
                  </w:tcBorders>
                </w:tcPr>
                <w:p/>
              </w:tc>
              <w:tc>
                <w:tcPr>
                  <w:tcW w:type="dxa" w:w="230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2.1.5特种设备按照有关规定运行、维修养护和定期检测</w:t>
                  </w:r>
                </w:p>
              </w:tc>
              <w:tc>
                <w:tcPr>
                  <w:tcW w:type="dxa" w:w="647"/>
                  <w:vMerge/>
                  <w:tcBorders>
                    <w:top w:val="none" w:color="000000" w:sz="4"/>
                    <w:left w:val="none" w:color="000000" w:sz="4"/>
                    <w:bottom w:val="single" w:color="000000" w:sz="8"/>
                    <w:right w:val="single" w:color="000000" w:sz="8"/>
                  </w:tcBorders>
                </w:tcPr>
                <w:p/>
              </w:tc>
              <w:tc>
                <w:tcPr>
                  <w:tcW w:type="dxa" w:w="11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64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16"/>
                  <w:vMerge/>
                  <w:tcBorders>
                    <w:top w:val="none" w:color="000000" w:sz="4"/>
                    <w:left w:val="single" w:color="000000" w:sz="8"/>
                    <w:bottom w:val="single" w:color="000000" w:sz="8"/>
                    <w:right w:val="single" w:color="000000" w:sz="8"/>
                  </w:tcBorders>
                </w:tcPr>
                <w:p/>
              </w:tc>
              <w:tc>
                <w:tcPr>
                  <w:tcW w:type="dxa" w:w="230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2.1.6雷电、强降水、大风等极端天气前后有检查防范措施</w:t>
                  </w:r>
                </w:p>
              </w:tc>
              <w:tc>
                <w:tcPr>
                  <w:tcW w:type="dxa" w:w="647"/>
                  <w:vMerge/>
                  <w:tcBorders>
                    <w:top w:val="none" w:color="000000" w:sz="4"/>
                    <w:left w:val="none" w:color="000000" w:sz="4"/>
                    <w:bottom w:val="single" w:color="000000" w:sz="8"/>
                    <w:right w:val="single" w:color="000000" w:sz="8"/>
                  </w:tcBorders>
                </w:tcPr>
                <w:p/>
              </w:tc>
              <w:tc>
                <w:tcPr>
                  <w:tcW w:type="dxa" w:w="11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64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16"/>
                  <w:vMerge/>
                  <w:tcBorders>
                    <w:top w:val="none" w:color="000000" w:sz="4"/>
                    <w:left w:val="single" w:color="000000" w:sz="8"/>
                    <w:bottom w:val="single" w:color="000000" w:sz="8"/>
                    <w:right w:val="single" w:color="000000" w:sz="8"/>
                  </w:tcBorders>
                </w:tcPr>
                <w:p/>
              </w:tc>
              <w:tc>
                <w:tcPr>
                  <w:tcW w:type="dxa" w:w="230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2.1.7设备机房整洁有序，室内无杂物；设有挡鼠板、鼠药盒或粘鼠板；配备有符合规定的消防器材及专用工具，完好有效。设施设备标识标牌齐全。张贴或悬挂相关制度、证书。记录齐全、完整。</w:t>
                  </w:r>
                </w:p>
              </w:tc>
              <w:tc>
                <w:tcPr>
                  <w:tcW w:type="dxa" w:w="647"/>
                  <w:vMerge/>
                  <w:tcBorders>
                    <w:top w:val="none" w:color="000000" w:sz="4"/>
                    <w:left w:val="none" w:color="000000" w:sz="4"/>
                    <w:bottom w:val="single" w:color="000000" w:sz="8"/>
                    <w:right w:val="single" w:color="000000" w:sz="8"/>
                  </w:tcBorders>
                </w:tcPr>
                <w:p/>
              </w:tc>
              <w:tc>
                <w:tcPr>
                  <w:tcW w:type="dxa" w:w="11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64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16"/>
                  <w:vMerge/>
                  <w:tcBorders>
                    <w:top w:val="none" w:color="000000" w:sz="4"/>
                    <w:left w:val="single" w:color="000000" w:sz="8"/>
                    <w:bottom w:val="single" w:color="000000" w:sz="8"/>
                    <w:right w:val="single" w:color="000000" w:sz="8"/>
                  </w:tcBorders>
                </w:tcPr>
                <w:p/>
              </w:tc>
              <w:tc>
                <w:tcPr>
                  <w:tcW w:type="dxa" w:w="230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2.1.8运行、检查、维修养护记录应每月归档</w:t>
                  </w:r>
                </w:p>
              </w:tc>
              <w:tc>
                <w:tcPr>
                  <w:tcW w:type="dxa" w:w="647"/>
                  <w:vMerge/>
                  <w:tcBorders>
                    <w:top w:val="none" w:color="000000" w:sz="4"/>
                    <w:left w:val="none" w:color="000000" w:sz="4"/>
                    <w:bottom w:val="single" w:color="000000" w:sz="8"/>
                    <w:right w:val="single" w:color="000000" w:sz="8"/>
                  </w:tcBorders>
                </w:tcPr>
                <w:p/>
              </w:tc>
              <w:tc>
                <w:tcPr>
                  <w:tcW w:type="dxa" w:w="11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64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16"/>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2.2共用部位</w:t>
                  </w:r>
                </w:p>
              </w:tc>
              <w:tc>
                <w:tcPr>
                  <w:tcW w:type="dxa" w:w="230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ind w:firstLine="480"/>
                    <w:jc w:val="both"/>
                  </w:pPr>
                  <w:r>
                    <w:rPr>
                      <w:rFonts w:ascii="仿宋_GB2312" w:hAnsi="仿宋_GB2312" w:cs="仿宋_GB2312" w:eastAsia="仿宋_GB2312"/>
                      <w:sz w:val="24"/>
                    </w:rPr>
                    <w:t>2.2.1房屋结构：</w:t>
                  </w:r>
                </w:p>
                <w:p>
                  <w:pPr>
                    <w:pStyle w:val="null3"/>
                    <w:spacing w:before="105" w:after="105"/>
                    <w:ind w:firstLine="480"/>
                    <w:jc w:val="both"/>
                  </w:pPr>
                  <w:r>
                    <w:rPr>
                      <w:rFonts w:ascii="仿宋_GB2312" w:hAnsi="仿宋_GB2312" w:cs="仿宋_GB2312" w:eastAsia="仿宋_GB2312"/>
                      <w:sz w:val="24"/>
                    </w:rPr>
                    <w:t>每年巡视1 次梁、板、柱等结构构件，外观出现变形、开裂等现象时，应建议相关业主申请房屋安全鉴定，同时采取必要的防护措施。</w:t>
                  </w:r>
                </w:p>
              </w:tc>
              <w:tc>
                <w:tcPr>
                  <w:tcW w:type="dxa" w:w="647"/>
                  <w:vMerge/>
                  <w:tcBorders>
                    <w:top w:val="none" w:color="000000" w:sz="4"/>
                    <w:left w:val="none" w:color="000000" w:sz="4"/>
                    <w:bottom w:val="single" w:color="000000" w:sz="8"/>
                    <w:right w:val="single" w:color="000000" w:sz="8"/>
                  </w:tcBorders>
                </w:tcPr>
                <w:p/>
              </w:tc>
              <w:tc>
                <w:tcPr>
                  <w:tcW w:type="dxa" w:w="11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1.5分</w:t>
                  </w:r>
                </w:p>
              </w:tc>
              <w:tc>
                <w:tcPr>
                  <w:tcW w:type="dxa" w:w="64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16"/>
                  <w:vMerge/>
                  <w:tcBorders>
                    <w:top w:val="none" w:color="000000" w:sz="4"/>
                    <w:left w:val="single" w:color="000000" w:sz="8"/>
                    <w:bottom w:val="single" w:color="000000" w:sz="8"/>
                    <w:right w:val="single" w:color="000000" w:sz="8"/>
                  </w:tcBorders>
                </w:tcPr>
                <w:p/>
              </w:tc>
              <w:tc>
                <w:tcPr>
                  <w:tcW w:type="dxa" w:w="230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2.2.2建筑部件：</w:t>
                  </w:r>
                </w:p>
                <w:p>
                  <w:pPr>
                    <w:pStyle w:val="null3"/>
                    <w:spacing w:before="105" w:after="105"/>
                    <w:ind w:firstLine="480"/>
                    <w:jc w:val="both"/>
                  </w:pPr>
                  <w:r>
                    <w:rPr>
                      <w:rFonts w:ascii="仿宋_GB2312" w:hAnsi="仿宋_GB2312" w:cs="仿宋_GB2312" w:eastAsia="仿宋_GB2312"/>
                      <w:sz w:val="24"/>
                    </w:rPr>
                    <w:t>每季并检查1 次外墙贴饰面或抹灰、屋檐、阳台、雨罩、空调室外机支撑构件等。</w:t>
                  </w:r>
                </w:p>
                <w:p>
                  <w:pPr>
                    <w:pStyle w:val="null3"/>
                    <w:spacing w:before="105" w:after="105"/>
                    <w:ind w:firstLine="480"/>
                    <w:jc w:val="both"/>
                  </w:pPr>
                  <w:r>
                    <w:rPr>
                      <w:rFonts w:ascii="仿宋_GB2312" w:hAnsi="仿宋_GB2312" w:cs="仿宋_GB2312" w:eastAsia="仿宋_GB2312"/>
                      <w:sz w:val="24"/>
                    </w:rPr>
                    <w:t>每季度巡查1 次共用部位的门、窗、玻璃等。</w:t>
                  </w:r>
                </w:p>
                <w:p>
                  <w:pPr>
                    <w:pStyle w:val="null3"/>
                    <w:spacing w:before="105" w:after="105"/>
                    <w:ind w:firstLine="480"/>
                    <w:jc w:val="both"/>
                  </w:pPr>
                  <w:r>
                    <w:rPr>
                      <w:rFonts w:ascii="仿宋_GB2312" w:hAnsi="仿宋_GB2312" w:cs="仿宋_GB2312" w:eastAsia="仿宋_GB2312"/>
                      <w:sz w:val="24"/>
                    </w:rPr>
                    <w:t>每季度检查1 次共用部位的室内地面、墙面、天棚；室外屋面、散水等。</w:t>
                  </w:r>
                </w:p>
                <w:p>
                  <w:pPr>
                    <w:pStyle w:val="null3"/>
                    <w:spacing w:before="105" w:after="105"/>
                    <w:ind w:firstLine="480"/>
                    <w:jc w:val="both"/>
                  </w:pPr>
                  <w:r>
                    <w:rPr>
                      <w:rFonts w:ascii="仿宋_GB2312" w:hAnsi="仿宋_GB2312" w:cs="仿宋_GB2312" w:eastAsia="仿宋_GB2312"/>
                      <w:sz w:val="24"/>
                    </w:rPr>
                    <w:t>每年汛前和强降雨后检查屋面防水和雨落管等。</w:t>
                  </w:r>
                </w:p>
              </w:tc>
              <w:tc>
                <w:tcPr>
                  <w:tcW w:type="dxa" w:w="647"/>
                  <w:vMerge/>
                  <w:tcBorders>
                    <w:top w:val="none" w:color="000000" w:sz="4"/>
                    <w:left w:val="none" w:color="000000" w:sz="4"/>
                    <w:bottom w:val="single" w:color="000000" w:sz="8"/>
                    <w:right w:val="single" w:color="000000" w:sz="8"/>
                  </w:tcBorders>
                </w:tcPr>
                <w:p/>
              </w:tc>
              <w:tc>
                <w:tcPr>
                  <w:tcW w:type="dxa" w:w="11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1.5分</w:t>
                  </w:r>
                </w:p>
              </w:tc>
              <w:tc>
                <w:tcPr>
                  <w:tcW w:type="dxa" w:w="64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16"/>
                  <w:vMerge/>
                  <w:tcBorders>
                    <w:top w:val="none" w:color="000000" w:sz="4"/>
                    <w:left w:val="single" w:color="000000" w:sz="8"/>
                    <w:bottom w:val="single" w:color="000000" w:sz="8"/>
                    <w:right w:val="single" w:color="000000" w:sz="8"/>
                  </w:tcBorders>
                </w:tcPr>
                <w:p/>
              </w:tc>
              <w:tc>
                <w:tcPr>
                  <w:tcW w:type="dxa" w:w="230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2.2.3附属构筑物：</w:t>
                  </w:r>
                </w:p>
                <w:p>
                  <w:pPr>
                    <w:pStyle w:val="null3"/>
                    <w:spacing w:before="105" w:after="105"/>
                    <w:ind w:firstLine="480"/>
                    <w:jc w:val="both"/>
                  </w:pPr>
                  <w:r>
                    <w:rPr>
                      <w:rFonts w:ascii="仿宋_GB2312" w:hAnsi="仿宋_GB2312" w:cs="仿宋_GB2312" w:eastAsia="仿宋_GB2312"/>
                      <w:sz w:val="24"/>
                    </w:rPr>
                    <w:t>每季度巡查1 次道路、场地、阶梯及扶手、侧石、管井、沟渠等。</w:t>
                  </w:r>
                </w:p>
                <w:p>
                  <w:pPr>
                    <w:pStyle w:val="null3"/>
                    <w:spacing w:before="105" w:after="105"/>
                    <w:ind w:firstLine="480"/>
                    <w:jc w:val="both"/>
                  </w:pPr>
                  <w:r>
                    <w:rPr>
                      <w:rFonts w:ascii="仿宋_GB2312" w:hAnsi="仿宋_GB2312" w:cs="仿宋_GB2312" w:eastAsia="仿宋_GB2312"/>
                      <w:sz w:val="24"/>
                    </w:rPr>
                    <w:t>每季度检查1 次雨、污水管井等。每季度巡查1 次大门、围墙、围栏等。</w:t>
                  </w:r>
                </w:p>
                <w:p>
                  <w:pPr>
                    <w:pStyle w:val="null3"/>
                    <w:spacing w:before="105" w:after="105"/>
                    <w:ind w:firstLine="480"/>
                    <w:jc w:val="both"/>
                  </w:pPr>
                  <w:r>
                    <w:rPr>
                      <w:rFonts w:ascii="仿宋_GB2312" w:hAnsi="仿宋_GB2312" w:cs="仿宋_GB2312" w:eastAsia="仿宋_GB2312"/>
                      <w:sz w:val="24"/>
                    </w:rPr>
                    <w:t>每季度巡查1 次休闲椅、凉亭、雕塑、景观小品等。</w:t>
                  </w:r>
                </w:p>
                <w:p>
                  <w:pPr>
                    <w:pStyle w:val="null3"/>
                    <w:spacing w:before="105" w:after="105"/>
                    <w:ind w:firstLine="480"/>
                    <w:jc w:val="both"/>
                  </w:pPr>
                  <w:r>
                    <w:rPr>
                      <w:rFonts w:ascii="仿宋_GB2312" w:hAnsi="仿宋_GB2312" w:cs="仿宋_GB2312" w:eastAsia="仿宋_GB2312"/>
                      <w:sz w:val="24"/>
                    </w:rPr>
                    <w:t>每年检测1 次防雷装置。</w:t>
                  </w:r>
                </w:p>
              </w:tc>
              <w:tc>
                <w:tcPr>
                  <w:tcW w:type="dxa" w:w="647"/>
                  <w:vMerge/>
                  <w:tcBorders>
                    <w:top w:val="none" w:color="000000" w:sz="4"/>
                    <w:left w:val="none" w:color="000000" w:sz="4"/>
                    <w:bottom w:val="single" w:color="000000" w:sz="8"/>
                    <w:right w:val="single" w:color="000000" w:sz="8"/>
                  </w:tcBorders>
                </w:tcPr>
                <w:p/>
              </w:tc>
              <w:tc>
                <w:tcPr>
                  <w:tcW w:type="dxa" w:w="11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1.5分</w:t>
                  </w:r>
                </w:p>
              </w:tc>
              <w:tc>
                <w:tcPr>
                  <w:tcW w:type="dxa" w:w="64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16"/>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2.3共用设施设备</w:t>
                  </w:r>
                </w:p>
              </w:tc>
              <w:tc>
                <w:tcPr>
                  <w:tcW w:type="dxa" w:w="230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ind w:firstLine="480"/>
                    <w:jc w:val="both"/>
                  </w:pPr>
                  <w:r>
                    <w:rPr>
                      <w:rFonts w:ascii="仿宋_GB2312" w:hAnsi="仿宋_GB2312" w:cs="仿宋_GB2312" w:eastAsia="仿宋_GB2312"/>
                      <w:sz w:val="24"/>
                    </w:rPr>
                    <w:t>2.3.1供水系统：</w:t>
                  </w:r>
                </w:p>
                <w:p>
                  <w:pPr>
                    <w:pStyle w:val="null3"/>
                    <w:spacing w:before="105" w:after="105"/>
                    <w:ind w:firstLine="480"/>
                    <w:jc w:val="both"/>
                  </w:pPr>
                  <w:r>
                    <w:rPr>
                      <w:rFonts w:ascii="仿宋_GB2312" w:hAnsi="仿宋_GB2312" w:cs="仿宋_GB2312" w:eastAsia="仿宋_GB2312"/>
                      <w:sz w:val="24"/>
                    </w:rPr>
                    <w:t>每半年至少应对二次供水设施进行2次清洗消毒，每年4次水质检测，水质符合GB 5749的要求。每日巡检1次供水设施，发现跑冒滴漏现象及时解决。</w:t>
                  </w:r>
                </w:p>
                <w:p>
                  <w:pPr>
                    <w:pStyle w:val="null3"/>
                    <w:spacing w:before="105" w:after="105"/>
                    <w:ind w:firstLine="480"/>
                    <w:jc w:val="both"/>
                  </w:pPr>
                  <w:r>
                    <w:rPr>
                      <w:rFonts w:ascii="仿宋_GB2312" w:hAnsi="仿宋_GB2312" w:cs="仿宋_GB2312" w:eastAsia="仿宋_GB2312"/>
                      <w:sz w:val="24"/>
                    </w:rPr>
                    <w:t>每日巡视1次水箱间、水泵房，检查设备运行状况。</w:t>
                  </w:r>
                </w:p>
                <w:p>
                  <w:pPr>
                    <w:pStyle w:val="null3"/>
                    <w:spacing w:before="105" w:after="105"/>
                    <w:ind w:firstLine="480"/>
                    <w:jc w:val="both"/>
                  </w:pPr>
                  <w:r>
                    <w:rPr>
                      <w:rFonts w:ascii="仿宋_GB2312" w:hAnsi="仿宋_GB2312" w:cs="仿宋_GB2312" w:eastAsia="仿宋_GB2312"/>
                      <w:sz w:val="24"/>
                    </w:rPr>
                    <w:t>水箱、蓄水池盖板应保持完好并加锁，钥匙由专人保管；溢流管口、透气口应安装金属防护网并保持完好。</w:t>
                  </w:r>
                </w:p>
              </w:tc>
              <w:tc>
                <w:tcPr>
                  <w:tcW w:type="dxa" w:w="647"/>
                  <w:vMerge/>
                  <w:tcBorders>
                    <w:top w:val="none" w:color="000000" w:sz="4"/>
                    <w:left w:val="none" w:color="000000" w:sz="4"/>
                    <w:bottom w:val="single" w:color="000000" w:sz="8"/>
                    <w:right w:val="single" w:color="000000" w:sz="8"/>
                  </w:tcBorders>
                </w:tcPr>
                <w:p/>
              </w:tc>
              <w:tc>
                <w:tcPr>
                  <w:tcW w:type="dxa" w:w="11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1.5分</w:t>
                  </w:r>
                </w:p>
              </w:tc>
              <w:tc>
                <w:tcPr>
                  <w:tcW w:type="dxa" w:w="64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16"/>
                  <w:vMerge/>
                  <w:tcBorders>
                    <w:top w:val="none" w:color="000000" w:sz="4"/>
                    <w:left w:val="single" w:color="000000" w:sz="8"/>
                    <w:bottom w:val="single" w:color="000000" w:sz="8"/>
                    <w:right w:val="single" w:color="000000" w:sz="8"/>
                  </w:tcBorders>
                </w:tcPr>
                <w:p/>
              </w:tc>
              <w:tc>
                <w:tcPr>
                  <w:tcW w:type="dxa" w:w="230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2.3.2排水系统：</w:t>
                  </w:r>
                </w:p>
                <w:p>
                  <w:pPr>
                    <w:pStyle w:val="null3"/>
                    <w:spacing w:before="105" w:after="105"/>
                    <w:ind w:firstLine="245"/>
                    <w:jc w:val="both"/>
                  </w:pPr>
                  <w:r>
                    <w:rPr>
                      <w:rFonts w:ascii="仿宋_GB2312" w:hAnsi="仿宋_GB2312" w:cs="仿宋_GB2312" w:eastAsia="仿宋_GB2312"/>
                      <w:sz w:val="24"/>
                    </w:rPr>
                    <w:t>有防汛预案，每年至少组织1次演练。</w:t>
                  </w:r>
                </w:p>
                <w:p>
                  <w:pPr>
                    <w:pStyle w:val="null3"/>
                    <w:spacing w:before="105" w:after="105"/>
                    <w:ind w:firstLine="245"/>
                    <w:jc w:val="both"/>
                  </w:pPr>
                  <w:r>
                    <w:rPr>
                      <w:rFonts w:ascii="仿宋_GB2312" w:hAnsi="仿宋_GB2312" w:cs="仿宋_GB2312" w:eastAsia="仿宋_GB2312"/>
                      <w:sz w:val="24"/>
                    </w:rPr>
                    <w:t>配备有防汛物资（沙袋、防风胶纸、雨具、照明工具、发电机、抽水泵等）。</w:t>
                  </w:r>
                </w:p>
                <w:p>
                  <w:pPr>
                    <w:pStyle w:val="null3"/>
                    <w:spacing w:before="105" w:after="105"/>
                    <w:ind w:firstLine="245"/>
                    <w:jc w:val="both"/>
                  </w:pPr>
                  <w:r>
                    <w:rPr>
                      <w:rFonts w:ascii="仿宋_GB2312" w:hAnsi="仿宋_GB2312" w:cs="仿宋_GB2312" w:eastAsia="仿宋_GB2312"/>
                      <w:sz w:val="24"/>
                    </w:rPr>
                    <w:t>排水设施：每年汛前对雨、污水井、屋面雨水口等设施进行检查，组织清理、疏通；每次降雨前后对主要排水口、管井进行检查。</w:t>
                  </w:r>
                </w:p>
                <w:p>
                  <w:pPr>
                    <w:pStyle w:val="null3"/>
                    <w:spacing w:before="105" w:after="105"/>
                    <w:ind w:firstLine="245"/>
                    <w:jc w:val="both"/>
                  </w:pPr>
                  <w:r>
                    <w:rPr>
                      <w:rFonts w:ascii="仿宋_GB2312" w:hAnsi="仿宋_GB2312" w:cs="仿宋_GB2312" w:eastAsia="仿宋_GB2312"/>
                      <w:sz w:val="24"/>
                    </w:rPr>
                    <w:t>污水泵：每月进行1次手动启动测试；每年养护1次。</w:t>
                  </w:r>
                </w:p>
                <w:p>
                  <w:pPr>
                    <w:pStyle w:val="null3"/>
                    <w:spacing w:before="105" w:after="105"/>
                    <w:ind w:firstLine="245"/>
                    <w:jc w:val="both"/>
                  </w:pPr>
                  <w:r>
                    <w:rPr>
                      <w:rFonts w:ascii="仿宋_GB2312" w:hAnsi="仿宋_GB2312" w:cs="仿宋_GB2312" w:eastAsia="仿宋_GB2312"/>
                      <w:sz w:val="24"/>
                    </w:rPr>
                    <w:t>化粪池：每年清掏1 次，发现异常及时清掏。</w:t>
                  </w:r>
                </w:p>
              </w:tc>
              <w:tc>
                <w:tcPr>
                  <w:tcW w:type="dxa" w:w="647"/>
                  <w:vMerge/>
                  <w:tcBorders>
                    <w:top w:val="none" w:color="000000" w:sz="4"/>
                    <w:left w:val="none" w:color="000000" w:sz="4"/>
                    <w:bottom w:val="single" w:color="000000" w:sz="8"/>
                    <w:right w:val="single" w:color="000000" w:sz="8"/>
                  </w:tcBorders>
                </w:tcPr>
                <w:p/>
              </w:tc>
              <w:tc>
                <w:tcPr>
                  <w:tcW w:type="dxa" w:w="11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1.5分</w:t>
                  </w:r>
                </w:p>
              </w:tc>
              <w:tc>
                <w:tcPr>
                  <w:tcW w:type="dxa" w:w="64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16"/>
                  <w:vMerge/>
                  <w:tcBorders>
                    <w:top w:val="none" w:color="000000" w:sz="4"/>
                    <w:left w:val="single" w:color="000000" w:sz="8"/>
                    <w:bottom w:val="single" w:color="000000" w:sz="8"/>
                    <w:right w:val="single" w:color="000000" w:sz="8"/>
                  </w:tcBorders>
                </w:tcPr>
                <w:p/>
              </w:tc>
              <w:tc>
                <w:tcPr>
                  <w:tcW w:type="dxa" w:w="230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2.3.3楼内照明：每半月巡视1次，一般故障1日内修复；其它复杂故障一周内修复。</w:t>
                  </w:r>
                </w:p>
                <w:p>
                  <w:pPr>
                    <w:pStyle w:val="null3"/>
                    <w:spacing w:before="105" w:after="105"/>
                    <w:ind w:firstLine="480"/>
                    <w:jc w:val="both"/>
                  </w:pPr>
                  <w:r>
                    <w:rPr>
                      <w:rFonts w:ascii="仿宋_GB2312" w:hAnsi="仿宋_GB2312" w:cs="仿宋_GB2312" w:eastAsia="仿宋_GB2312"/>
                      <w:sz w:val="24"/>
                    </w:rPr>
                    <w:t>楼外照明：每周巡视1次，一般故障3日内修复；复杂故障半月内修复。</w:t>
                  </w:r>
                </w:p>
                <w:p>
                  <w:pPr>
                    <w:pStyle w:val="null3"/>
                    <w:spacing w:before="105" w:after="105"/>
                    <w:ind w:firstLine="480"/>
                    <w:jc w:val="both"/>
                  </w:pPr>
                  <w:r>
                    <w:rPr>
                      <w:rFonts w:ascii="仿宋_GB2312" w:hAnsi="仿宋_GB2312" w:cs="仿宋_GB2312" w:eastAsia="仿宋_GB2312"/>
                      <w:sz w:val="24"/>
                    </w:rPr>
                    <w:t>应急照明：每周巡视1次，发现故障，30分钟内到达现场组织维修。</w:t>
                  </w:r>
                </w:p>
                <w:p>
                  <w:pPr>
                    <w:pStyle w:val="null3"/>
                    <w:spacing w:before="105" w:after="105"/>
                    <w:ind w:firstLine="480"/>
                    <w:jc w:val="both"/>
                  </w:pPr>
                  <w:r>
                    <w:rPr>
                      <w:rFonts w:ascii="仿宋_GB2312" w:hAnsi="仿宋_GB2312" w:cs="仿宋_GB2312" w:eastAsia="仿宋_GB2312"/>
                      <w:sz w:val="24"/>
                    </w:rPr>
                    <w:t>低压配电箱和线路：每季度检查1次设备运行状况；每年养护1次，养护内容包括紧固、检测、清扫。</w:t>
                  </w:r>
                </w:p>
                <w:p>
                  <w:pPr>
                    <w:pStyle w:val="null3"/>
                    <w:spacing w:before="105" w:after="105"/>
                    <w:ind w:firstLine="480"/>
                    <w:jc w:val="both"/>
                  </w:pPr>
                  <w:r>
                    <w:rPr>
                      <w:rFonts w:ascii="仿宋_GB2312" w:hAnsi="仿宋_GB2312" w:cs="仿宋_GB2312" w:eastAsia="仿宋_GB2312"/>
                      <w:sz w:val="24"/>
                    </w:rPr>
                    <w:t>控制柜：每季度检查1 次设备运行状况；每年养护1 次，养护内容包括紧固、检测、调试、清扫。</w:t>
                  </w:r>
                </w:p>
                <w:p>
                  <w:pPr>
                    <w:pStyle w:val="null3"/>
                    <w:spacing w:before="105" w:after="105"/>
                    <w:ind w:firstLine="480"/>
                    <w:jc w:val="both"/>
                  </w:pPr>
                  <w:r>
                    <w:rPr>
                      <w:rFonts w:ascii="仿宋_GB2312" w:hAnsi="仿宋_GB2312" w:cs="仿宋_GB2312" w:eastAsia="仿宋_GB2312"/>
                      <w:sz w:val="24"/>
                    </w:rPr>
                    <w:t>发电机：每半月试运行1 次，每次运行不低于20分钟，保证运行正常。</w:t>
                  </w:r>
                </w:p>
                <w:p>
                  <w:pPr>
                    <w:pStyle w:val="null3"/>
                    <w:spacing w:before="105" w:after="105"/>
                    <w:ind w:firstLine="480"/>
                    <w:jc w:val="both"/>
                  </w:pPr>
                  <w:r>
                    <w:rPr>
                      <w:rFonts w:ascii="仿宋_GB2312" w:hAnsi="仿宋_GB2312" w:cs="仿宋_GB2312" w:eastAsia="仿宋_GB2312"/>
                      <w:sz w:val="24"/>
                    </w:rPr>
                    <w:t>配电室、楼层配电间：有门、孔、洞、窗等处的防鼠措施完备；穿墙线槽周边封堵严密；锁具完好。</w:t>
                  </w:r>
                </w:p>
                <w:p>
                  <w:pPr>
                    <w:pStyle w:val="null3"/>
                    <w:spacing w:before="105" w:after="105"/>
                    <w:ind w:firstLine="480"/>
                    <w:jc w:val="both"/>
                  </w:pPr>
                  <w:r>
                    <w:rPr>
                      <w:rFonts w:ascii="仿宋_GB2312" w:hAnsi="仿宋_GB2312" w:cs="仿宋_GB2312" w:eastAsia="仿宋_GB2312"/>
                      <w:sz w:val="24"/>
                    </w:rPr>
                    <w:t>路灯、楼道灯完好率应不低于85%。</w:t>
                  </w:r>
                </w:p>
              </w:tc>
              <w:tc>
                <w:tcPr>
                  <w:tcW w:type="dxa" w:w="647"/>
                  <w:vMerge/>
                  <w:tcBorders>
                    <w:top w:val="none" w:color="000000" w:sz="4"/>
                    <w:left w:val="none" w:color="000000" w:sz="4"/>
                    <w:bottom w:val="single" w:color="000000" w:sz="8"/>
                    <w:right w:val="single" w:color="000000" w:sz="8"/>
                  </w:tcBorders>
                </w:tcPr>
                <w:p/>
              </w:tc>
              <w:tc>
                <w:tcPr>
                  <w:tcW w:type="dxa" w:w="11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1.5分</w:t>
                  </w:r>
                </w:p>
              </w:tc>
              <w:tc>
                <w:tcPr>
                  <w:tcW w:type="dxa" w:w="64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16"/>
                  <w:vMerge/>
                  <w:tcBorders>
                    <w:top w:val="none" w:color="000000" w:sz="4"/>
                    <w:left w:val="single" w:color="000000" w:sz="8"/>
                    <w:bottom w:val="single" w:color="000000" w:sz="8"/>
                    <w:right w:val="single" w:color="000000" w:sz="8"/>
                  </w:tcBorders>
                </w:tcPr>
                <w:p/>
              </w:tc>
              <w:tc>
                <w:tcPr>
                  <w:tcW w:type="dxa" w:w="230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2.3.4 安全防范系统（物防）：</w:t>
                  </w:r>
                </w:p>
                <w:p>
                  <w:pPr>
                    <w:pStyle w:val="null3"/>
                    <w:spacing w:before="105" w:after="105"/>
                    <w:ind w:firstLine="380"/>
                    <w:jc w:val="both"/>
                  </w:pPr>
                  <w:r>
                    <w:rPr>
                      <w:rFonts w:ascii="仿宋_GB2312" w:hAnsi="仿宋_GB2312" w:cs="仿宋_GB2312" w:eastAsia="仿宋_GB2312"/>
                      <w:sz w:val="24"/>
                    </w:rPr>
                    <w:t>外露管道等易攀爬处有防盗设施，如：防盗伞、防爬刺、带钩铁丝或抹黄油等。</w:t>
                  </w:r>
                </w:p>
                <w:p>
                  <w:pPr>
                    <w:pStyle w:val="null3"/>
                    <w:spacing w:before="105" w:after="105"/>
                    <w:ind w:firstLine="480"/>
                    <w:jc w:val="both"/>
                  </w:pPr>
                  <w:r>
                    <w:rPr>
                      <w:rFonts w:ascii="仿宋_GB2312" w:hAnsi="仿宋_GB2312" w:cs="仿宋_GB2312" w:eastAsia="仿宋_GB2312"/>
                      <w:sz w:val="24"/>
                    </w:rPr>
                    <w:t>非机动车集中停放点，有序停放。</w:t>
                  </w:r>
                </w:p>
                <w:p>
                  <w:pPr>
                    <w:pStyle w:val="null3"/>
                    <w:spacing w:before="105" w:after="105"/>
                    <w:ind w:firstLine="480"/>
                    <w:jc w:val="both"/>
                  </w:pPr>
                  <w:r>
                    <w:rPr>
                      <w:rFonts w:ascii="仿宋_GB2312" w:hAnsi="仿宋_GB2312" w:cs="仿宋_GB2312" w:eastAsia="仿宋_GB2312"/>
                      <w:sz w:val="24"/>
                    </w:rPr>
                    <w:t>物业区域内路灯、楼道灯等夜间照明设施齐全，使用正常。</w:t>
                  </w:r>
                </w:p>
                <w:p>
                  <w:pPr>
                    <w:pStyle w:val="null3"/>
                    <w:spacing w:before="105" w:after="105"/>
                    <w:ind w:firstLine="480"/>
                    <w:jc w:val="both"/>
                  </w:pPr>
                  <w:r>
                    <w:rPr>
                      <w:rFonts w:ascii="仿宋_GB2312" w:hAnsi="仿宋_GB2312" w:cs="仿宋_GB2312" w:eastAsia="仿宋_GB2312"/>
                      <w:sz w:val="24"/>
                    </w:rPr>
                    <w:t>落实专人对各类物防设施每月开展1次全面检查，及时排除安全隐患。</w:t>
                  </w:r>
                </w:p>
              </w:tc>
              <w:tc>
                <w:tcPr>
                  <w:tcW w:type="dxa" w:w="647"/>
                  <w:vMerge/>
                  <w:tcBorders>
                    <w:top w:val="none" w:color="000000" w:sz="4"/>
                    <w:left w:val="none" w:color="000000" w:sz="4"/>
                    <w:bottom w:val="single" w:color="000000" w:sz="8"/>
                    <w:right w:val="single" w:color="000000" w:sz="8"/>
                  </w:tcBorders>
                </w:tcPr>
                <w:p/>
              </w:tc>
              <w:tc>
                <w:tcPr>
                  <w:tcW w:type="dxa" w:w="11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1.5分</w:t>
                  </w:r>
                </w:p>
              </w:tc>
              <w:tc>
                <w:tcPr>
                  <w:tcW w:type="dxa" w:w="64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16"/>
                  <w:vMerge/>
                  <w:tcBorders>
                    <w:top w:val="none" w:color="000000" w:sz="4"/>
                    <w:left w:val="single" w:color="000000" w:sz="8"/>
                    <w:bottom w:val="single" w:color="000000" w:sz="8"/>
                    <w:right w:val="single" w:color="000000" w:sz="8"/>
                  </w:tcBorders>
                </w:tcPr>
                <w:p/>
              </w:tc>
              <w:tc>
                <w:tcPr>
                  <w:tcW w:type="dxa" w:w="230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2.3.5安全防范系统（技防）：</w:t>
                  </w:r>
                </w:p>
                <w:p>
                  <w:pPr>
                    <w:pStyle w:val="null3"/>
                    <w:spacing w:before="105" w:after="105"/>
                    <w:ind w:firstLine="480"/>
                    <w:jc w:val="both"/>
                  </w:pPr>
                  <w:r>
                    <w:rPr>
                      <w:rFonts w:ascii="仿宋_GB2312" w:hAnsi="仿宋_GB2312" w:cs="仿宋_GB2312" w:eastAsia="仿宋_GB2312"/>
                      <w:sz w:val="24"/>
                    </w:rPr>
                    <w:t>报警控制管理主机：每周检查3次，保障设备运行正常。</w:t>
                  </w:r>
                </w:p>
                <w:p>
                  <w:pPr>
                    <w:pStyle w:val="null3"/>
                    <w:spacing w:before="105" w:after="105"/>
                    <w:ind w:firstLine="480"/>
                    <w:jc w:val="both"/>
                  </w:pPr>
                  <w:r>
                    <w:rPr>
                      <w:rFonts w:ascii="仿宋_GB2312" w:hAnsi="仿宋_GB2312" w:cs="仿宋_GB2312" w:eastAsia="仿宋_GB2312"/>
                      <w:sz w:val="24"/>
                    </w:rPr>
                    <w:t>红外对射探测器：每半月做运行状态测试1次，保障设备运行正常。</w:t>
                  </w:r>
                </w:p>
                <w:p>
                  <w:pPr>
                    <w:pStyle w:val="null3"/>
                    <w:spacing w:before="105" w:after="105"/>
                    <w:ind w:firstLine="480"/>
                    <w:jc w:val="both"/>
                  </w:pPr>
                  <w:r>
                    <w:rPr>
                      <w:rFonts w:ascii="仿宋_GB2312" w:hAnsi="仿宋_GB2312" w:cs="仿宋_GB2312" w:eastAsia="仿宋_GB2312"/>
                      <w:sz w:val="24"/>
                    </w:rPr>
                    <w:t>图像采集设备：每周检查1次监视画面效果、录像、图像保存等功能，保障设备运行正常。</w:t>
                  </w:r>
                </w:p>
                <w:p>
                  <w:pPr>
                    <w:pStyle w:val="null3"/>
                    <w:spacing w:before="105" w:after="105"/>
                    <w:ind w:firstLine="480"/>
                    <w:jc w:val="both"/>
                  </w:pPr>
                  <w:r>
                    <w:rPr>
                      <w:rFonts w:ascii="仿宋_GB2312" w:hAnsi="仿宋_GB2312" w:cs="仿宋_GB2312" w:eastAsia="仿宋_GB2312"/>
                      <w:sz w:val="24"/>
                    </w:rPr>
                    <w:t>摄像头：每季度检查1次聚焦、清晰度、红外夜视、遮挡物、镜头清洁等情况，进行相应调校。</w:t>
                  </w:r>
                </w:p>
                <w:p>
                  <w:pPr>
                    <w:pStyle w:val="null3"/>
                    <w:spacing w:before="105" w:after="105"/>
                    <w:ind w:firstLine="480"/>
                    <w:jc w:val="both"/>
                  </w:pPr>
                  <w:r>
                    <w:rPr>
                      <w:rFonts w:ascii="仿宋_GB2312" w:hAnsi="仿宋_GB2312" w:cs="仿宋_GB2312" w:eastAsia="仿宋_GB2312"/>
                      <w:sz w:val="24"/>
                    </w:rPr>
                    <w:t>门禁管理设备：每月检查1次，保障设备运行正常。</w:t>
                  </w:r>
                </w:p>
                <w:p>
                  <w:pPr>
                    <w:pStyle w:val="null3"/>
                    <w:spacing w:before="105" w:after="105"/>
                    <w:ind w:firstLine="480"/>
                    <w:jc w:val="both"/>
                  </w:pPr>
                  <w:r>
                    <w:rPr>
                      <w:rFonts w:ascii="仿宋_GB2312" w:hAnsi="仿宋_GB2312" w:cs="仿宋_GB2312" w:eastAsia="仿宋_GB2312"/>
                      <w:sz w:val="24"/>
                    </w:rPr>
                    <w:t>技防设施设备出现运行不正常和损坏等问题，应立即进行维修。</w:t>
                  </w:r>
                </w:p>
              </w:tc>
              <w:tc>
                <w:tcPr>
                  <w:tcW w:type="dxa" w:w="647"/>
                  <w:vMerge/>
                  <w:tcBorders>
                    <w:top w:val="none" w:color="000000" w:sz="4"/>
                    <w:left w:val="none" w:color="000000" w:sz="4"/>
                    <w:bottom w:val="single" w:color="000000" w:sz="8"/>
                    <w:right w:val="single" w:color="000000" w:sz="8"/>
                  </w:tcBorders>
                </w:tcPr>
                <w:p/>
              </w:tc>
              <w:tc>
                <w:tcPr>
                  <w:tcW w:type="dxa" w:w="11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1.5分</w:t>
                  </w:r>
                </w:p>
              </w:tc>
              <w:tc>
                <w:tcPr>
                  <w:tcW w:type="dxa" w:w="64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16"/>
                  <w:vMerge/>
                  <w:tcBorders>
                    <w:top w:val="none" w:color="000000" w:sz="4"/>
                    <w:left w:val="single" w:color="000000" w:sz="8"/>
                    <w:bottom w:val="single" w:color="000000" w:sz="8"/>
                    <w:right w:val="single" w:color="000000" w:sz="8"/>
                  </w:tcBorders>
                </w:tcPr>
                <w:p/>
              </w:tc>
              <w:tc>
                <w:tcPr>
                  <w:tcW w:type="dxa" w:w="230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2.3.6消防：</w:t>
                  </w:r>
                </w:p>
                <w:p>
                  <w:pPr>
                    <w:pStyle w:val="null3"/>
                    <w:spacing w:before="105" w:after="105"/>
                    <w:ind w:firstLine="480"/>
                    <w:jc w:val="left"/>
                  </w:pPr>
                  <w:r>
                    <w:rPr>
                      <w:rFonts w:ascii="仿宋_GB2312" w:hAnsi="仿宋_GB2312" w:cs="仿宋_GB2312" w:eastAsia="仿宋_GB2312"/>
                      <w:sz w:val="24"/>
                    </w:rPr>
                    <w:t>消防设施设备完好，可随时启用；保持消防通道畅通。</w:t>
                  </w:r>
                </w:p>
                <w:p>
                  <w:pPr>
                    <w:pStyle w:val="null3"/>
                    <w:spacing w:before="105" w:after="105"/>
                    <w:ind w:firstLine="480"/>
                    <w:jc w:val="left"/>
                  </w:pPr>
                  <w:r>
                    <w:rPr>
                      <w:rFonts w:ascii="仿宋_GB2312" w:hAnsi="仿宋_GB2312" w:cs="仿宋_GB2312" w:eastAsia="仿宋_GB2312"/>
                      <w:sz w:val="24"/>
                    </w:rPr>
                    <w:t>在出入口、电梯口、防火门等醒目位置有提示火灾危险性、安全逃生路线、安全出口、消防设施器材使用方法的明显标志和警示标语、安全疏散路线指导图。</w:t>
                  </w:r>
                </w:p>
                <w:p>
                  <w:pPr>
                    <w:pStyle w:val="null3"/>
                    <w:spacing w:before="105" w:after="105"/>
                    <w:ind w:firstLine="480"/>
                    <w:jc w:val="left"/>
                  </w:pPr>
                  <w:r>
                    <w:rPr>
                      <w:rFonts w:ascii="仿宋_GB2312" w:hAnsi="仿宋_GB2312" w:cs="仿宋_GB2312" w:eastAsia="仿宋_GB2312"/>
                      <w:sz w:val="24"/>
                    </w:rPr>
                    <w:t>有消防安全责任制，明确各级岗位的消防安全职责。</w:t>
                  </w:r>
                </w:p>
                <w:p>
                  <w:pPr>
                    <w:pStyle w:val="null3"/>
                    <w:spacing w:before="105" w:after="105"/>
                    <w:ind w:firstLine="480"/>
                    <w:jc w:val="left"/>
                  </w:pPr>
                  <w:r>
                    <w:rPr>
                      <w:rFonts w:ascii="仿宋_GB2312" w:hAnsi="仿宋_GB2312" w:cs="仿宋_GB2312" w:eastAsia="仿宋_GB2312"/>
                      <w:sz w:val="24"/>
                    </w:rPr>
                    <w:t>有灭火和应急疏散预案，有义务消防队，配备必要的消防器材，相关人员掌握消防基本知识和技能；每年至少组织2 次有员工、业主或使用人参加的消防演练。</w:t>
                  </w:r>
                </w:p>
              </w:tc>
              <w:tc>
                <w:tcPr>
                  <w:tcW w:type="dxa" w:w="647"/>
                  <w:vMerge/>
                  <w:tcBorders>
                    <w:top w:val="none" w:color="000000" w:sz="4"/>
                    <w:left w:val="none" w:color="000000" w:sz="4"/>
                    <w:bottom w:val="single" w:color="000000" w:sz="8"/>
                    <w:right w:val="single" w:color="000000" w:sz="8"/>
                  </w:tcBorders>
                </w:tcPr>
                <w:p/>
              </w:tc>
              <w:tc>
                <w:tcPr>
                  <w:tcW w:type="dxa" w:w="11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1.5分</w:t>
                  </w:r>
                </w:p>
              </w:tc>
              <w:tc>
                <w:tcPr>
                  <w:tcW w:type="dxa" w:w="64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16"/>
                  <w:vMerge/>
                  <w:tcBorders>
                    <w:top w:val="none" w:color="000000" w:sz="4"/>
                    <w:left w:val="single" w:color="000000" w:sz="8"/>
                    <w:bottom w:val="single" w:color="000000" w:sz="8"/>
                    <w:right w:val="single" w:color="000000" w:sz="8"/>
                  </w:tcBorders>
                </w:tcPr>
                <w:p/>
              </w:tc>
              <w:tc>
                <w:tcPr>
                  <w:tcW w:type="dxa" w:w="230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2.3.7发现消防安全违法行为和火灾隐患，立即纠正、排除；无法立即纠正、排除的，应向公安机关消防机构报告。</w:t>
                  </w:r>
                </w:p>
                <w:p>
                  <w:pPr>
                    <w:pStyle w:val="null3"/>
                    <w:spacing w:before="105" w:after="105"/>
                    <w:ind w:firstLine="480"/>
                    <w:jc w:val="both"/>
                  </w:pPr>
                  <w:r>
                    <w:rPr>
                      <w:rFonts w:ascii="仿宋_GB2312" w:hAnsi="仿宋_GB2312" w:cs="仿宋_GB2312" w:eastAsia="仿宋_GB2312"/>
                      <w:sz w:val="24"/>
                    </w:rPr>
                    <w:t>消防控制室设24 小时值班，及时处理各类报警、故障信息。</w:t>
                  </w:r>
                </w:p>
                <w:p>
                  <w:pPr>
                    <w:pStyle w:val="null3"/>
                    <w:spacing w:before="105" w:after="105"/>
                    <w:ind w:firstLine="480"/>
                    <w:jc w:val="both"/>
                  </w:pPr>
                  <w:r>
                    <w:rPr>
                      <w:rFonts w:ascii="仿宋_GB2312" w:hAnsi="仿宋_GB2312" w:cs="仿宋_GB2312" w:eastAsia="仿宋_GB2312"/>
                      <w:sz w:val="24"/>
                    </w:rPr>
                    <w:t>发生火情立即报警，组织扑救初起火灾，疏散遇险人员，协助配合公安机关消防机构工作。</w:t>
                  </w:r>
                </w:p>
              </w:tc>
              <w:tc>
                <w:tcPr>
                  <w:tcW w:type="dxa" w:w="647"/>
                  <w:vMerge/>
                  <w:tcBorders>
                    <w:top w:val="none" w:color="000000" w:sz="4"/>
                    <w:left w:val="none" w:color="000000" w:sz="4"/>
                    <w:bottom w:val="single" w:color="000000" w:sz="8"/>
                    <w:right w:val="single" w:color="000000" w:sz="8"/>
                  </w:tcBorders>
                </w:tcPr>
                <w:p/>
              </w:tc>
              <w:tc>
                <w:tcPr>
                  <w:tcW w:type="dxa" w:w="11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1.5分</w:t>
                  </w:r>
                </w:p>
              </w:tc>
              <w:tc>
                <w:tcPr>
                  <w:tcW w:type="dxa" w:w="64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16"/>
                  <w:vMerge/>
                  <w:tcBorders>
                    <w:top w:val="none" w:color="000000" w:sz="4"/>
                    <w:left w:val="single" w:color="000000" w:sz="8"/>
                    <w:bottom w:val="single" w:color="000000" w:sz="8"/>
                    <w:right w:val="single" w:color="000000" w:sz="8"/>
                  </w:tcBorders>
                </w:tcPr>
                <w:p/>
              </w:tc>
              <w:tc>
                <w:tcPr>
                  <w:tcW w:type="dxa" w:w="230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2.3.8 与有资质的消防维保单位签订消防维保合同，约定消防维保的内容、要求、频次、期限以及双方的权利、义务与责任。</w:t>
                  </w:r>
                </w:p>
                <w:p>
                  <w:pPr>
                    <w:pStyle w:val="null3"/>
                    <w:spacing w:before="105" w:after="105"/>
                    <w:ind w:firstLine="480"/>
                    <w:jc w:val="both"/>
                  </w:pPr>
                  <w:r>
                    <w:rPr>
                      <w:rFonts w:ascii="仿宋_GB2312" w:hAnsi="仿宋_GB2312" w:cs="仿宋_GB2312" w:eastAsia="仿宋_GB2312"/>
                      <w:sz w:val="24"/>
                    </w:rPr>
                    <w:t>有消防安全管理制度，每年对员工进行至少2次消防安全培训。每年对业主至少有2次消防安全宣传教育，可采用宣传栏、横幅、讲座等形式。</w:t>
                  </w:r>
                </w:p>
              </w:tc>
              <w:tc>
                <w:tcPr>
                  <w:tcW w:type="dxa" w:w="647"/>
                  <w:vMerge/>
                  <w:tcBorders>
                    <w:top w:val="none" w:color="000000" w:sz="4"/>
                    <w:left w:val="none" w:color="000000" w:sz="4"/>
                    <w:bottom w:val="single" w:color="000000" w:sz="8"/>
                    <w:right w:val="single" w:color="000000" w:sz="8"/>
                  </w:tcBorders>
                </w:tcPr>
                <w:p/>
              </w:tc>
              <w:tc>
                <w:tcPr>
                  <w:tcW w:type="dxa" w:w="11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ind w:firstLine="480"/>
                    <w:jc w:val="both"/>
                  </w:pPr>
                  <w:r>
                    <w:rPr>
                      <w:rFonts w:ascii="仿宋_GB2312" w:hAnsi="仿宋_GB2312" w:cs="仿宋_GB2312" w:eastAsia="仿宋_GB2312"/>
                      <w:sz w:val="24"/>
                    </w:rPr>
                    <w:t>2分</w:t>
                  </w:r>
                </w:p>
              </w:tc>
              <w:tc>
                <w:tcPr>
                  <w:tcW w:type="dxa" w:w="64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16"/>
                  <w:vMerge/>
                  <w:tcBorders>
                    <w:top w:val="none" w:color="000000" w:sz="4"/>
                    <w:left w:val="single" w:color="000000" w:sz="8"/>
                    <w:bottom w:val="single" w:color="000000" w:sz="8"/>
                    <w:right w:val="single" w:color="000000" w:sz="8"/>
                  </w:tcBorders>
                </w:tcPr>
                <w:p/>
              </w:tc>
              <w:tc>
                <w:tcPr>
                  <w:tcW w:type="dxa" w:w="230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2.3.9电梯每年进行1次定期检验；电梯检验有效期届满前1个月，应向电梯检验检测机构提出定期检验申请。</w:t>
                  </w:r>
                </w:p>
                <w:p>
                  <w:pPr>
                    <w:pStyle w:val="null3"/>
                    <w:spacing w:before="105" w:after="105"/>
                    <w:ind w:firstLine="480"/>
                    <w:jc w:val="both"/>
                  </w:pPr>
                  <w:r>
                    <w:rPr>
                      <w:rFonts w:ascii="仿宋_GB2312" w:hAnsi="仿宋_GB2312" w:cs="仿宋_GB2312" w:eastAsia="仿宋_GB2312"/>
                      <w:sz w:val="24"/>
                    </w:rPr>
                    <w:t>在电梯轿厢内或者出入口的明显位置张贴有效的电梯检验标志、电梯使用的安全注意事项和警示标志、使用管理单位名称和维保单位名称及其急修、救援、投诉电话。</w:t>
                  </w:r>
                </w:p>
                <w:p>
                  <w:pPr>
                    <w:pStyle w:val="null3"/>
                    <w:spacing w:before="105" w:after="105"/>
                    <w:ind w:firstLine="480"/>
                    <w:jc w:val="both"/>
                  </w:pPr>
                  <w:r>
                    <w:rPr>
                      <w:rFonts w:ascii="仿宋_GB2312" w:hAnsi="仿宋_GB2312" w:cs="仿宋_GB2312" w:eastAsia="仿宋_GB2312"/>
                      <w:sz w:val="24"/>
                    </w:rPr>
                    <w:t>有以岗位责任制为核心的电梯使用安全管理制度。</w:t>
                  </w:r>
                </w:p>
                <w:p>
                  <w:pPr>
                    <w:pStyle w:val="null3"/>
                    <w:spacing w:before="105" w:after="105"/>
                    <w:ind w:firstLine="480"/>
                    <w:jc w:val="both"/>
                  </w:pPr>
                  <w:r>
                    <w:rPr>
                      <w:rFonts w:ascii="仿宋_GB2312" w:hAnsi="仿宋_GB2312" w:cs="仿宋_GB2312" w:eastAsia="仿宋_GB2312"/>
                      <w:sz w:val="24"/>
                    </w:rPr>
                    <w:t>电梯紧急报警装置能随时与值班人员取得有效联系。</w:t>
                  </w:r>
                </w:p>
                <w:p>
                  <w:pPr>
                    <w:pStyle w:val="null3"/>
                    <w:spacing w:before="105" w:after="105"/>
                    <w:ind w:firstLine="480"/>
                    <w:jc w:val="both"/>
                  </w:pPr>
                  <w:r>
                    <w:rPr>
                      <w:rFonts w:ascii="仿宋_GB2312" w:hAnsi="仿宋_GB2312" w:cs="仿宋_GB2312" w:eastAsia="仿宋_GB2312"/>
                      <w:sz w:val="24"/>
                    </w:rPr>
                    <w:t>日常维护保养和定期检查中发现的问题应及时组织排除。</w:t>
                  </w:r>
                </w:p>
                <w:p>
                  <w:pPr>
                    <w:pStyle w:val="null3"/>
                    <w:spacing w:before="105" w:after="105"/>
                    <w:ind w:firstLine="480"/>
                    <w:jc w:val="both"/>
                  </w:pPr>
                  <w:r>
                    <w:rPr>
                      <w:rFonts w:ascii="仿宋_GB2312" w:hAnsi="仿宋_GB2312" w:cs="仿宋_GB2312" w:eastAsia="仿宋_GB2312"/>
                      <w:sz w:val="24"/>
                    </w:rPr>
                    <w:t>与有相应有效资质的电梯维保单位签订电梯维保合同。</w:t>
                  </w:r>
                </w:p>
                <w:p>
                  <w:pPr>
                    <w:pStyle w:val="null3"/>
                    <w:spacing w:before="105" w:after="105"/>
                    <w:ind w:firstLine="480"/>
                    <w:jc w:val="both"/>
                  </w:pPr>
                  <w:r>
                    <w:rPr>
                      <w:rFonts w:ascii="仿宋_GB2312" w:hAnsi="仿宋_GB2312" w:cs="仿宋_GB2312" w:eastAsia="仿宋_GB2312"/>
                      <w:sz w:val="24"/>
                    </w:rPr>
                    <w:t>配备至少1名取得特种设备作业人员证的电梯安全管理人员。</w:t>
                  </w:r>
                </w:p>
                <w:p>
                  <w:pPr>
                    <w:pStyle w:val="null3"/>
                    <w:spacing w:before="105" w:after="105"/>
                    <w:ind w:firstLine="480"/>
                    <w:jc w:val="both"/>
                  </w:pPr>
                  <w:r>
                    <w:rPr>
                      <w:rFonts w:ascii="仿宋_GB2312" w:hAnsi="仿宋_GB2312" w:cs="仿宋_GB2312" w:eastAsia="仿宋_GB2312"/>
                      <w:sz w:val="24"/>
                    </w:rPr>
                    <w:t>每日至少检查1次电梯安全状况。每年至少对电梯安全管理人员进行1次特种设备安全培训。</w:t>
                  </w:r>
                </w:p>
                <w:p>
                  <w:pPr>
                    <w:pStyle w:val="null3"/>
                    <w:spacing w:before="105" w:after="105"/>
                    <w:ind w:firstLine="480"/>
                    <w:jc w:val="both"/>
                  </w:pPr>
                  <w:r>
                    <w:rPr>
                      <w:rFonts w:ascii="仿宋_GB2312" w:hAnsi="仿宋_GB2312" w:cs="仿宋_GB2312" w:eastAsia="仿宋_GB2312"/>
                      <w:sz w:val="24"/>
                    </w:rPr>
                    <w:t>有电梯突发事件或者事故的应急措施与救援预案，并每年演练1次。发生电梯困人时应及时采取措施。</w:t>
                  </w:r>
                </w:p>
                <w:p>
                  <w:pPr>
                    <w:pStyle w:val="null3"/>
                    <w:spacing w:before="105" w:after="105"/>
                    <w:ind w:firstLine="480"/>
                    <w:jc w:val="both"/>
                  </w:pPr>
                  <w:r>
                    <w:rPr>
                      <w:rFonts w:ascii="仿宋_GB2312" w:hAnsi="仿宋_GB2312" w:cs="仿宋_GB2312" w:eastAsia="仿宋_GB2312"/>
                      <w:sz w:val="24"/>
                    </w:rPr>
                    <w:t>物业服务人员应在20分钟内到达现场。</w:t>
                  </w:r>
                </w:p>
              </w:tc>
              <w:tc>
                <w:tcPr>
                  <w:tcW w:type="dxa" w:w="647"/>
                  <w:vMerge/>
                  <w:tcBorders>
                    <w:top w:val="none" w:color="000000" w:sz="4"/>
                    <w:left w:val="none" w:color="000000" w:sz="4"/>
                    <w:bottom w:val="single" w:color="000000" w:sz="8"/>
                    <w:right w:val="single" w:color="000000" w:sz="8"/>
                  </w:tcBorders>
                </w:tcPr>
                <w:p/>
              </w:tc>
              <w:tc>
                <w:tcPr>
                  <w:tcW w:type="dxa" w:w="11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3分</w:t>
                  </w:r>
                </w:p>
              </w:tc>
              <w:tc>
                <w:tcPr>
                  <w:tcW w:type="dxa" w:w="64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16"/>
                  <w:vMerge/>
                  <w:tcBorders>
                    <w:top w:val="none" w:color="000000" w:sz="4"/>
                    <w:left w:val="single" w:color="000000" w:sz="8"/>
                    <w:bottom w:val="single" w:color="000000" w:sz="8"/>
                    <w:right w:val="single" w:color="000000" w:sz="8"/>
                  </w:tcBorders>
                </w:tcPr>
                <w:p/>
              </w:tc>
              <w:tc>
                <w:tcPr>
                  <w:tcW w:type="dxa" w:w="230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2.3.10防雷系统：</w:t>
                  </w:r>
                </w:p>
                <w:p>
                  <w:pPr>
                    <w:pStyle w:val="null3"/>
                    <w:spacing w:before="105" w:after="105"/>
                    <w:ind w:firstLine="480"/>
                    <w:jc w:val="both"/>
                  </w:pPr>
                  <w:r>
                    <w:rPr>
                      <w:rFonts w:ascii="仿宋_GB2312" w:hAnsi="仿宋_GB2312" w:cs="仿宋_GB2312" w:eastAsia="仿宋_GB2312"/>
                      <w:sz w:val="24"/>
                    </w:rPr>
                    <w:t>每年检测1次建筑物防雷装置(接闪杆、接闪带、接闪线、接闪网和电涌保护器)，做好报告存档。</w:t>
                  </w:r>
                </w:p>
              </w:tc>
              <w:tc>
                <w:tcPr>
                  <w:tcW w:type="dxa" w:w="647"/>
                  <w:vMerge/>
                  <w:tcBorders>
                    <w:top w:val="none" w:color="000000" w:sz="4"/>
                    <w:left w:val="none" w:color="000000" w:sz="4"/>
                    <w:bottom w:val="single" w:color="000000" w:sz="8"/>
                    <w:right w:val="single" w:color="000000" w:sz="8"/>
                  </w:tcBorders>
                </w:tcPr>
                <w:p/>
              </w:tc>
              <w:tc>
                <w:tcPr>
                  <w:tcW w:type="dxa" w:w="11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64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16"/>
                  <w:vMerge/>
                  <w:tcBorders>
                    <w:top w:val="none" w:color="000000" w:sz="4"/>
                    <w:left w:val="single" w:color="000000" w:sz="8"/>
                    <w:bottom w:val="single" w:color="000000" w:sz="8"/>
                    <w:right w:val="single" w:color="000000" w:sz="8"/>
                  </w:tcBorders>
                </w:tcPr>
                <w:p/>
              </w:tc>
              <w:tc>
                <w:tcPr>
                  <w:tcW w:type="dxa" w:w="230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2.3.11游乐设施：</w:t>
                  </w:r>
                </w:p>
                <w:p>
                  <w:pPr>
                    <w:pStyle w:val="null3"/>
                    <w:spacing w:before="105" w:after="105"/>
                    <w:ind w:firstLine="480"/>
                    <w:jc w:val="both"/>
                  </w:pPr>
                  <w:r>
                    <w:rPr>
                      <w:rFonts w:ascii="仿宋_GB2312" w:hAnsi="仿宋_GB2312" w:cs="仿宋_GB2312" w:eastAsia="仿宋_GB2312"/>
                      <w:sz w:val="24"/>
                    </w:rPr>
                    <w:t>每日巡查1次游乐设施，确保无安全隐患。</w:t>
                  </w:r>
                </w:p>
              </w:tc>
              <w:tc>
                <w:tcPr>
                  <w:tcW w:type="dxa" w:w="64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c>
                <w:tcPr>
                  <w:tcW w:type="dxa" w:w="11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1分</w:t>
                  </w:r>
                </w:p>
              </w:tc>
              <w:tc>
                <w:tcPr>
                  <w:tcW w:type="dxa" w:w="64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bl>
          <w:p>
            <w:pPr>
              <w:pStyle w:val="null3"/>
              <w:jc w:val="center"/>
            </w:pPr>
            <w:r>
              <w:rPr>
                <w:rFonts w:ascii="仿宋_GB2312" w:hAnsi="仿宋_GB2312" w:cs="仿宋_GB2312" w:eastAsia="仿宋_GB2312"/>
                <w:sz w:val="24"/>
                <w:b/>
              </w:rPr>
              <w:t>3、装饰装修管理</w:t>
            </w:r>
          </w:p>
          <w:tbl>
            <w:tblPr>
              <w:tblInd w:type="dxa" w:w="30"/>
              <w:tblBorders>
                <w:top w:val="none" w:color="000000" w:sz="4"/>
                <w:left w:val="none" w:color="000000" w:sz="4"/>
                <w:bottom w:val="none" w:color="000000" w:sz="4"/>
                <w:right w:val="none" w:color="000000" w:sz="4"/>
                <w:insideH w:val="none"/>
                <w:insideV w:val="none"/>
              </w:tblBorders>
            </w:tblPr>
            <w:tblGrid>
              <w:gridCol w:w="739"/>
              <w:gridCol w:w="2629"/>
              <w:gridCol w:w="739"/>
              <w:gridCol w:w="739"/>
              <w:gridCol w:w="739"/>
            </w:tblGrid>
            <w:tr>
              <w:tc>
                <w:tcPr>
                  <w:tcW w:type="dxa" w:w="73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rPr>
                    <w:t>服务内容</w:t>
                  </w:r>
                </w:p>
              </w:tc>
              <w:tc>
                <w:tcPr>
                  <w:tcW w:type="dxa" w:w="262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ind w:firstLine="480"/>
                    <w:jc w:val="center"/>
                  </w:pPr>
                  <w:r>
                    <w:rPr>
                      <w:rFonts w:ascii="仿宋_GB2312" w:hAnsi="仿宋_GB2312" w:cs="仿宋_GB2312" w:eastAsia="仿宋_GB2312"/>
                      <w:sz w:val="24"/>
                    </w:rPr>
                    <w:t>服务标准</w:t>
                  </w:r>
                </w:p>
              </w:tc>
              <w:tc>
                <w:tcPr>
                  <w:tcW w:type="dxa" w:w="73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rPr>
                    <w:t>标准分值</w:t>
                  </w:r>
                </w:p>
              </w:tc>
              <w:tc>
                <w:tcPr>
                  <w:tcW w:type="dxa" w:w="73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rPr>
                    <w:t>单项分值</w:t>
                  </w:r>
                </w:p>
              </w:tc>
              <w:tc>
                <w:tcPr>
                  <w:tcW w:type="dxa" w:w="73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rPr>
                    <w:t>考评得分</w:t>
                  </w:r>
                </w:p>
              </w:tc>
            </w:tr>
            <w:tr>
              <w:tc>
                <w:tcPr>
                  <w:tcW w:type="dxa" w:w="739"/>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3.装饰装修管理</w:t>
                  </w:r>
                </w:p>
              </w:tc>
              <w:tc>
                <w:tcPr>
                  <w:tcW w:type="dxa" w:w="26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ind w:firstLine="480"/>
                    <w:jc w:val="left"/>
                  </w:pPr>
                  <w:r>
                    <w:rPr>
                      <w:rFonts w:ascii="仿宋_GB2312" w:hAnsi="仿宋_GB2312" w:cs="仿宋_GB2312" w:eastAsia="仿宋_GB2312"/>
                      <w:sz w:val="24"/>
                    </w:rPr>
                    <w:t>3.1有装饰装修管理服务制度</w:t>
                  </w:r>
                </w:p>
              </w:tc>
              <w:tc>
                <w:tcPr>
                  <w:tcW w:type="dxa" w:w="739"/>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5分</w:t>
                  </w:r>
                </w:p>
              </w:tc>
              <w:tc>
                <w:tcPr>
                  <w:tcW w:type="dxa" w:w="73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73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739"/>
                  <w:vMerge/>
                  <w:tcBorders>
                    <w:top w:val="none" w:color="000000" w:sz="4"/>
                    <w:left w:val="single" w:color="000000" w:sz="8"/>
                    <w:bottom w:val="single" w:color="000000" w:sz="8"/>
                    <w:right w:val="single" w:color="000000" w:sz="8"/>
                  </w:tcBorders>
                </w:tcPr>
                <w:p/>
              </w:tc>
              <w:tc>
                <w:tcPr>
                  <w:tcW w:type="dxa" w:w="26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3.2.有装饰装修管理档案</w:t>
                  </w:r>
                </w:p>
              </w:tc>
              <w:tc>
                <w:tcPr>
                  <w:tcW w:type="dxa" w:w="739"/>
                  <w:vMerge/>
                  <w:tcBorders>
                    <w:top w:val="none" w:color="000000" w:sz="4"/>
                    <w:left w:val="none" w:color="000000" w:sz="4"/>
                    <w:bottom w:val="single" w:color="000000" w:sz="8"/>
                    <w:right w:val="single" w:color="000000" w:sz="8"/>
                  </w:tcBorders>
                </w:tcPr>
                <w:p/>
              </w:tc>
              <w:tc>
                <w:tcPr>
                  <w:tcW w:type="dxa" w:w="73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73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739"/>
                  <w:vMerge/>
                  <w:tcBorders>
                    <w:top w:val="none" w:color="000000" w:sz="4"/>
                    <w:left w:val="single" w:color="000000" w:sz="8"/>
                    <w:bottom w:val="single" w:color="000000" w:sz="8"/>
                    <w:right w:val="single" w:color="000000" w:sz="8"/>
                  </w:tcBorders>
                </w:tcPr>
                <w:p/>
              </w:tc>
              <w:tc>
                <w:tcPr>
                  <w:tcW w:type="dxa" w:w="26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3.3与业主或使用人、装饰装修企业签订住宅室内装饰装修管理服务协议，告知业主或使用人在装饰装修工程中的禁止行为和注意事项。</w:t>
                  </w:r>
                </w:p>
              </w:tc>
              <w:tc>
                <w:tcPr>
                  <w:tcW w:type="dxa" w:w="739"/>
                  <w:vMerge/>
                  <w:tcBorders>
                    <w:top w:val="none" w:color="000000" w:sz="4"/>
                    <w:left w:val="none" w:color="000000" w:sz="4"/>
                    <w:bottom w:val="single" w:color="000000" w:sz="8"/>
                    <w:right w:val="single" w:color="000000" w:sz="8"/>
                  </w:tcBorders>
                </w:tcPr>
                <w:p/>
              </w:tc>
              <w:tc>
                <w:tcPr>
                  <w:tcW w:type="dxa" w:w="73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73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739"/>
                  <w:vMerge/>
                  <w:tcBorders>
                    <w:top w:val="none" w:color="000000" w:sz="4"/>
                    <w:left w:val="single" w:color="000000" w:sz="8"/>
                    <w:bottom w:val="single" w:color="000000" w:sz="8"/>
                    <w:right w:val="single" w:color="000000" w:sz="8"/>
                  </w:tcBorders>
                </w:tcPr>
                <w:p/>
              </w:tc>
              <w:tc>
                <w:tcPr>
                  <w:tcW w:type="dxa" w:w="26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3.3装饰装修期间每日巡查1 次现场，发现业主或使用人未申报登记或者有违法违规行为的，应立即劝阻；拒不改正的，报告相关行政主管部门。</w:t>
                  </w:r>
                </w:p>
              </w:tc>
              <w:tc>
                <w:tcPr>
                  <w:tcW w:type="dxa" w:w="739"/>
                  <w:vMerge/>
                  <w:tcBorders>
                    <w:top w:val="none" w:color="000000" w:sz="4"/>
                    <w:left w:val="none" w:color="000000" w:sz="4"/>
                    <w:bottom w:val="single" w:color="000000" w:sz="8"/>
                    <w:right w:val="single" w:color="000000" w:sz="8"/>
                  </w:tcBorders>
                </w:tcPr>
                <w:p/>
              </w:tc>
              <w:tc>
                <w:tcPr>
                  <w:tcW w:type="dxa" w:w="73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73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739"/>
                  <w:vMerge/>
                  <w:tcBorders>
                    <w:top w:val="none" w:color="000000" w:sz="4"/>
                    <w:left w:val="single" w:color="000000" w:sz="8"/>
                    <w:bottom w:val="single" w:color="000000" w:sz="8"/>
                    <w:right w:val="single" w:color="000000" w:sz="8"/>
                  </w:tcBorders>
                </w:tcPr>
                <w:p/>
              </w:tc>
              <w:tc>
                <w:tcPr>
                  <w:tcW w:type="dxa" w:w="26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3.4委托清运装修垃圾的，应在指定地点临时堆放，在一周内清运，自行清运装修垃圾的，应采用袋装运输或密闭运输的方式清运。</w:t>
                  </w:r>
                </w:p>
              </w:tc>
              <w:tc>
                <w:tcPr>
                  <w:tcW w:type="dxa" w:w="739"/>
                  <w:vMerge/>
                  <w:tcBorders>
                    <w:top w:val="none" w:color="000000" w:sz="4"/>
                    <w:left w:val="none" w:color="000000" w:sz="4"/>
                    <w:bottom w:val="single" w:color="000000" w:sz="8"/>
                    <w:right w:val="single" w:color="000000" w:sz="8"/>
                  </w:tcBorders>
                </w:tcPr>
                <w:p/>
              </w:tc>
              <w:tc>
                <w:tcPr>
                  <w:tcW w:type="dxa" w:w="73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73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bl>
          <w:p>
            <w:pPr>
              <w:pStyle w:val="null3"/>
              <w:jc w:val="center"/>
            </w:pPr>
            <w:r>
              <w:rPr>
                <w:rFonts w:ascii="仿宋_GB2312" w:hAnsi="仿宋_GB2312" w:cs="仿宋_GB2312" w:eastAsia="仿宋_GB2312"/>
                <w:sz w:val="24"/>
                <w:b/>
              </w:rPr>
              <w:t>4、公共秩序维护</w:t>
            </w:r>
          </w:p>
          <w:tbl>
            <w:tblPr>
              <w:tblInd w:type="dxa" w:w="30"/>
              <w:tblBorders>
                <w:top w:val="none" w:color="000000" w:sz="4"/>
                <w:left w:val="none" w:color="000000" w:sz="4"/>
                <w:bottom w:val="none" w:color="000000" w:sz="4"/>
                <w:right w:val="none" w:color="000000" w:sz="4"/>
                <w:insideH w:val="none"/>
                <w:insideV w:val="none"/>
              </w:tblBorders>
            </w:tblPr>
            <w:tblGrid>
              <w:gridCol w:w="866"/>
              <w:gridCol w:w="2460"/>
              <w:gridCol w:w="687"/>
              <w:gridCol w:w="866"/>
              <w:gridCol w:w="687"/>
            </w:tblGrid>
            <w:tr>
              <w:tc>
                <w:tcPr>
                  <w:tcW w:type="dxa" w:w="86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rPr>
                    <w:t>服务内容</w:t>
                  </w:r>
                </w:p>
              </w:tc>
              <w:tc>
                <w:tcPr>
                  <w:tcW w:type="dxa" w:w="246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ind w:firstLine="480"/>
                    <w:jc w:val="center"/>
                  </w:pPr>
                  <w:r>
                    <w:rPr>
                      <w:rFonts w:ascii="仿宋_GB2312" w:hAnsi="仿宋_GB2312" w:cs="仿宋_GB2312" w:eastAsia="仿宋_GB2312"/>
                      <w:sz w:val="24"/>
                    </w:rPr>
                    <w:t>服务标准</w:t>
                  </w:r>
                </w:p>
              </w:tc>
              <w:tc>
                <w:tcPr>
                  <w:tcW w:type="dxa" w:w="68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rPr>
                    <w:t>标准分值</w:t>
                  </w:r>
                </w:p>
              </w:tc>
              <w:tc>
                <w:tcPr>
                  <w:tcW w:type="dxa" w:w="86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rPr>
                    <w:t>单项标准分值</w:t>
                  </w:r>
                </w:p>
              </w:tc>
              <w:tc>
                <w:tcPr>
                  <w:tcW w:type="dxa" w:w="68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rPr>
                    <w:t>考评得分</w:t>
                  </w:r>
                </w:p>
              </w:tc>
            </w:tr>
            <w:tr>
              <w:tc>
                <w:tcPr>
                  <w:tcW w:type="dxa" w:w="866"/>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4、公共秩序维护</w:t>
                  </w:r>
                </w:p>
              </w:tc>
              <w:tc>
                <w:tcPr>
                  <w:tcW w:type="dxa" w:w="246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ind w:firstLine="480"/>
                    <w:jc w:val="left"/>
                  </w:pPr>
                  <w:r>
                    <w:rPr>
                      <w:rFonts w:ascii="仿宋_GB2312" w:hAnsi="仿宋_GB2312" w:cs="仿宋_GB2312" w:eastAsia="仿宋_GB2312"/>
                      <w:sz w:val="24"/>
                    </w:rPr>
                    <w:t>4.1出入口有专人24小时值守</w:t>
                  </w:r>
                </w:p>
              </w:tc>
              <w:tc>
                <w:tcPr>
                  <w:tcW w:type="dxa" w:w="687"/>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15分</w:t>
                  </w:r>
                </w:p>
              </w:tc>
              <w:tc>
                <w:tcPr>
                  <w:tcW w:type="dxa" w:w="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1.5分</w:t>
                  </w:r>
                </w:p>
              </w:tc>
              <w:tc>
                <w:tcPr>
                  <w:tcW w:type="dxa" w:w="68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66"/>
                  <w:vMerge/>
                  <w:tcBorders>
                    <w:top w:val="none" w:color="000000" w:sz="4"/>
                    <w:left w:val="single" w:color="000000" w:sz="8"/>
                    <w:bottom w:val="single" w:color="000000" w:sz="8"/>
                    <w:right w:val="single" w:color="000000" w:sz="8"/>
                  </w:tcBorders>
                </w:tcPr>
                <w:p/>
              </w:tc>
              <w:tc>
                <w:tcPr>
                  <w:tcW w:type="dxa" w:w="246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4.2 对重点区域、重点部位每2小时巡查1次</w:t>
                  </w:r>
                </w:p>
              </w:tc>
              <w:tc>
                <w:tcPr>
                  <w:tcW w:type="dxa" w:w="687"/>
                  <w:vMerge/>
                  <w:tcBorders>
                    <w:top w:val="none" w:color="000000" w:sz="4"/>
                    <w:left w:val="none" w:color="000000" w:sz="4"/>
                    <w:bottom w:val="single" w:color="000000" w:sz="8"/>
                    <w:right w:val="single" w:color="000000" w:sz="8"/>
                  </w:tcBorders>
                </w:tcPr>
                <w:p/>
              </w:tc>
              <w:tc>
                <w:tcPr>
                  <w:tcW w:type="dxa" w:w="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1.5分</w:t>
                  </w:r>
                </w:p>
              </w:tc>
              <w:tc>
                <w:tcPr>
                  <w:tcW w:type="dxa" w:w="68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66"/>
                  <w:vMerge/>
                  <w:tcBorders>
                    <w:top w:val="none" w:color="000000" w:sz="4"/>
                    <w:left w:val="single" w:color="000000" w:sz="8"/>
                    <w:bottom w:val="single" w:color="000000" w:sz="8"/>
                    <w:right w:val="single" w:color="000000" w:sz="8"/>
                  </w:tcBorders>
                </w:tcPr>
                <w:p/>
              </w:tc>
              <w:tc>
                <w:tcPr>
                  <w:tcW w:type="dxa" w:w="246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4.3有外来人员管理制度，对来人来访进行询问登记</w:t>
                  </w:r>
                </w:p>
              </w:tc>
              <w:tc>
                <w:tcPr>
                  <w:tcW w:type="dxa" w:w="687"/>
                  <w:vMerge/>
                  <w:tcBorders>
                    <w:top w:val="none" w:color="000000" w:sz="4"/>
                    <w:left w:val="none" w:color="000000" w:sz="4"/>
                    <w:bottom w:val="single" w:color="000000" w:sz="8"/>
                    <w:right w:val="single" w:color="000000" w:sz="8"/>
                  </w:tcBorders>
                </w:tcPr>
                <w:p/>
              </w:tc>
              <w:tc>
                <w:tcPr>
                  <w:tcW w:type="dxa" w:w="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1.5分</w:t>
                  </w:r>
                </w:p>
              </w:tc>
              <w:tc>
                <w:tcPr>
                  <w:tcW w:type="dxa" w:w="68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66"/>
                  <w:vMerge/>
                  <w:tcBorders>
                    <w:top w:val="none" w:color="000000" w:sz="4"/>
                    <w:left w:val="single" w:color="000000" w:sz="8"/>
                    <w:bottom w:val="single" w:color="000000" w:sz="8"/>
                    <w:right w:val="single" w:color="000000" w:sz="8"/>
                  </w:tcBorders>
                </w:tcPr>
                <w:p/>
              </w:tc>
              <w:tc>
                <w:tcPr>
                  <w:tcW w:type="dxa" w:w="246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4.4 对机动车实行刷卡进出管理，车辆停放有序</w:t>
                  </w:r>
                </w:p>
              </w:tc>
              <w:tc>
                <w:tcPr>
                  <w:tcW w:type="dxa" w:w="687"/>
                  <w:vMerge/>
                  <w:tcBorders>
                    <w:top w:val="none" w:color="000000" w:sz="4"/>
                    <w:left w:val="none" w:color="000000" w:sz="4"/>
                    <w:bottom w:val="single" w:color="000000" w:sz="8"/>
                    <w:right w:val="single" w:color="000000" w:sz="8"/>
                  </w:tcBorders>
                </w:tcPr>
                <w:p/>
              </w:tc>
              <w:tc>
                <w:tcPr>
                  <w:tcW w:type="dxa" w:w="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1.5分</w:t>
                  </w:r>
                </w:p>
              </w:tc>
              <w:tc>
                <w:tcPr>
                  <w:tcW w:type="dxa" w:w="68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66"/>
                  <w:vMerge/>
                  <w:tcBorders>
                    <w:top w:val="none" w:color="000000" w:sz="4"/>
                    <w:left w:val="single" w:color="000000" w:sz="8"/>
                    <w:bottom w:val="single" w:color="000000" w:sz="8"/>
                    <w:right w:val="single" w:color="000000" w:sz="8"/>
                  </w:tcBorders>
                </w:tcPr>
                <w:p/>
              </w:tc>
              <w:tc>
                <w:tcPr>
                  <w:tcW w:type="dxa" w:w="246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4.5有大宗物品进出管理制度，实行大宗物品搬运进出登记管理</w:t>
                  </w:r>
                </w:p>
              </w:tc>
              <w:tc>
                <w:tcPr>
                  <w:tcW w:type="dxa" w:w="687"/>
                  <w:vMerge/>
                  <w:tcBorders>
                    <w:top w:val="none" w:color="000000" w:sz="4"/>
                    <w:left w:val="none" w:color="000000" w:sz="4"/>
                    <w:bottom w:val="single" w:color="000000" w:sz="8"/>
                    <w:right w:val="single" w:color="000000" w:sz="8"/>
                  </w:tcBorders>
                </w:tcPr>
                <w:p/>
              </w:tc>
              <w:tc>
                <w:tcPr>
                  <w:tcW w:type="dxa" w:w="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1.5分</w:t>
                  </w:r>
                </w:p>
              </w:tc>
              <w:tc>
                <w:tcPr>
                  <w:tcW w:type="dxa" w:w="68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66"/>
                  <w:vMerge/>
                  <w:tcBorders>
                    <w:top w:val="none" w:color="000000" w:sz="4"/>
                    <w:left w:val="single" w:color="000000" w:sz="8"/>
                    <w:bottom w:val="single" w:color="000000" w:sz="8"/>
                    <w:right w:val="single" w:color="000000" w:sz="8"/>
                  </w:tcBorders>
                </w:tcPr>
                <w:p/>
              </w:tc>
              <w:tc>
                <w:tcPr>
                  <w:tcW w:type="dxa" w:w="246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4.6安防控制室设专人24小时值守</w:t>
                  </w:r>
                </w:p>
              </w:tc>
              <w:tc>
                <w:tcPr>
                  <w:tcW w:type="dxa" w:w="687"/>
                  <w:vMerge/>
                  <w:tcBorders>
                    <w:top w:val="none" w:color="000000" w:sz="4"/>
                    <w:left w:val="none" w:color="000000" w:sz="4"/>
                    <w:bottom w:val="single" w:color="000000" w:sz="8"/>
                    <w:right w:val="single" w:color="000000" w:sz="8"/>
                  </w:tcBorders>
                </w:tcPr>
                <w:p/>
              </w:tc>
              <w:tc>
                <w:tcPr>
                  <w:tcW w:type="dxa" w:w="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1.5分</w:t>
                  </w:r>
                </w:p>
              </w:tc>
              <w:tc>
                <w:tcPr>
                  <w:tcW w:type="dxa" w:w="68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66"/>
                  <w:vMerge/>
                  <w:tcBorders>
                    <w:top w:val="none" w:color="000000" w:sz="4"/>
                    <w:left w:val="single" w:color="000000" w:sz="8"/>
                    <w:bottom w:val="single" w:color="000000" w:sz="8"/>
                    <w:right w:val="single" w:color="000000" w:sz="8"/>
                  </w:tcBorders>
                </w:tcPr>
                <w:p/>
              </w:tc>
              <w:tc>
                <w:tcPr>
                  <w:tcW w:type="dxa" w:w="246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4.7对违法犯罪行为立即报警，协助公安机关进行处理。</w:t>
                  </w:r>
                </w:p>
              </w:tc>
              <w:tc>
                <w:tcPr>
                  <w:tcW w:type="dxa" w:w="687"/>
                  <w:vMerge/>
                  <w:tcBorders>
                    <w:top w:val="none" w:color="000000" w:sz="4"/>
                    <w:left w:val="none" w:color="000000" w:sz="4"/>
                    <w:bottom w:val="single" w:color="000000" w:sz="8"/>
                    <w:right w:val="single" w:color="000000" w:sz="8"/>
                  </w:tcBorders>
                </w:tcPr>
                <w:p/>
              </w:tc>
              <w:tc>
                <w:tcPr>
                  <w:tcW w:type="dxa" w:w="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1.5分</w:t>
                  </w:r>
                </w:p>
              </w:tc>
              <w:tc>
                <w:tcPr>
                  <w:tcW w:type="dxa" w:w="68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66"/>
                  <w:vMerge/>
                  <w:tcBorders>
                    <w:top w:val="none" w:color="000000" w:sz="4"/>
                    <w:left w:val="single" w:color="000000" w:sz="8"/>
                    <w:bottom w:val="single" w:color="000000" w:sz="8"/>
                    <w:right w:val="single" w:color="000000" w:sz="8"/>
                  </w:tcBorders>
                </w:tcPr>
                <w:p/>
              </w:tc>
              <w:tc>
                <w:tcPr>
                  <w:tcW w:type="dxa" w:w="246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4.8对秩序维护人员必须进行相关法律法规及岗位流程培训后方能上岗，每半年组织物管人员和保安人员开展1次安全防范教育培训。</w:t>
                  </w:r>
                </w:p>
              </w:tc>
              <w:tc>
                <w:tcPr>
                  <w:tcW w:type="dxa" w:w="687"/>
                  <w:vMerge/>
                  <w:tcBorders>
                    <w:top w:val="none" w:color="000000" w:sz="4"/>
                    <w:left w:val="none" w:color="000000" w:sz="4"/>
                    <w:bottom w:val="single" w:color="000000" w:sz="8"/>
                    <w:right w:val="single" w:color="000000" w:sz="8"/>
                  </w:tcBorders>
                </w:tcPr>
                <w:p/>
              </w:tc>
              <w:tc>
                <w:tcPr>
                  <w:tcW w:type="dxa" w:w="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1.5分</w:t>
                  </w:r>
                </w:p>
              </w:tc>
              <w:tc>
                <w:tcPr>
                  <w:tcW w:type="dxa" w:w="68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66"/>
                  <w:vMerge/>
                  <w:tcBorders>
                    <w:top w:val="none" w:color="000000" w:sz="4"/>
                    <w:left w:val="single" w:color="000000" w:sz="8"/>
                    <w:bottom w:val="single" w:color="000000" w:sz="8"/>
                    <w:right w:val="single" w:color="000000" w:sz="8"/>
                  </w:tcBorders>
                </w:tcPr>
                <w:p/>
              </w:tc>
              <w:tc>
                <w:tcPr>
                  <w:tcW w:type="dxa" w:w="246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4.9利用小区公告栏张贴安全防范宣传知识。</w:t>
                  </w:r>
                </w:p>
              </w:tc>
              <w:tc>
                <w:tcPr>
                  <w:tcW w:type="dxa" w:w="687"/>
                  <w:vMerge/>
                  <w:tcBorders>
                    <w:top w:val="none" w:color="000000" w:sz="4"/>
                    <w:left w:val="none" w:color="000000" w:sz="4"/>
                    <w:bottom w:val="single" w:color="000000" w:sz="8"/>
                    <w:right w:val="single" w:color="000000" w:sz="8"/>
                  </w:tcBorders>
                </w:tcPr>
                <w:p/>
              </w:tc>
              <w:tc>
                <w:tcPr>
                  <w:tcW w:type="dxa" w:w="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1.5分</w:t>
                  </w:r>
                </w:p>
              </w:tc>
              <w:tc>
                <w:tcPr>
                  <w:tcW w:type="dxa" w:w="68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866"/>
                  <w:vMerge/>
                  <w:tcBorders>
                    <w:top w:val="none" w:color="000000" w:sz="4"/>
                    <w:left w:val="single" w:color="000000" w:sz="8"/>
                    <w:bottom w:val="single" w:color="000000" w:sz="8"/>
                    <w:right w:val="single" w:color="000000" w:sz="8"/>
                  </w:tcBorders>
                </w:tcPr>
                <w:p/>
              </w:tc>
              <w:tc>
                <w:tcPr>
                  <w:tcW w:type="dxa" w:w="246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4.10有租户管理制度，租户信息完善，配合做好流动人口登记、出租房屋登记工作。</w:t>
                  </w:r>
                </w:p>
              </w:tc>
              <w:tc>
                <w:tcPr>
                  <w:tcW w:type="dxa" w:w="687"/>
                  <w:vMerge/>
                  <w:tcBorders>
                    <w:top w:val="none" w:color="000000" w:sz="4"/>
                    <w:left w:val="none" w:color="000000" w:sz="4"/>
                    <w:bottom w:val="single" w:color="000000" w:sz="8"/>
                    <w:right w:val="single" w:color="000000" w:sz="8"/>
                  </w:tcBorders>
                </w:tcPr>
                <w:p/>
              </w:tc>
              <w:tc>
                <w:tcPr>
                  <w:tcW w:type="dxa" w:w="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1.5分</w:t>
                  </w:r>
                </w:p>
              </w:tc>
              <w:tc>
                <w:tcPr>
                  <w:tcW w:type="dxa" w:w="68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bl>
          <w:p>
            <w:pPr>
              <w:pStyle w:val="null3"/>
              <w:jc w:val="center"/>
            </w:pPr>
            <w:r>
              <w:rPr>
                <w:rFonts w:ascii="仿宋_GB2312" w:hAnsi="仿宋_GB2312" w:cs="仿宋_GB2312" w:eastAsia="仿宋_GB2312"/>
                <w:sz w:val="24"/>
                <w:b/>
              </w:rPr>
              <w:t>5、环境卫生维护</w:t>
            </w:r>
          </w:p>
          <w:tbl>
            <w:tblPr>
              <w:tblInd w:type="dxa" w:w="30"/>
              <w:tblBorders>
                <w:top w:val="none" w:color="000000" w:sz="4"/>
                <w:left w:val="none" w:color="000000" w:sz="4"/>
                <w:bottom w:val="none" w:color="000000" w:sz="4"/>
                <w:right w:val="none" w:color="000000" w:sz="4"/>
                <w:insideH w:val="none"/>
                <w:insideV w:val="none"/>
              </w:tblBorders>
            </w:tblPr>
            <w:tblGrid>
              <w:gridCol w:w="1016"/>
              <w:gridCol w:w="2380"/>
              <w:gridCol w:w="657"/>
              <w:gridCol w:w="836"/>
              <w:gridCol w:w="657"/>
            </w:tblGrid>
            <w:tr>
              <w:tc>
                <w:tcPr>
                  <w:tcW w:type="dxa" w:w="101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服务内容</w:t>
                  </w:r>
                </w:p>
              </w:tc>
              <w:tc>
                <w:tcPr>
                  <w:tcW w:type="dxa" w:w="238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ind w:firstLine="480"/>
                    <w:jc w:val="center"/>
                  </w:pPr>
                  <w:r>
                    <w:rPr>
                      <w:rFonts w:ascii="仿宋_GB2312" w:hAnsi="仿宋_GB2312" w:cs="仿宋_GB2312" w:eastAsia="仿宋_GB2312"/>
                      <w:sz w:val="24"/>
                    </w:rPr>
                    <w:t>服务标准</w:t>
                  </w:r>
                </w:p>
              </w:tc>
              <w:tc>
                <w:tcPr>
                  <w:tcW w:type="dxa" w:w="65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标准</w:t>
                  </w:r>
                </w:p>
                <w:p>
                  <w:pPr>
                    <w:pStyle w:val="null3"/>
                    <w:spacing w:before="105" w:after="105"/>
                    <w:jc w:val="center"/>
                  </w:pPr>
                  <w:r>
                    <w:rPr>
                      <w:rFonts w:ascii="仿宋_GB2312" w:hAnsi="仿宋_GB2312" w:cs="仿宋_GB2312" w:eastAsia="仿宋_GB2312"/>
                      <w:sz w:val="24"/>
                    </w:rPr>
                    <w:t>分值</w:t>
                  </w:r>
                </w:p>
              </w:tc>
              <w:tc>
                <w:tcPr>
                  <w:tcW w:type="dxa" w:w="83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单项分值</w:t>
                  </w:r>
                </w:p>
              </w:tc>
              <w:tc>
                <w:tcPr>
                  <w:tcW w:type="dxa" w:w="65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考评</w:t>
                  </w:r>
                </w:p>
                <w:p>
                  <w:pPr>
                    <w:pStyle w:val="null3"/>
                    <w:spacing w:before="105" w:after="105"/>
                    <w:jc w:val="center"/>
                  </w:pPr>
                  <w:r>
                    <w:rPr>
                      <w:rFonts w:ascii="仿宋_GB2312" w:hAnsi="仿宋_GB2312" w:cs="仿宋_GB2312" w:eastAsia="仿宋_GB2312"/>
                      <w:sz w:val="24"/>
                    </w:rPr>
                    <w:t>得分</w:t>
                  </w:r>
                </w:p>
              </w:tc>
            </w:tr>
            <w:tr>
              <w:tc>
                <w:tcPr>
                  <w:tcW w:type="dxa" w:w="1016"/>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5.1</w:t>
                  </w:r>
                </w:p>
                <w:p>
                  <w:pPr>
                    <w:pStyle w:val="null3"/>
                    <w:spacing w:before="105" w:after="105"/>
                    <w:jc w:val="left"/>
                  </w:pPr>
                  <w:r>
                    <w:rPr>
                      <w:rFonts w:ascii="仿宋_GB2312" w:hAnsi="仿宋_GB2312" w:cs="仿宋_GB2312" w:eastAsia="仿宋_GB2312"/>
                      <w:sz w:val="24"/>
                    </w:rPr>
                    <w:t>生活垃圾的收集、清运</w:t>
                  </w:r>
                </w:p>
              </w:tc>
              <w:tc>
                <w:tcPr>
                  <w:tcW w:type="dxa" w:w="23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ind w:firstLine="480"/>
                    <w:jc w:val="left"/>
                  </w:pPr>
                  <w:r>
                    <w:rPr>
                      <w:rFonts w:ascii="仿宋_GB2312" w:hAnsi="仿宋_GB2312" w:cs="仿宋_GB2312" w:eastAsia="仿宋_GB2312"/>
                      <w:sz w:val="24"/>
                    </w:rPr>
                    <w:t>5.1.1有垃圾收集容器</w:t>
                  </w:r>
                </w:p>
              </w:tc>
              <w:tc>
                <w:tcPr>
                  <w:tcW w:type="dxa" w:w="657"/>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10分</w:t>
                  </w:r>
                </w:p>
              </w:tc>
              <w:tc>
                <w:tcPr>
                  <w:tcW w:type="dxa" w:w="83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65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1016"/>
                  <w:vMerge/>
                  <w:tcBorders>
                    <w:top w:val="none" w:color="000000" w:sz="4"/>
                    <w:left w:val="single" w:color="000000" w:sz="8"/>
                    <w:bottom w:val="single" w:color="000000" w:sz="8"/>
                    <w:right w:val="single" w:color="000000" w:sz="8"/>
                  </w:tcBorders>
                </w:tcPr>
                <w:p/>
              </w:tc>
              <w:tc>
                <w:tcPr>
                  <w:tcW w:type="dxa" w:w="23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5.1.2每半月至少清洗1次垃圾收集容器（夏季1次/周）。蝇、蚊孳生季节每周喷洒1次杀虫药。</w:t>
                  </w:r>
                </w:p>
              </w:tc>
              <w:tc>
                <w:tcPr>
                  <w:tcW w:type="dxa" w:w="657"/>
                  <w:vMerge/>
                  <w:tcBorders>
                    <w:top w:val="none" w:color="000000" w:sz="4"/>
                    <w:left w:val="none" w:color="000000" w:sz="4"/>
                    <w:bottom w:val="single" w:color="000000" w:sz="8"/>
                    <w:right w:val="single" w:color="000000" w:sz="8"/>
                  </w:tcBorders>
                </w:tcPr>
                <w:p/>
              </w:tc>
              <w:tc>
                <w:tcPr>
                  <w:tcW w:type="dxa" w:w="83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1.5分</w:t>
                  </w:r>
                </w:p>
              </w:tc>
              <w:tc>
                <w:tcPr>
                  <w:tcW w:type="dxa" w:w="65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1016"/>
                  <w:vMerge/>
                  <w:tcBorders>
                    <w:top w:val="none" w:color="000000" w:sz="4"/>
                    <w:left w:val="single" w:color="000000" w:sz="8"/>
                    <w:bottom w:val="single" w:color="000000" w:sz="8"/>
                    <w:right w:val="single" w:color="000000" w:sz="8"/>
                  </w:tcBorders>
                </w:tcPr>
                <w:p/>
              </w:tc>
              <w:tc>
                <w:tcPr>
                  <w:tcW w:type="dxa" w:w="23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5.1.3生活垃圾应清运至指定的垃圾中转站，周边无散落垃圾。</w:t>
                  </w:r>
                </w:p>
              </w:tc>
              <w:tc>
                <w:tcPr>
                  <w:tcW w:type="dxa" w:w="657"/>
                  <w:vMerge/>
                  <w:tcBorders>
                    <w:top w:val="none" w:color="000000" w:sz="4"/>
                    <w:left w:val="none" w:color="000000" w:sz="4"/>
                    <w:bottom w:val="single" w:color="000000" w:sz="8"/>
                    <w:right w:val="single" w:color="000000" w:sz="8"/>
                  </w:tcBorders>
                </w:tcPr>
                <w:p/>
              </w:tc>
              <w:tc>
                <w:tcPr>
                  <w:tcW w:type="dxa" w:w="83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65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1016"/>
                  <w:vMerge/>
                  <w:tcBorders>
                    <w:top w:val="none" w:color="000000" w:sz="4"/>
                    <w:left w:val="single" w:color="000000" w:sz="8"/>
                    <w:bottom w:val="single" w:color="000000" w:sz="8"/>
                    <w:right w:val="single" w:color="000000" w:sz="8"/>
                  </w:tcBorders>
                </w:tcPr>
                <w:p/>
              </w:tc>
              <w:tc>
                <w:tcPr>
                  <w:tcW w:type="dxa" w:w="23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5.1.4垃圾中转站保持密闭和外围整洁</w:t>
                  </w:r>
                </w:p>
              </w:tc>
              <w:tc>
                <w:tcPr>
                  <w:tcW w:type="dxa" w:w="657"/>
                  <w:vMerge/>
                  <w:tcBorders>
                    <w:top w:val="none" w:color="000000" w:sz="4"/>
                    <w:left w:val="none" w:color="000000" w:sz="4"/>
                    <w:bottom w:val="single" w:color="000000" w:sz="8"/>
                    <w:right w:val="single" w:color="000000" w:sz="8"/>
                  </w:tcBorders>
                </w:tcPr>
                <w:p/>
              </w:tc>
              <w:tc>
                <w:tcPr>
                  <w:tcW w:type="dxa" w:w="83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65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1016"/>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5.2物业共用部分清洁</w:t>
                  </w:r>
                </w:p>
              </w:tc>
              <w:tc>
                <w:tcPr>
                  <w:tcW w:type="dxa" w:w="23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ind w:firstLine="480"/>
                    <w:jc w:val="left"/>
                  </w:pPr>
                  <w:r>
                    <w:rPr>
                      <w:rFonts w:ascii="仿宋_GB2312" w:hAnsi="仿宋_GB2312" w:cs="仿宋_GB2312" w:eastAsia="仿宋_GB2312"/>
                      <w:sz w:val="24"/>
                    </w:rPr>
                    <w:t>5.2.1公共场所每日清扫1次，楼道、楼梯每日清扫1次</w:t>
                  </w:r>
                </w:p>
              </w:tc>
              <w:tc>
                <w:tcPr>
                  <w:tcW w:type="dxa" w:w="657"/>
                  <w:vMerge/>
                  <w:tcBorders>
                    <w:top w:val="none" w:color="000000" w:sz="4"/>
                    <w:left w:val="none" w:color="000000" w:sz="4"/>
                    <w:bottom w:val="single" w:color="000000" w:sz="8"/>
                    <w:right w:val="single" w:color="000000" w:sz="8"/>
                  </w:tcBorders>
                </w:tcPr>
                <w:p/>
              </w:tc>
              <w:tc>
                <w:tcPr>
                  <w:tcW w:type="dxa" w:w="83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65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1016"/>
                  <w:vMerge/>
                  <w:tcBorders>
                    <w:top w:val="none" w:color="000000" w:sz="4"/>
                    <w:left w:val="single" w:color="000000" w:sz="8"/>
                    <w:bottom w:val="single" w:color="000000" w:sz="8"/>
                    <w:right w:val="single" w:color="000000" w:sz="8"/>
                  </w:tcBorders>
                </w:tcPr>
                <w:p/>
              </w:tc>
              <w:tc>
                <w:tcPr>
                  <w:tcW w:type="dxa" w:w="23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5.2.2每季度擦拭1次楼梯扶手、栏杆、窗台、防火门、消火栓、指示牌等共用设施</w:t>
                  </w:r>
                </w:p>
              </w:tc>
              <w:tc>
                <w:tcPr>
                  <w:tcW w:type="dxa" w:w="657"/>
                  <w:vMerge/>
                  <w:tcBorders>
                    <w:top w:val="none" w:color="000000" w:sz="4"/>
                    <w:left w:val="none" w:color="000000" w:sz="4"/>
                    <w:bottom w:val="single" w:color="000000" w:sz="8"/>
                    <w:right w:val="single" w:color="000000" w:sz="8"/>
                  </w:tcBorders>
                </w:tcPr>
                <w:p/>
              </w:tc>
              <w:tc>
                <w:tcPr>
                  <w:tcW w:type="dxa" w:w="83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65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1016"/>
                  <w:vMerge/>
                  <w:tcBorders>
                    <w:top w:val="none" w:color="000000" w:sz="4"/>
                    <w:left w:val="single" w:color="000000" w:sz="8"/>
                    <w:bottom w:val="single" w:color="000000" w:sz="8"/>
                    <w:right w:val="single" w:color="000000" w:sz="8"/>
                  </w:tcBorders>
                </w:tcPr>
                <w:p/>
              </w:tc>
              <w:tc>
                <w:tcPr>
                  <w:tcW w:type="dxa" w:w="23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5.2.3电梯轿厢：每日擦拭1 次电梯轿厢门、面板；每日清拖1 次轿厢地面；每日巡视保洁2次电梯轿厢。</w:t>
                  </w:r>
                </w:p>
              </w:tc>
              <w:tc>
                <w:tcPr>
                  <w:tcW w:type="dxa" w:w="657"/>
                  <w:vMerge/>
                  <w:tcBorders>
                    <w:top w:val="none" w:color="000000" w:sz="4"/>
                    <w:left w:val="none" w:color="000000" w:sz="4"/>
                    <w:bottom w:val="single" w:color="000000" w:sz="8"/>
                    <w:right w:val="single" w:color="000000" w:sz="8"/>
                  </w:tcBorders>
                </w:tcPr>
                <w:p/>
              </w:tc>
              <w:tc>
                <w:tcPr>
                  <w:tcW w:type="dxa" w:w="83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65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1016"/>
                  <w:vMerge/>
                  <w:tcBorders>
                    <w:top w:val="none" w:color="000000" w:sz="4"/>
                    <w:left w:val="single" w:color="000000" w:sz="8"/>
                    <w:bottom w:val="single" w:color="000000" w:sz="8"/>
                    <w:right w:val="single" w:color="000000" w:sz="8"/>
                  </w:tcBorders>
                </w:tcPr>
                <w:p/>
              </w:tc>
              <w:tc>
                <w:tcPr>
                  <w:tcW w:type="dxa" w:w="23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5.2.4楼外道路及设施：每日清扫1次、巡视保洁2次，楼外道路无积水；每月清洁1次楼外公共照明及共用设施；每季度清洁1次雨篷、门头等。</w:t>
                  </w:r>
                </w:p>
              </w:tc>
              <w:tc>
                <w:tcPr>
                  <w:tcW w:type="dxa" w:w="657"/>
                  <w:vMerge/>
                  <w:tcBorders>
                    <w:top w:val="none" w:color="000000" w:sz="4"/>
                    <w:left w:val="none" w:color="000000" w:sz="4"/>
                    <w:bottom w:val="single" w:color="000000" w:sz="8"/>
                    <w:right w:val="single" w:color="000000" w:sz="8"/>
                  </w:tcBorders>
                </w:tcPr>
                <w:p/>
              </w:tc>
              <w:tc>
                <w:tcPr>
                  <w:tcW w:type="dxa" w:w="83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65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1016"/>
                  <w:vMerge/>
                  <w:tcBorders>
                    <w:top w:val="none" w:color="000000" w:sz="4"/>
                    <w:left w:val="single" w:color="000000" w:sz="8"/>
                    <w:bottom w:val="single" w:color="000000" w:sz="8"/>
                    <w:right w:val="single" w:color="000000" w:sz="8"/>
                  </w:tcBorders>
                </w:tcPr>
                <w:p/>
              </w:tc>
              <w:tc>
                <w:tcPr>
                  <w:tcW w:type="dxa" w:w="23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5.2.5有完善的消杀灭害服务方案和管理制度。配合相关部门进行有害生物的预防和控制。投放药物应预先告知，投药位置有明显标识；定期进行消杀灭害，有相关记录</w:t>
                  </w:r>
                </w:p>
              </w:tc>
              <w:tc>
                <w:tcPr>
                  <w:tcW w:type="dxa" w:w="657"/>
                  <w:vMerge/>
                  <w:tcBorders>
                    <w:top w:val="none" w:color="000000" w:sz="4"/>
                    <w:left w:val="none" w:color="000000" w:sz="4"/>
                    <w:bottom w:val="single" w:color="000000" w:sz="8"/>
                    <w:right w:val="single" w:color="000000" w:sz="8"/>
                  </w:tcBorders>
                </w:tcPr>
                <w:p/>
              </w:tc>
              <w:tc>
                <w:tcPr>
                  <w:tcW w:type="dxa" w:w="83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1.5分</w:t>
                  </w:r>
                </w:p>
              </w:tc>
              <w:tc>
                <w:tcPr>
                  <w:tcW w:type="dxa" w:w="65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bl>
          <w:p>
            <w:pPr>
              <w:pStyle w:val="null3"/>
              <w:jc w:val="center"/>
            </w:pPr>
            <w:r>
              <w:rPr>
                <w:rFonts w:ascii="仿宋_GB2312" w:hAnsi="仿宋_GB2312" w:cs="仿宋_GB2312" w:eastAsia="仿宋_GB2312"/>
                <w:sz w:val="24"/>
                <w:b/>
              </w:rPr>
              <w:t>6、绿化养护</w:t>
            </w:r>
          </w:p>
          <w:tbl>
            <w:tblPr>
              <w:tblInd w:type="dxa" w:w="30"/>
              <w:tblBorders>
                <w:top w:val="none" w:color="000000" w:sz="4"/>
                <w:left w:val="none" w:color="000000" w:sz="4"/>
                <w:bottom w:val="none" w:color="000000" w:sz="4"/>
                <w:right w:val="none" w:color="000000" w:sz="4"/>
                <w:insideH w:val="none"/>
                <w:insideV w:val="none"/>
              </w:tblBorders>
            </w:tblPr>
            <w:tblGrid>
              <w:gridCol w:w="1083"/>
              <w:gridCol w:w="2778"/>
              <w:gridCol w:w="571"/>
              <w:gridCol w:w="571"/>
              <w:gridCol w:w="571"/>
            </w:tblGrid>
            <w:tr>
              <w:tc>
                <w:tcPr>
                  <w:tcW w:type="dxa" w:w="1083"/>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服务内容</w:t>
                  </w:r>
                </w:p>
              </w:tc>
              <w:tc>
                <w:tcPr>
                  <w:tcW w:type="dxa" w:w="2778"/>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ind w:firstLine="480"/>
                    <w:jc w:val="center"/>
                  </w:pPr>
                  <w:r>
                    <w:rPr>
                      <w:rFonts w:ascii="仿宋_GB2312" w:hAnsi="仿宋_GB2312" w:cs="仿宋_GB2312" w:eastAsia="仿宋_GB2312"/>
                      <w:sz w:val="24"/>
                    </w:rPr>
                    <w:t>服务标准</w:t>
                  </w:r>
                </w:p>
              </w:tc>
              <w:tc>
                <w:tcPr>
                  <w:tcW w:type="dxa" w:w="57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标准</w:t>
                  </w:r>
                </w:p>
                <w:p>
                  <w:pPr>
                    <w:pStyle w:val="null3"/>
                    <w:spacing w:before="105" w:after="105"/>
                    <w:jc w:val="center"/>
                  </w:pPr>
                  <w:r>
                    <w:rPr>
                      <w:rFonts w:ascii="仿宋_GB2312" w:hAnsi="仿宋_GB2312" w:cs="仿宋_GB2312" w:eastAsia="仿宋_GB2312"/>
                      <w:sz w:val="24"/>
                    </w:rPr>
                    <w:t>分值</w:t>
                  </w:r>
                </w:p>
              </w:tc>
              <w:tc>
                <w:tcPr>
                  <w:tcW w:type="dxa" w:w="57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单项分值</w:t>
                  </w:r>
                </w:p>
              </w:tc>
              <w:tc>
                <w:tcPr>
                  <w:tcW w:type="dxa" w:w="57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考评</w:t>
                  </w:r>
                </w:p>
                <w:p>
                  <w:pPr>
                    <w:pStyle w:val="null3"/>
                    <w:spacing w:before="105" w:after="105"/>
                    <w:jc w:val="center"/>
                  </w:pPr>
                  <w:r>
                    <w:rPr>
                      <w:rFonts w:ascii="仿宋_GB2312" w:hAnsi="仿宋_GB2312" w:cs="仿宋_GB2312" w:eastAsia="仿宋_GB2312"/>
                      <w:sz w:val="24"/>
                    </w:rPr>
                    <w:t>得分</w:t>
                  </w:r>
                </w:p>
              </w:tc>
            </w:tr>
            <w:tr>
              <w:tc>
                <w:tcPr>
                  <w:tcW w:type="dxa" w:w="1083"/>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05" w:after="105"/>
                    <w:ind w:left="120"/>
                    <w:jc w:val="center"/>
                  </w:pPr>
                  <w:r>
                    <w:rPr>
                      <w:rFonts w:ascii="仿宋_GB2312" w:hAnsi="仿宋_GB2312" w:cs="仿宋_GB2312" w:eastAsia="仿宋_GB2312"/>
                      <w:sz w:val="21"/>
                    </w:rPr>
                    <w:t>4.</w:t>
                  </w:r>
                  <w:r>
                    <w:rPr>
                      <w:rFonts w:ascii="仿宋_GB2312" w:hAnsi="仿宋_GB2312" w:cs="仿宋_GB2312" w:eastAsia="仿宋_GB2312"/>
                      <w:sz w:val="24"/>
                    </w:rPr>
                    <w:t>绿化养护</w:t>
                  </w:r>
                </w:p>
              </w:tc>
              <w:tc>
                <w:tcPr>
                  <w:tcW w:type="dxa" w:w="277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ind w:firstLine="480"/>
                    <w:jc w:val="both"/>
                  </w:pPr>
                  <w:r>
                    <w:rPr>
                      <w:rFonts w:ascii="仿宋_GB2312" w:hAnsi="仿宋_GB2312" w:cs="仿宋_GB2312" w:eastAsia="仿宋_GB2312"/>
                      <w:sz w:val="24"/>
                    </w:rPr>
                    <w:t>6.1有计划地进行浇灌，灌溉水下渗充足均匀，无明显旱涝情况发生；一般植物确保在萌芽前、4 月、5 月、秋季、入冬前浇水1 次，草坪根据长势和土壤情况适当增加灌溉次数。</w:t>
                  </w:r>
                </w:p>
              </w:tc>
              <w:tc>
                <w:tcPr>
                  <w:tcW w:type="dxa" w:w="571"/>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10分</w:t>
                  </w:r>
                </w:p>
              </w:tc>
              <w:tc>
                <w:tcPr>
                  <w:tcW w:type="dxa" w:w="57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2分</w:t>
                  </w:r>
                </w:p>
              </w:tc>
              <w:tc>
                <w:tcPr>
                  <w:tcW w:type="dxa" w:w="57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1083"/>
                  <w:vMerge/>
                  <w:tcBorders>
                    <w:top w:val="none" w:color="000000" w:sz="4"/>
                    <w:left w:val="single" w:color="000000" w:sz="8"/>
                    <w:bottom w:val="single" w:color="000000" w:sz="8"/>
                    <w:right w:val="single" w:color="000000" w:sz="8"/>
                  </w:tcBorders>
                </w:tcPr>
                <w:p/>
              </w:tc>
              <w:tc>
                <w:tcPr>
                  <w:tcW w:type="dxa" w:w="277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6.2根据植物生长情况施肥，一般乔木每年施肥1次；灌木每年施肥1次；地被和草坪植物每年春季萌芽和入冬前后施肥1次至2次；花坛植物根据生长情况进行追肥；生长不良的植物适当增加施肥频次。</w:t>
                  </w:r>
                </w:p>
              </w:tc>
              <w:tc>
                <w:tcPr>
                  <w:tcW w:type="dxa" w:w="571"/>
                  <w:vMerge/>
                  <w:tcBorders>
                    <w:top w:val="none" w:color="000000" w:sz="4"/>
                    <w:left w:val="none" w:color="000000" w:sz="4"/>
                    <w:bottom w:val="single" w:color="000000" w:sz="8"/>
                    <w:right w:val="single" w:color="000000" w:sz="8"/>
                  </w:tcBorders>
                </w:tcPr>
                <w:p/>
              </w:tc>
              <w:tc>
                <w:tcPr>
                  <w:tcW w:type="dxa" w:w="57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2分</w:t>
                  </w:r>
                </w:p>
              </w:tc>
              <w:tc>
                <w:tcPr>
                  <w:tcW w:type="dxa" w:w="57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1083"/>
                  <w:vMerge/>
                  <w:tcBorders>
                    <w:top w:val="none" w:color="000000" w:sz="4"/>
                    <w:left w:val="single" w:color="000000" w:sz="8"/>
                    <w:bottom w:val="single" w:color="000000" w:sz="8"/>
                    <w:right w:val="single" w:color="000000" w:sz="8"/>
                  </w:tcBorders>
                </w:tcPr>
                <w:p/>
              </w:tc>
              <w:tc>
                <w:tcPr>
                  <w:tcW w:type="dxa" w:w="277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6.3根据病虫害发生规律，植物生长季每2周检查1次病虫害情况；并根据检查结果防治病虫害，不因病虫害出现提前落叶、死亡现象。</w:t>
                  </w:r>
                </w:p>
              </w:tc>
              <w:tc>
                <w:tcPr>
                  <w:tcW w:type="dxa" w:w="571"/>
                  <w:vMerge/>
                  <w:tcBorders>
                    <w:top w:val="none" w:color="000000" w:sz="4"/>
                    <w:left w:val="none" w:color="000000" w:sz="4"/>
                    <w:bottom w:val="single" w:color="000000" w:sz="8"/>
                    <w:right w:val="single" w:color="000000" w:sz="8"/>
                  </w:tcBorders>
                </w:tcPr>
                <w:p/>
              </w:tc>
              <w:tc>
                <w:tcPr>
                  <w:tcW w:type="dxa" w:w="57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2分</w:t>
                  </w:r>
                </w:p>
              </w:tc>
              <w:tc>
                <w:tcPr>
                  <w:tcW w:type="dxa" w:w="57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1083"/>
                  <w:vMerge/>
                  <w:tcBorders>
                    <w:top w:val="none" w:color="000000" w:sz="4"/>
                    <w:left w:val="single" w:color="000000" w:sz="8"/>
                    <w:bottom w:val="single" w:color="000000" w:sz="8"/>
                    <w:right w:val="single" w:color="000000" w:sz="8"/>
                  </w:tcBorders>
                </w:tcPr>
                <w:p/>
              </w:tc>
              <w:tc>
                <w:tcPr>
                  <w:tcW w:type="dxa" w:w="277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6.4乔木每年修剪1 次；灌木每年生长季节和冬季修剪1 次；绿篱每年至少修剪3次；草坪夏季每季至少修剪2 次。</w:t>
                  </w:r>
                </w:p>
              </w:tc>
              <w:tc>
                <w:tcPr>
                  <w:tcW w:type="dxa" w:w="571"/>
                  <w:vMerge/>
                  <w:tcBorders>
                    <w:top w:val="none" w:color="000000" w:sz="4"/>
                    <w:left w:val="none" w:color="000000" w:sz="4"/>
                    <w:bottom w:val="single" w:color="000000" w:sz="8"/>
                    <w:right w:val="single" w:color="000000" w:sz="8"/>
                  </w:tcBorders>
                </w:tcPr>
                <w:p/>
              </w:tc>
              <w:tc>
                <w:tcPr>
                  <w:tcW w:type="dxa" w:w="57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2分</w:t>
                  </w:r>
                </w:p>
              </w:tc>
              <w:tc>
                <w:tcPr>
                  <w:tcW w:type="dxa" w:w="57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1083"/>
                  <w:vMerge/>
                  <w:tcBorders>
                    <w:top w:val="none" w:color="000000" w:sz="4"/>
                    <w:left w:val="single" w:color="000000" w:sz="8"/>
                    <w:bottom w:val="single" w:color="000000" w:sz="8"/>
                    <w:right w:val="single" w:color="000000" w:sz="8"/>
                  </w:tcBorders>
                </w:tcPr>
                <w:p/>
              </w:tc>
              <w:tc>
                <w:tcPr>
                  <w:tcW w:type="dxa" w:w="277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6.5每年全面除草2 次，重点绿地增加除草次数。绿化作业产生的垃圾应在作业完成后2小时内清理干净。</w:t>
                  </w:r>
                </w:p>
              </w:tc>
              <w:tc>
                <w:tcPr>
                  <w:tcW w:type="dxa" w:w="571"/>
                  <w:vMerge/>
                  <w:tcBorders>
                    <w:top w:val="none" w:color="000000" w:sz="4"/>
                    <w:left w:val="none" w:color="000000" w:sz="4"/>
                    <w:bottom w:val="single" w:color="000000" w:sz="8"/>
                    <w:right w:val="single" w:color="000000" w:sz="8"/>
                  </w:tcBorders>
                </w:tcPr>
                <w:p/>
              </w:tc>
              <w:tc>
                <w:tcPr>
                  <w:tcW w:type="dxa" w:w="57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2分</w:t>
                  </w:r>
                </w:p>
              </w:tc>
              <w:tc>
                <w:tcPr>
                  <w:tcW w:type="dxa" w:w="57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bl>
          <w:p>
            <w:pPr>
              <w:pStyle w:val="null3"/>
              <w:jc w:val="center"/>
            </w:pPr>
            <w:r>
              <w:rPr>
                <w:rFonts w:ascii="仿宋_GB2312" w:hAnsi="仿宋_GB2312" w:cs="仿宋_GB2312" w:eastAsia="仿宋_GB2312"/>
                <w:sz w:val="24"/>
                <w:b/>
              </w:rPr>
              <w:t>7、社区文化建设</w:t>
            </w:r>
          </w:p>
          <w:tbl>
            <w:tblPr>
              <w:tblInd w:type="dxa" w:w="30"/>
              <w:tblBorders>
                <w:top w:val="none" w:color="000000" w:sz="4"/>
                <w:left w:val="none" w:color="000000" w:sz="4"/>
                <w:bottom w:val="none" w:color="000000" w:sz="4"/>
                <w:right w:val="none" w:color="000000" w:sz="4"/>
                <w:insideH w:val="none"/>
                <w:insideV w:val="none"/>
              </w:tblBorders>
            </w:tblPr>
            <w:tblGrid>
              <w:gridCol w:w="737"/>
              <w:gridCol w:w="2639"/>
              <w:gridCol w:w="737"/>
              <w:gridCol w:w="737"/>
              <w:gridCol w:w="737"/>
            </w:tblGrid>
            <w:tr>
              <w:tc>
                <w:tcPr>
                  <w:tcW w:type="dxa" w:w="737"/>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服务内容</w:t>
                  </w:r>
                </w:p>
              </w:tc>
              <w:tc>
                <w:tcPr>
                  <w:tcW w:type="dxa" w:w="263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ind w:firstLine="480"/>
                    <w:jc w:val="center"/>
                  </w:pPr>
                  <w:r>
                    <w:rPr>
                      <w:rFonts w:ascii="仿宋_GB2312" w:hAnsi="仿宋_GB2312" w:cs="仿宋_GB2312" w:eastAsia="仿宋_GB2312"/>
                      <w:sz w:val="24"/>
                    </w:rPr>
                    <w:t>服务标准</w:t>
                  </w:r>
                </w:p>
              </w:tc>
              <w:tc>
                <w:tcPr>
                  <w:tcW w:type="dxa" w:w="73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标准分值</w:t>
                  </w:r>
                </w:p>
              </w:tc>
              <w:tc>
                <w:tcPr>
                  <w:tcW w:type="dxa" w:w="73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单项标</w:t>
                  </w:r>
                </w:p>
                <w:p>
                  <w:pPr>
                    <w:pStyle w:val="null3"/>
                    <w:spacing w:before="105" w:after="105"/>
                    <w:jc w:val="center"/>
                  </w:pPr>
                  <w:r>
                    <w:rPr>
                      <w:rFonts w:ascii="仿宋_GB2312" w:hAnsi="仿宋_GB2312" w:cs="仿宋_GB2312" w:eastAsia="仿宋_GB2312"/>
                      <w:sz w:val="24"/>
                    </w:rPr>
                    <w:t>准分值</w:t>
                  </w:r>
                </w:p>
              </w:tc>
              <w:tc>
                <w:tcPr>
                  <w:tcW w:type="dxa" w:w="73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考评得分</w:t>
                  </w:r>
                </w:p>
              </w:tc>
            </w:tr>
            <w:tr>
              <w:tc>
                <w:tcPr>
                  <w:tcW w:type="dxa" w:w="737"/>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7.社区文化建设</w:t>
                  </w:r>
                </w:p>
              </w:tc>
              <w:tc>
                <w:tcPr>
                  <w:tcW w:type="dxa" w:w="263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ind w:firstLine="480"/>
                    <w:jc w:val="both"/>
                  </w:pPr>
                  <w:r>
                    <w:rPr>
                      <w:rFonts w:ascii="仿宋_GB2312" w:hAnsi="仿宋_GB2312" w:cs="仿宋_GB2312" w:eastAsia="仿宋_GB2312"/>
                      <w:sz w:val="24"/>
                    </w:rPr>
                    <w:t>7.1有管务公开栏及其它宣传栏，内容每季度更新1次.</w:t>
                  </w:r>
                </w:p>
              </w:tc>
              <w:tc>
                <w:tcPr>
                  <w:tcW w:type="dxa" w:w="737"/>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4分</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737"/>
                  <w:vMerge/>
                  <w:tcBorders>
                    <w:top w:val="none" w:color="000000" w:sz="4"/>
                    <w:left w:val="single" w:color="000000" w:sz="8"/>
                    <w:bottom w:val="single" w:color="000000" w:sz="8"/>
                    <w:right w:val="single" w:color="000000" w:sz="8"/>
                  </w:tcBorders>
                </w:tcPr>
                <w:p/>
              </w:tc>
              <w:tc>
                <w:tcPr>
                  <w:tcW w:type="dxa" w:w="263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7.2每年至少开展2次精神文明宣传教育工作，内容包括科学防疫、消防安全、食品卫生、房屋及其附属设施设备使用安全、环保及法律等知识 。</w:t>
                  </w:r>
                </w:p>
              </w:tc>
              <w:tc>
                <w:tcPr>
                  <w:tcW w:type="dxa" w:w="737"/>
                  <w:vMerge/>
                  <w:tcBorders>
                    <w:top w:val="none" w:color="000000" w:sz="4"/>
                    <w:left w:val="none" w:color="000000" w:sz="4"/>
                    <w:bottom w:val="single" w:color="000000" w:sz="8"/>
                    <w:right w:val="single" w:color="000000" w:sz="8"/>
                  </w:tcBorders>
                </w:tcP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737"/>
                  <w:vMerge/>
                  <w:tcBorders>
                    <w:top w:val="none" w:color="000000" w:sz="4"/>
                    <w:left w:val="single" w:color="000000" w:sz="8"/>
                    <w:bottom w:val="single" w:color="000000" w:sz="8"/>
                    <w:right w:val="single" w:color="000000" w:sz="8"/>
                  </w:tcBorders>
                </w:tcPr>
                <w:p/>
              </w:tc>
              <w:tc>
                <w:tcPr>
                  <w:tcW w:type="dxa" w:w="263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7.3每年按物业服务合同约定组织社区文化活动。</w:t>
                  </w:r>
                </w:p>
              </w:tc>
              <w:tc>
                <w:tcPr>
                  <w:tcW w:type="dxa" w:w="737"/>
                  <w:vMerge/>
                  <w:tcBorders>
                    <w:top w:val="none" w:color="000000" w:sz="4"/>
                    <w:left w:val="none" w:color="000000" w:sz="4"/>
                    <w:bottom w:val="single" w:color="000000" w:sz="8"/>
                    <w:right w:val="single" w:color="000000" w:sz="8"/>
                  </w:tcBorders>
                </w:tcP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r>
              <w:tc>
                <w:tcPr>
                  <w:tcW w:type="dxa" w:w="737"/>
                  <w:vMerge/>
                  <w:tcBorders>
                    <w:top w:val="none" w:color="000000" w:sz="4"/>
                    <w:left w:val="single" w:color="000000" w:sz="8"/>
                    <w:bottom w:val="single" w:color="000000" w:sz="8"/>
                    <w:right w:val="single" w:color="000000" w:sz="8"/>
                  </w:tcBorders>
                </w:tcPr>
                <w:p/>
              </w:tc>
              <w:tc>
                <w:tcPr>
                  <w:tcW w:type="dxa" w:w="263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7.4社区文化有活动计划、有记录、有总结，相关资料齐全。</w:t>
                  </w:r>
                </w:p>
              </w:tc>
              <w:tc>
                <w:tcPr>
                  <w:tcW w:type="dxa" w:w="737"/>
                  <w:vMerge/>
                  <w:tcBorders>
                    <w:top w:val="none" w:color="000000" w:sz="4"/>
                    <w:left w:val="none" w:color="000000" w:sz="4"/>
                    <w:bottom w:val="single" w:color="000000" w:sz="8"/>
                    <w:right w:val="single" w:color="000000" w:sz="8"/>
                  </w:tcBorders>
                </w:tcP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1分</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380"/>
                    <w:jc w:val="both"/>
                  </w:pPr>
                </w:p>
              </w:tc>
            </w:tr>
          </w:tbl>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商务要求（说明：投标人在投标文件中响应）</w:t>
            </w:r>
          </w:p>
        </w:tc>
        <w:tc>
          <w:tcPr>
            <w:tcW w:type="dxa" w:w="5814"/>
          </w:tcPr>
          <w:p>
            <w:pPr>
              <w:pStyle w:val="null3"/>
              <w:ind w:firstLine="482"/>
              <w:jc w:val="both"/>
            </w:pPr>
            <w:r>
              <w:rPr>
                <w:rFonts w:ascii="仿宋_GB2312" w:hAnsi="仿宋_GB2312" w:cs="仿宋_GB2312" w:eastAsia="仿宋_GB2312"/>
                <w:sz w:val="24"/>
                <w:color w:val="000000"/>
              </w:rPr>
              <w:t>1.付款方式及付款时间：</w:t>
            </w:r>
          </w:p>
          <w:p>
            <w:pPr>
              <w:pStyle w:val="null3"/>
              <w:ind w:firstLine="482"/>
              <w:jc w:val="both"/>
            </w:pPr>
            <w:r>
              <w:rPr>
                <w:rFonts w:ascii="仿宋_GB2312" w:hAnsi="仿宋_GB2312" w:cs="仿宋_GB2312" w:eastAsia="仿宋_GB2312"/>
                <w:sz w:val="24"/>
                <w:color w:val="000000"/>
              </w:rPr>
              <w:t>1.1预付款：收到中标人开具的合法票据后预付合同价的40%，预付款的扣回方式按季度同等比例。</w:t>
            </w:r>
          </w:p>
          <w:p>
            <w:pPr>
              <w:pStyle w:val="null3"/>
              <w:ind w:firstLine="482"/>
              <w:jc w:val="both"/>
            </w:pPr>
            <w:r>
              <w:rPr>
                <w:rFonts w:ascii="仿宋_GB2312" w:hAnsi="仿宋_GB2312" w:cs="仿宋_GB2312" w:eastAsia="仿宋_GB2312"/>
                <w:sz w:val="24"/>
                <w:color w:val="000000"/>
              </w:rPr>
              <w:t>1.2进度款：采取银行转账方式按季考核，按季支付，下一季度支付上一季度服务费，采购人按该季度服务费的90%扣除预定比例的预付款及项目考核结果金额后支付给供应商；剩余10%服务费待中标人完成收取该小区住户物业管理费的任务后（每户按0.1元/平方米收取），支付当季剩余10%服务费，如未完成每户0.1元/平方米收取，采购人则不支付相</w:t>
            </w:r>
            <w:r>
              <w:rPr>
                <w:rFonts w:ascii="仿宋_GB2312" w:hAnsi="仿宋_GB2312" w:cs="仿宋_GB2312" w:eastAsia="仿宋_GB2312"/>
                <w:sz w:val="24"/>
                <w:color w:val="000000"/>
              </w:rPr>
              <w:t>应的物业管理费。考核后，中标人需向采购人递交拨付作业服务费的票据，采购人收到供应商提供的合法发票后</w:t>
            </w:r>
            <w:r>
              <w:rPr>
                <w:rFonts w:ascii="仿宋_GB2312" w:hAnsi="仿宋_GB2312" w:cs="仿宋_GB2312" w:eastAsia="仿宋_GB2312"/>
                <w:sz w:val="24"/>
                <w:color w:val="000000"/>
              </w:rPr>
              <w:t>15日内支付物业服务费。</w:t>
            </w:r>
          </w:p>
          <w:p>
            <w:pPr>
              <w:pStyle w:val="null3"/>
              <w:ind w:firstLine="482"/>
              <w:jc w:val="both"/>
            </w:pPr>
            <w:r>
              <w:rPr>
                <w:rFonts w:ascii="仿宋_GB2312" w:hAnsi="仿宋_GB2312" w:cs="仿宋_GB2312" w:eastAsia="仿宋_GB2312"/>
                <w:sz w:val="24"/>
                <w:color w:val="000000"/>
              </w:rPr>
              <w:t>2.物业费不含保修期内的维保费用和保修期满后共用设施设备的大修、中修及整体更换（贰仟元以上）。员工</w:t>
            </w:r>
            <w:r>
              <w:rPr>
                <w:rFonts w:ascii="仿宋_GB2312" w:hAnsi="仿宋_GB2312" w:cs="仿宋_GB2312" w:eastAsia="仿宋_GB2312"/>
                <w:sz w:val="24"/>
                <w:color w:val="000000"/>
              </w:rPr>
              <w:t>基本工资月薪不得低于《成都市人民政府关于调整全市最低工资标准的通知》（成府规〔</w:t>
            </w:r>
            <w:r>
              <w:rPr>
                <w:rFonts w:ascii="仿宋_GB2312" w:hAnsi="仿宋_GB2312" w:cs="仿宋_GB2312" w:eastAsia="仿宋_GB2312"/>
                <w:sz w:val="24"/>
                <w:color w:val="000000"/>
              </w:rPr>
              <w:t>2025〕4号）规定的最低工资标准。</w:t>
            </w:r>
          </w:p>
          <w:p>
            <w:pPr>
              <w:pStyle w:val="null3"/>
              <w:ind w:firstLine="482"/>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履约方式及履约时间：服务期限共三年，合同一年一签。合同签订生效之日起3日内，中标供应商自带机具、办公用品及人员服装等工作必备物品、人员进场，履行应尽合同义务。上年考核合格后，方可签订下年合同。</w:t>
            </w:r>
          </w:p>
          <w:p>
            <w:pPr>
              <w:pStyle w:val="null3"/>
              <w:ind w:firstLine="482"/>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.验收：</w:t>
            </w:r>
          </w:p>
          <w:p>
            <w:pPr>
              <w:pStyle w:val="null3"/>
              <w:ind w:firstLine="482"/>
              <w:jc w:val="both"/>
            </w:pPr>
            <w:r>
              <w:rPr>
                <w:rFonts w:ascii="仿宋_GB2312" w:hAnsi="仿宋_GB2312" w:cs="仿宋_GB2312" w:eastAsia="仿宋_GB2312"/>
                <w:sz w:val="24"/>
                <w:color w:val="000000"/>
              </w:rPr>
              <w:t>验收办法：中标供应商与采购人参照《财政部关于进一步加强政府采购需求和履约验收管理的指导意见》（财库〔</w:t>
            </w:r>
            <w:r>
              <w:rPr>
                <w:rFonts w:ascii="仿宋_GB2312" w:hAnsi="仿宋_GB2312" w:cs="仿宋_GB2312" w:eastAsia="仿宋_GB2312"/>
                <w:sz w:val="24"/>
                <w:color w:val="000000"/>
              </w:rPr>
              <w:t>2016〕205号）的要求进行验收；</w:t>
            </w:r>
          </w:p>
          <w:p>
            <w:pPr>
              <w:pStyle w:val="null3"/>
              <w:jc w:val="both"/>
            </w:pPr>
            <w:r>
              <w:rPr>
                <w:rFonts w:ascii="仿宋_GB2312" w:hAnsi="仿宋_GB2312" w:cs="仿宋_GB2312" w:eastAsia="仿宋_GB2312"/>
                <w:sz w:val="24"/>
                <w:color w:val="000000"/>
              </w:rPr>
              <w:t>验收标准：按国家有关规定、招标文件的服务要求、中标供应商的投标文件及承诺以及合同约定标准进行验收。</w:t>
            </w:r>
          </w:p>
        </w:tc>
      </w:tr>
      <w:tr>
        <w:tc>
          <w:tcPr>
            <w:tcW w:type="dxa" w:w="415"/>
          </w:tcPr>
          <w:p>
            <w:pPr>
              <w:pStyle w:val="null3"/>
              <w:jc w:val="center"/>
            </w:pPr>
            <w:r>
              <w:rPr>
                <w:rFonts w:ascii="仿宋_GB2312" w:hAnsi="仿宋_GB2312" w:cs="仿宋_GB2312" w:eastAsia="仿宋_GB2312"/>
              </w:rPr>
              <w:t>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违约责任（说明：投标人在投标文件中响应）</w:t>
            </w:r>
          </w:p>
        </w:tc>
        <w:tc>
          <w:tcPr>
            <w:tcW w:type="dxa" w:w="5814"/>
          </w:tcPr>
          <w:p>
            <w:pPr>
              <w:pStyle w:val="null3"/>
              <w:ind w:firstLine="482"/>
              <w:jc w:val="both"/>
            </w:pPr>
            <w:r>
              <w:rPr>
                <w:rFonts w:ascii="仿宋_GB2312" w:hAnsi="仿宋_GB2312" w:cs="仿宋_GB2312" w:eastAsia="仿宋_GB2312"/>
                <w:sz w:val="24"/>
                <w:color w:val="000000"/>
              </w:rPr>
              <w:t>1.中标供应商在提供服务的过程中必须遵守国家和地方的相关法律、法规；中标供应商因不遵守国家和地方的法律、法规而引起的纠纷或造成的损失由中标供应商承担相应的法律、经济赔偿责任，并向采购人赔偿因此对采购人造成的直接或间接损失。</w:t>
            </w:r>
          </w:p>
          <w:p>
            <w:pPr>
              <w:pStyle w:val="null3"/>
              <w:ind w:firstLine="482"/>
              <w:jc w:val="both"/>
            </w:pPr>
            <w:r>
              <w:rPr>
                <w:rFonts w:ascii="仿宋_GB2312" w:hAnsi="仿宋_GB2312" w:cs="仿宋_GB2312" w:eastAsia="仿宋_GB2312"/>
                <w:sz w:val="24"/>
                <w:color w:val="000000"/>
              </w:rPr>
              <w:t>2.若采购人对中标供应商考核不合格，采购人有权要求中标供应商限期整改，逾期未整改的或整改不合格的，采购人有权进行罚款或扣除相应物业服务费；造成采购人经济损失的，采购人有权终止合同，中标供应商应给予采购人经济赔偿。</w:t>
            </w:r>
          </w:p>
          <w:p>
            <w:pPr>
              <w:pStyle w:val="null3"/>
              <w:ind w:firstLine="482"/>
              <w:jc w:val="both"/>
            </w:pPr>
            <w:r>
              <w:rPr>
                <w:rFonts w:ascii="仿宋_GB2312" w:hAnsi="仿宋_GB2312" w:cs="仿宋_GB2312" w:eastAsia="仿宋_GB2312"/>
                <w:sz w:val="24"/>
                <w:color w:val="000000"/>
              </w:rPr>
              <w:t>3.中标供应商违反本合同约定，擅自提高收费标准的，或在管理和服务中有徇私舞弊、渎职行为、平时擅自收费行为的，采购人有权督促和要求中标供应商清退所收费用，并向中标供应商按发生费用和造成的经济损失进行双倍处罚和索赔，亦有权终止本合同。</w:t>
            </w:r>
          </w:p>
          <w:p>
            <w:pPr>
              <w:pStyle w:val="null3"/>
              <w:ind w:firstLine="482"/>
              <w:jc w:val="both"/>
            </w:pPr>
            <w:r>
              <w:rPr>
                <w:rFonts w:ascii="仿宋_GB2312" w:hAnsi="仿宋_GB2312" w:cs="仿宋_GB2312" w:eastAsia="仿宋_GB2312"/>
                <w:sz w:val="24"/>
                <w:color w:val="000000"/>
              </w:rPr>
              <w:t>4.因中标供应商管理不善或操作不当等原因造成重大事故的，由中标供应商承担责任并负责善后处理；造成采购人经济损失的，中标供应商应赔偿采购人所有经济损失；产生质量事故的直接原因，以相关主管部门的鉴定为准。</w:t>
            </w:r>
          </w:p>
          <w:p>
            <w:pPr>
              <w:pStyle w:val="null3"/>
              <w:ind w:firstLine="482"/>
              <w:jc w:val="both"/>
            </w:pPr>
            <w:r>
              <w:rPr>
                <w:rFonts w:ascii="仿宋_GB2312" w:hAnsi="仿宋_GB2312" w:cs="仿宋_GB2312" w:eastAsia="仿宋_GB2312"/>
                <w:sz w:val="24"/>
                <w:color w:val="000000"/>
              </w:rPr>
              <w:t>5.在项目本合同签订后，履行过程中，无论任何原因发生合同解除或终止情形，中标供应商必须在 15 个工作日内向采购人移交由采购人提供的全部物业管理用房及物业管理相关档案资料，不得有毁损、擅自涂改和遗失情况；否则中标供应商应当承担由此引起的相应法律责任，若造成采购人经济损失的，还应赔偿采购人的所有经济损失。</w:t>
            </w:r>
          </w:p>
          <w:p>
            <w:pPr>
              <w:pStyle w:val="null3"/>
              <w:ind w:firstLine="482"/>
              <w:jc w:val="both"/>
            </w:pPr>
            <w:r>
              <w:rPr>
                <w:rFonts w:ascii="仿宋_GB2312" w:hAnsi="仿宋_GB2312" w:cs="仿宋_GB2312" w:eastAsia="仿宋_GB2312"/>
                <w:sz w:val="24"/>
                <w:color w:val="000000"/>
              </w:rPr>
              <w:t>6.若因采购人原因逾期支付供应商物业服务费，除应及时支付，还应按照合同约定支付逾期金额1‰/天的违约金。逾期付款超过30天的，中标供应商有权终止合同。</w:t>
            </w:r>
          </w:p>
          <w:p>
            <w:pPr>
              <w:pStyle w:val="null3"/>
              <w:ind w:firstLine="482"/>
              <w:jc w:val="both"/>
            </w:pPr>
            <w:r>
              <w:rPr>
                <w:rFonts w:ascii="仿宋_GB2312" w:hAnsi="仿宋_GB2312" w:cs="仿宋_GB2312" w:eastAsia="仿宋_GB2312"/>
                <w:sz w:val="24"/>
                <w:color w:val="000000"/>
              </w:rPr>
              <w:t>7.因采购人原因导致变更、中止或者终止政府采购合同的，采购人应对中标供应商受到的损失予以赔偿或者补偿。</w:t>
            </w:r>
          </w:p>
        </w:tc>
      </w:tr>
      <w:tr>
        <w:tc>
          <w:tcPr>
            <w:tcW w:type="dxa" w:w="415"/>
          </w:tcPr>
          <w:p>
            <w:pPr>
              <w:pStyle w:val="null3"/>
              <w:jc w:val="center"/>
            </w:pPr>
            <w:r>
              <w:rPr>
                <w:rFonts w:ascii="仿宋_GB2312" w:hAnsi="仿宋_GB2312" w:cs="仿宋_GB2312" w:eastAsia="仿宋_GB2312"/>
              </w:rPr>
              <w:t>10</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报价要求（按下列要求报价）</w:t>
            </w:r>
          </w:p>
        </w:tc>
        <w:tc>
          <w:tcPr>
            <w:tcW w:type="dxa" w:w="5814"/>
          </w:tcPr>
          <w:p>
            <w:pPr>
              <w:pStyle w:val="null3"/>
              <w:ind w:firstLine="482"/>
              <w:jc w:val="both"/>
            </w:pPr>
            <w:r>
              <w:rPr>
                <w:rFonts w:ascii="仿宋_GB2312" w:hAnsi="仿宋_GB2312" w:cs="仿宋_GB2312" w:eastAsia="仿宋_GB2312"/>
                <w:sz w:val="24"/>
                <w:color w:val="000000"/>
              </w:rPr>
              <w:t>1.本项目最高限价：</w:t>
            </w:r>
            <w:r>
              <w:rPr>
                <w:rFonts w:ascii="仿宋_GB2312" w:hAnsi="仿宋_GB2312" w:cs="仿宋_GB2312" w:eastAsia="仿宋_GB2312"/>
                <w:sz w:val="24"/>
                <w:color w:val="000000"/>
              </w:rPr>
              <w:t>1729625.</w:t>
            </w:r>
            <w:r>
              <w:rPr>
                <w:rFonts w:ascii="仿宋_GB2312" w:hAnsi="仿宋_GB2312" w:cs="仿宋_GB2312" w:eastAsia="仿宋_GB2312"/>
                <w:sz w:val="24"/>
                <w:color w:val="000000"/>
              </w:rPr>
              <w:t>07</w:t>
            </w:r>
            <w:r>
              <w:rPr>
                <w:rFonts w:ascii="仿宋_GB2312" w:hAnsi="仿宋_GB2312" w:cs="仿宋_GB2312" w:eastAsia="仿宋_GB2312"/>
                <w:sz w:val="24"/>
                <w:color w:val="000000"/>
              </w:rPr>
              <w:t>元</w:t>
            </w:r>
            <w:r>
              <w:rPr>
                <w:rFonts w:ascii="仿宋_GB2312" w:hAnsi="仿宋_GB2312" w:cs="仿宋_GB2312" w:eastAsia="仿宋_GB2312"/>
                <w:sz w:val="24"/>
                <w:color w:val="000000"/>
              </w:rPr>
              <w:t>/年；投标人投标报价高于此包的最高限价的，则其投标文件将按无效投标文件处理。</w:t>
            </w:r>
          </w:p>
          <w:p>
            <w:pPr>
              <w:pStyle w:val="null3"/>
              <w:ind w:firstLine="482"/>
              <w:jc w:val="both"/>
            </w:pPr>
            <w:r>
              <w:rPr>
                <w:rFonts w:ascii="仿宋_GB2312" w:hAnsi="仿宋_GB2312" w:cs="仿宋_GB2312" w:eastAsia="仿宋_GB2312"/>
                <w:sz w:val="24"/>
                <w:color w:val="000000"/>
              </w:rPr>
              <w:t>2.其他要求</w:t>
            </w:r>
          </w:p>
          <w:p>
            <w:pPr>
              <w:pStyle w:val="null3"/>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在评标过程中，评标委员会认为投标人投标报价明显低于其他通过符合性审查投标人的投标报价，有可能影响服务质量或者不能诚信履约的，评标委员会应当要求其在合理的时间内提供书面说明，必要时提交相关证明材料。投标人提交的书面说明、相关证明材料（如涉及），应当加盖投标人（法定名称）电子签章，在评标委员会要求的时间内进行提交，否则无效。如因断电、断网、系统故障或其他不可抗力等因素，导致系统无法使用的，由投标人按评标委员会的要求进行澄清或者说明。投标人不能证明其投标报价合理性的，评标委员会应当将其投标文件作为无效处理。</w:t>
            </w:r>
          </w:p>
          <w:p>
            <w:pPr>
              <w:pStyle w:val="null3"/>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2）投标人报价应符合政府采购及国家或地方相关政策法规规定，报价包含员工工资、社保、加班费；</w:t>
            </w:r>
            <w:r>
              <w:rPr>
                <w:rFonts w:ascii="仿宋_GB2312" w:hAnsi="仿宋_GB2312" w:cs="仿宋_GB2312" w:eastAsia="仿宋_GB2312"/>
                <w:sz w:val="24"/>
                <w:color w:val="000000"/>
              </w:rPr>
              <w:t>法定计提费用；</w:t>
            </w:r>
            <w:r>
              <w:rPr>
                <w:rFonts w:ascii="仿宋_GB2312" w:hAnsi="仿宋_GB2312" w:cs="仿宋_GB2312" w:eastAsia="仿宋_GB2312"/>
                <w:sz w:val="24"/>
                <w:color w:val="000000"/>
              </w:rPr>
              <w:t>服装费；物资耗材工具；综合维修日常维护费【含电梯维保（含年检送检服务）、二次供水检测及清洗费用、化粪池清理维护费用、消防维保费、避雷检测费等】；共用设施设备日常能耗费（含公共照明及其他设施能耗电费、电梯电费、保洁绿化用水费用）</w:t>
            </w:r>
            <w:r>
              <w:rPr>
                <w:rFonts w:ascii="仿宋_GB2312" w:hAnsi="仿宋_GB2312" w:cs="仿宋_GB2312" w:eastAsia="仿宋_GB2312"/>
                <w:sz w:val="24"/>
                <w:color w:val="000000"/>
              </w:rPr>
              <w:t>；</w:t>
            </w:r>
            <w:r>
              <w:rPr>
                <w:rFonts w:ascii="仿宋_GB2312" w:hAnsi="仿宋_GB2312" w:cs="仿宋_GB2312" w:eastAsia="仿宋_GB2312"/>
                <w:sz w:val="24"/>
                <w:color w:val="000000"/>
              </w:rPr>
              <w:t>高温津贴；奖金；</w:t>
            </w:r>
            <w:r>
              <w:rPr>
                <w:rFonts w:ascii="仿宋_GB2312" w:hAnsi="仿宋_GB2312" w:cs="仿宋_GB2312" w:eastAsia="仿宋_GB2312"/>
                <w:sz w:val="24"/>
                <w:color w:val="000000"/>
              </w:rPr>
              <w:t>招标文件要求的其他费用；管理费、利润、税费（</w:t>
            </w:r>
            <w:r>
              <w:rPr>
                <w:rFonts w:ascii="仿宋_GB2312" w:hAnsi="仿宋_GB2312" w:cs="仿宋_GB2312" w:eastAsia="仿宋_GB2312"/>
                <w:sz w:val="24"/>
                <w:color w:val="000000"/>
              </w:rPr>
              <w:t>至少包含</w:t>
            </w:r>
            <w:r>
              <w:rPr>
                <w:rFonts w:ascii="仿宋_GB2312" w:hAnsi="仿宋_GB2312" w:cs="仿宋_GB2312" w:eastAsia="仿宋_GB2312"/>
                <w:sz w:val="24"/>
                <w:color w:val="000000"/>
              </w:rPr>
              <w:t>增值税及</w:t>
            </w:r>
            <w:r>
              <w:rPr>
                <w:rFonts w:ascii="仿宋_GB2312" w:hAnsi="仿宋_GB2312" w:cs="仿宋_GB2312" w:eastAsia="仿宋_GB2312"/>
                <w:sz w:val="24"/>
                <w:color w:val="000000"/>
              </w:rPr>
              <w:t>其</w:t>
            </w:r>
            <w:r>
              <w:rPr>
                <w:rFonts w:ascii="仿宋_GB2312" w:hAnsi="仿宋_GB2312" w:cs="仿宋_GB2312" w:eastAsia="仿宋_GB2312"/>
                <w:sz w:val="24"/>
                <w:color w:val="000000"/>
              </w:rPr>
              <w:t>附加）。报价应按招标文件要求提供分项报价明细表且逐一分项计入投标报</w:t>
            </w:r>
            <w:r>
              <w:rPr>
                <w:rFonts w:ascii="仿宋_GB2312" w:hAnsi="仿宋_GB2312" w:cs="仿宋_GB2312" w:eastAsia="仿宋_GB2312"/>
                <w:sz w:val="24"/>
                <w:color w:val="000000"/>
              </w:rPr>
              <w:t>价，如未按要求提供分项报价明细表、未按招标文件要求逐一分项列明各费用项目与报价、或报价不满足招标文件要求的，则视为未实质性响应。分项报价明细表中各明细费用不得以</w:t>
            </w:r>
            <w:r>
              <w:rPr>
                <w:rFonts w:ascii="仿宋_GB2312" w:hAnsi="仿宋_GB2312" w:cs="仿宋_GB2312" w:eastAsia="仿宋_GB2312"/>
                <w:sz w:val="24"/>
                <w:color w:val="000000"/>
              </w:rPr>
              <w:t>“企业让利”、“已有耗材或设施设备库存”等形式免费或无偿、赠送或零报价提供服务。</w:t>
            </w:r>
          </w:p>
          <w:p>
            <w:pPr>
              <w:pStyle w:val="null3"/>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.1</w:t>
            </w:r>
            <w:r>
              <w:rPr>
                <w:rFonts w:ascii="仿宋_GB2312" w:hAnsi="仿宋_GB2312" w:cs="仿宋_GB2312" w:eastAsia="仿宋_GB2312"/>
                <w:sz w:val="24"/>
                <w:color w:val="000000"/>
              </w:rPr>
              <w:t>）员工工资：</w:t>
            </w:r>
            <w:r>
              <w:rPr>
                <w:rFonts w:ascii="仿宋_GB2312" w:hAnsi="仿宋_GB2312" w:cs="仿宋_GB2312" w:eastAsia="仿宋_GB2312"/>
                <w:sz w:val="24"/>
                <w:color w:val="000000"/>
              </w:rPr>
              <w:t>不得低于《成都市人民政府关于调整全市最低工资标准的通知》（成府规〔</w:t>
            </w:r>
            <w:r>
              <w:rPr>
                <w:rFonts w:ascii="仿宋_GB2312" w:hAnsi="仿宋_GB2312" w:cs="仿宋_GB2312" w:eastAsia="仿宋_GB2312"/>
                <w:sz w:val="24"/>
                <w:color w:val="000000"/>
              </w:rPr>
              <w:t>2025〕4号）规定的最低工资标准。</w:t>
            </w:r>
          </w:p>
          <w:p>
            <w:pPr>
              <w:pStyle w:val="null3"/>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社会保险：</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应遵守劳动法规，为本项目的服务人员提供劳动保障，按政府法律法规的规定为所有人员签订劳动合同并购买社会保险，购买险种包含：养老保险、医疗保险（含生育保险）、大病医疗保险、工伤保险、失业保险</w:t>
            </w:r>
            <w:r>
              <w:rPr>
                <w:rFonts w:ascii="仿宋_GB2312" w:hAnsi="仿宋_GB2312" w:cs="仿宋_GB2312" w:eastAsia="仿宋_GB2312"/>
                <w:sz w:val="24"/>
                <w:color w:val="000000"/>
              </w:rPr>
              <w:t>，</w:t>
            </w:r>
            <w:r>
              <w:rPr>
                <w:rFonts w:ascii="仿宋_GB2312" w:hAnsi="仿宋_GB2312" w:cs="仿宋_GB2312" w:eastAsia="仿宋_GB2312"/>
                <w:sz w:val="24"/>
                <w:color w:val="000000"/>
              </w:rPr>
              <w:t>单位缴纳社保缴费基数不得低于项目所在地当年最新政策规定的最低社会保险缴费基数，若发现未按要求执行的，采购人有权要求供应商进行整改，整改不合格的，采购人有权终止与供应商的物业服务合同。提供社保计算明细清单包含各险种计算基数、各险种计算比例</w:t>
            </w:r>
            <w:r>
              <w:rPr>
                <w:rFonts w:ascii="仿宋_GB2312" w:hAnsi="仿宋_GB2312" w:cs="仿宋_GB2312" w:eastAsia="仿宋_GB2312"/>
                <w:sz w:val="24"/>
                <w:color w:val="000000"/>
              </w:rPr>
              <w:t>及缴交金额</w:t>
            </w:r>
            <w:r>
              <w:rPr>
                <w:rFonts w:ascii="仿宋_GB2312" w:hAnsi="仿宋_GB2312" w:cs="仿宋_GB2312" w:eastAsia="仿宋_GB2312"/>
                <w:sz w:val="24"/>
                <w:color w:val="000000"/>
              </w:rPr>
              <w:t>，不允许缺项。</w:t>
            </w:r>
            <w:r>
              <w:rPr>
                <w:rFonts w:ascii="仿宋_GB2312" w:hAnsi="仿宋_GB2312" w:cs="仿宋_GB2312" w:eastAsia="仿宋_GB2312"/>
                <w:sz w:val="24"/>
                <w:color w:val="000000"/>
              </w:rPr>
              <w:t>工伤保险按照供应商实际缴纳比例计算，并提供行政主管部门的相关证明材料。</w:t>
            </w:r>
          </w:p>
          <w:p>
            <w:pPr>
              <w:pStyle w:val="null3"/>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.3</w:t>
            </w:r>
            <w:r>
              <w:rPr>
                <w:rFonts w:ascii="仿宋_GB2312" w:hAnsi="仿宋_GB2312" w:cs="仿宋_GB2312" w:eastAsia="仿宋_GB2312"/>
                <w:sz w:val="24"/>
                <w:color w:val="000000"/>
              </w:rPr>
              <w:t>）加班费：按照采购文件要求，</w:t>
            </w:r>
            <w:r>
              <w:rPr>
                <w:rFonts w:ascii="仿宋_GB2312" w:hAnsi="仿宋_GB2312" w:cs="仿宋_GB2312" w:eastAsia="仿宋_GB2312"/>
                <w:sz w:val="24"/>
                <w:color w:val="000000"/>
              </w:rPr>
              <w:t>2024年11月修订的《全国年节及纪念日放假办法》及【中华人民共和国劳动法(2018修正)】文规定用人单位应当依法支付相应的加班费。如果工资等于最低工资标准，日工资标准按照不低于《成都市人民政府关于调整全市最低工资标准的通知》（成府规〔2025〕4号）规定的最低工资标准(第一档)计算，如果工资高于最低工资标准，其中日工资、小时工资折算按照《人力资源社会保障部关于职工全年月平均工作时间和工资折算问题的通知》（人社部发〔2025〕2号）计算，并在报价明细表中逐一列明所涉及的各</w:t>
            </w:r>
            <w:r>
              <w:rPr>
                <w:rFonts w:ascii="仿宋_GB2312" w:hAnsi="仿宋_GB2312" w:cs="仿宋_GB2312" w:eastAsia="仿宋_GB2312"/>
                <w:sz w:val="24"/>
                <w:color w:val="000000"/>
              </w:rPr>
              <w:t>岗位</w:t>
            </w:r>
            <w:r>
              <w:rPr>
                <w:rFonts w:ascii="仿宋_GB2312" w:hAnsi="仿宋_GB2312" w:cs="仿宋_GB2312" w:eastAsia="仿宋_GB2312"/>
                <w:sz w:val="24"/>
                <w:color w:val="000000"/>
              </w:rPr>
              <w:t>加班费的计算过程。</w:t>
            </w:r>
          </w:p>
          <w:p>
            <w:pPr>
              <w:pStyle w:val="null3"/>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法定计提费用</w:t>
            </w:r>
            <w:r>
              <w:rPr>
                <w:rFonts w:ascii="仿宋_GB2312" w:hAnsi="仿宋_GB2312" w:cs="仿宋_GB2312" w:eastAsia="仿宋_GB2312"/>
                <w:sz w:val="24"/>
                <w:color w:val="000000"/>
              </w:rPr>
              <w:t>：</w:t>
            </w:r>
          </w:p>
          <w:p>
            <w:pPr>
              <w:pStyle w:val="null3"/>
              <w:ind w:firstLine="482"/>
              <w:jc w:val="both"/>
            </w:pPr>
            <w:r>
              <w:rPr>
                <w:rFonts w:ascii="仿宋_GB2312" w:hAnsi="仿宋_GB2312" w:cs="仿宋_GB2312" w:eastAsia="仿宋_GB2312"/>
                <w:sz w:val="24"/>
                <w:color w:val="000000"/>
              </w:rPr>
              <w:t>教育经费：按照国家法定要求进入费用报价，本项目应分摊的教育经费年缴纳额</w:t>
            </w:r>
            <w:r>
              <w:rPr>
                <w:rFonts w:ascii="仿宋_GB2312" w:hAnsi="仿宋_GB2312" w:cs="仿宋_GB2312" w:eastAsia="仿宋_GB2312"/>
                <w:sz w:val="24"/>
                <w:color w:val="000000"/>
              </w:rPr>
              <w:t>=本项目年工资总额×1.5%。</w:t>
            </w:r>
          </w:p>
          <w:p>
            <w:pPr>
              <w:pStyle w:val="null3"/>
              <w:ind w:firstLine="482"/>
              <w:jc w:val="both"/>
            </w:pPr>
            <w:r>
              <w:rPr>
                <w:rFonts w:ascii="仿宋_GB2312" w:hAnsi="仿宋_GB2312" w:cs="仿宋_GB2312" w:eastAsia="仿宋_GB2312"/>
                <w:sz w:val="24"/>
                <w:color w:val="000000"/>
              </w:rPr>
              <w:t>工会经费：无论投标人是否成立工会组织都应按照国家法定要求进入费用报价，本项目应分摊的工会经费年缴纳额</w:t>
            </w:r>
            <w:r>
              <w:rPr>
                <w:rFonts w:ascii="仿宋_GB2312" w:hAnsi="仿宋_GB2312" w:cs="仿宋_GB2312" w:eastAsia="仿宋_GB2312"/>
                <w:sz w:val="24"/>
                <w:color w:val="000000"/>
              </w:rPr>
              <w:t>=本项目年工资总额×2%。</w:t>
            </w:r>
          </w:p>
          <w:p>
            <w:pPr>
              <w:pStyle w:val="null3"/>
              <w:ind w:firstLine="482"/>
              <w:jc w:val="both"/>
            </w:pPr>
            <w:r>
              <w:rPr>
                <w:rFonts w:ascii="仿宋_GB2312" w:hAnsi="仿宋_GB2312" w:cs="仿宋_GB2312" w:eastAsia="仿宋_GB2312"/>
                <w:sz w:val="24"/>
                <w:color w:val="000000"/>
              </w:rPr>
              <w:t>残疾人保障金：本项目应分摊的残疾人就业保障金应符合财政部及成都市</w:t>
            </w:r>
            <w:r>
              <w:rPr>
                <w:rFonts w:ascii="仿宋_GB2312" w:hAnsi="仿宋_GB2312" w:cs="仿宋_GB2312" w:eastAsia="仿宋_GB2312"/>
                <w:sz w:val="24"/>
                <w:color w:val="000000"/>
              </w:rPr>
              <w:t>[《成都市残疾人就业保障金征收使用管理实施细则》（成财规〔2021〕1号）]等相关规定：年度残疾人就业保障金=（本项目服务人数×1.6%-本项目安排的残疾人数）×本项目年平均工资】</w:t>
            </w:r>
            <w:r>
              <w:rPr>
                <w:rFonts w:ascii="仿宋_GB2312" w:hAnsi="仿宋_GB2312" w:cs="仿宋_GB2312" w:eastAsia="仿宋_GB2312"/>
                <w:sz w:val="24"/>
                <w:color w:val="000000"/>
              </w:rPr>
              <w:t>，</w:t>
            </w:r>
            <w:r>
              <w:rPr>
                <w:rFonts w:ascii="仿宋_GB2312" w:hAnsi="仿宋_GB2312" w:cs="仿宋_GB2312" w:eastAsia="仿宋_GB2312"/>
                <w:sz w:val="24"/>
                <w:color w:val="000000"/>
              </w:rPr>
              <w:t>投标人应在报价明细中先按此公式计算并明确应交</w:t>
            </w:r>
            <w:r>
              <w:rPr>
                <w:rFonts w:ascii="仿宋_GB2312" w:hAnsi="仿宋_GB2312" w:cs="仿宋_GB2312" w:eastAsia="仿宋_GB2312"/>
                <w:sz w:val="24"/>
                <w:color w:val="000000"/>
              </w:rPr>
              <w:t>年度残疾人就业保障金</w:t>
            </w:r>
            <w:r>
              <w:rPr>
                <w:rFonts w:ascii="仿宋_GB2312" w:hAnsi="仿宋_GB2312" w:cs="仿宋_GB2312" w:eastAsia="仿宋_GB2312"/>
                <w:sz w:val="24"/>
                <w:color w:val="000000"/>
              </w:rPr>
              <w:t>数额。</w:t>
            </w:r>
          </w:p>
          <w:p>
            <w:pPr>
              <w:pStyle w:val="null3"/>
              <w:ind w:firstLine="482"/>
              <w:jc w:val="both"/>
            </w:pPr>
            <w:r>
              <w:rPr>
                <w:rFonts w:ascii="仿宋_GB2312" w:hAnsi="仿宋_GB2312" w:cs="仿宋_GB2312" w:eastAsia="仿宋_GB2312"/>
                <w:sz w:val="24"/>
                <w:color w:val="000000"/>
              </w:rPr>
              <w:t>投标人实际安排的残疾人就业人数</w:t>
            </w:r>
            <w:r>
              <w:rPr>
                <w:rFonts w:ascii="仿宋_GB2312" w:hAnsi="仿宋_GB2312" w:cs="仿宋_GB2312" w:eastAsia="仿宋_GB2312"/>
                <w:sz w:val="24"/>
                <w:color w:val="000000"/>
              </w:rPr>
              <w:t>≥1时，应提供残疾人员名单、身份证复印件、残疾人证复印件、1年及以上劳动合同复印件，近三月以来任意一月为残疾人缴纳的社保凭据（包含五险）及近三月以来任意一月为其发放工资（工资不低于当地最低工资标准）支付凭据（或工资流水）复印件。</w:t>
            </w:r>
          </w:p>
          <w:p>
            <w:pPr>
              <w:pStyle w:val="null3"/>
              <w:ind w:firstLine="482"/>
              <w:jc w:val="both"/>
            </w:pPr>
            <w:r>
              <w:rPr>
                <w:rFonts w:ascii="仿宋_GB2312" w:hAnsi="仿宋_GB2312" w:cs="仿宋_GB2312" w:eastAsia="仿宋_GB2312"/>
                <w:sz w:val="24"/>
                <w:color w:val="000000"/>
              </w:rPr>
              <w:t>本项目应分摊的住房公积金：供应商根据现行《成都住房公积金缴存管理办法》（成公积金委〔</w:t>
            </w:r>
            <w:r>
              <w:rPr>
                <w:rFonts w:ascii="仿宋_GB2312" w:hAnsi="仿宋_GB2312" w:cs="仿宋_GB2312" w:eastAsia="仿宋_GB2312"/>
                <w:sz w:val="24"/>
                <w:color w:val="000000"/>
              </w:rPr>
              <w:t>2021]7号）《成都住房公积金缴存管理实施细则》（成公积金[2021]42号），缴存基数和缴存比例按《成都住房公积金管理委员会关于公布成都住房公积金缴存基数及缴存比例执行标准的通知》（成公积金委〔2025〕4号）执行等相关规定结合其拟为本项目配置全日制人员实际情况计算并在报价明细中</w:t>
            </w:r>
            <w:r>
              <w:rPr>
                <w:rFonts w:ascii="仿宋_GB2312" w:hAnsi="仿宋_GB2312" w:cs="仿宋_GB2312" w:eastAsia="仿宋_GB2312"/>
                <w:sz w:val="24"/>
                <w:color w:val="000000"/>
              </w:rPr>
              <w:t>提供公积金计算明细表</w:t>
            </w:r>
            <w:r>
              <w:rPr>
                <w:rFonts w:ascii="仿宋_GB2312" w:hAnsi="仿宋_GB2312" w:cs="仿宋_GB2312" w:eastAsia="仿宋_GB2312"/>
                <w:sz w:val="24"/>
                <w:color w:val="000000"/>
              </w:rPr>
              <w:t>体现每一岗位员工住房公积金月缴存具体数额（至少包含每一岗位月缴存基数、缴存比例、月缴存金额</w:t>
            </w:r>
            <w:r>
              <w:rPr>
                <w:rFonts w:ascii="仿宋_GB2312" w:hAnsi="仿宋_GB2312" w:cs="仿宋_GB2312" w:eastAsia="仿宋_GB2312"/>
                <w:sz w:val="24"/>
                <w:color w:val="000000"/>
              </w:rPr>
              <w:t>、</w:t>
            </w:r>
            <w:r>
              <w:rPr>
                <w:rFonts w:ascii="仿宋_GB2312" w:hAnsi="仿宋_GB2312" w:cs="仿宋_GB2312" w:eastAsia="仿宋_GB2312"/>
                <w:sz w:val="24"/>
                <w:color w:val="000000"/>
              </w:rPr>
              <w:t>年</w:t>
            </w:r>
            <w:r>
              <w:rPr>
                <w:rFonts w:ascii="仿宋_GB2312" w:hAnsi="仿宋_GB2312" w:cs="仿宋_GB2312" w:eastAsia="仿宋_GB2312"/>
                <w:sz w:val="24"/>
                <w:color w:val="000000"/>
              </w:rPr>
              <w:t>缴存金额）并符合相关文件规定。住房公积金缴存比例不得低于</w:t>
            </w:r>
            <w:r>
              <w:rPr>
                <w:rFonts w:ascii="仿宋_GB2312" w:hAnsi="仿宋_GB2312" w:cs="仿宋_GB2312" w:eastAsia="仿宋_GB2312"/>
                <w:sz w:val="24"/>
                <w:color w:val="000000"/>
              </w:rPr>
              <w:t>5%，不得高于12%。</w:t>
            </w:r>
          </w:p>
          <w:p>
            <w:pPr>
              <w:pStyle w:val="null3"/>
              <w:ind w:firstLine="482"/>
              <w:jc w:val="both"/>
            </w:pPr>
            <w:r>
              <w:rPr>
                <w:rFonts w:ascii="仿宋_GB2312" w:hAnsi="仿宋_GB2312" w:cs="仿宋_GB2312" w:eastAsia="仿宋_GB2312"/>
                <w:sz w:val="24"/>
                <w:color w:val="000000"/>
              </w:rPr>
              <w:t>缴存基数和缴存比例若有最新政策要求的按照成都住房公积金管理委员会发布的最新文件要求执行。投标人所报公积金应充分考虑项目服务期超过一年的情形。</w:t>
            </w:r>
          </w:p>
          <w:p>
            <w:pPr>
              <w:pStyle w:val="null3"/>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.5</w:t>
            </w:r>
            <w:r>
              <w:rPr>
                <w:rFonts w:ascii="仿宋_GB2312" w:hAnsi="仿宋_GB2312" w:cs="仿宋_GB2312" w:eastAsia="仿宋_GB2312"/>
                <w:sz w:val="24"/>
                <w:color w:val="000000"/>
              </w:rPr>
              <w:t>）服装费：</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应为本项目所有从业人员配置春秋季工作服共</w:t>
            </w:r>
            <w:r>
              <w:rPr>
                <w:rFonts w:ascii="仿宋_GB2312" w:hAnsi="仿宋_GB2312" w:cs="仿宋_GB2312" w:eastAsia="仿宋_GB2312"/>
                <w:sz w:val="24"/>
                <w:color w:val="000000"/>
              </w:rPr>
              <w:t>2套/年/人、夏季工作服2套/年/人、冬季工作服2套/年/人，秩序维护员</w:t>
            </w:r>
            <w:r>
              <w:rPr>
                <w:rFonts w:ascii="仿宋_GB2312" w:hAnsi="仿宋_GB2312" w:cs="仿宋_GB2312" w:eastAsia="仿宋_GB2312"/>
                <w:sz w:val="24"/>
                <w:color w:val="000000"/>
              </w:rPr>
              <w:t>还应配置保安帽子</w:t>
            </w:r>
            <w:r>
              <w:rPr>
                <w:rFonts w:ascii="仿宋_GB2312" w:hAnsi="仿宋_GB2312" w:cs="仿宋_GB2312" w:eastAsia="仿宋_GB2312"/>
                <w:sz w:val="24"/>
                <w:color w:val="000000"/>
              </w:rPr>
              <w:t>1</w:t>
            </w:r>
            <w:r>
              <w:rPr>
                <w:rFonts w:ascii="仿宋_GB2312" w:hAnsi="仿宋_GB2312" w:cs="仿宋_GB2312" w:eastAsia="仿宋_GB2312"/>
                <w:sz w:val="24"/>
                <w:color w:val="000000"/>
              </w:rPr>
              <w:t>顶</w:t>
            </w:r>
            <w:r>
              <w:rPr>
                <w:rFonts w:ascii="仿宋_GB2312" w:hAnsi="仿宋_GB2312" w:cs="仿宋_GB2312" w:eastAsia="仿宋_GB2312"/>
                <w:sz w:val="24"/>
                <w:color w:val="000000"/>
              </w:rPr>
              <w:t>/年/人。</w:t>
            </w:r>
            <w:r>
              <w:rPr>
                <w:rFonts w:ascii="仿宋_GB2312" w:hAnsi="仿宋_GB2312" w:cs="仿宋_GB2312" w:eastAsia="仿宋_GB2312"/>
                <w:sz w:val="24"/>
                <w:color w:val="000000"/>
              </w:rPr>
              <w:t>供应商承诺按全新购置仅供本项目单独使用计算并计入本项目成本报价（不包含已计入其他项目成本或库存的情形），且在报价中报出服装费的单价（元</w:t>
            </w:r>
            <w:r>
              <w:rPr>
                <w:rFonts w:ascii="仿宋_GB2312" w:hAnsi="仿宋_GB2312" w:cs="仿宋_GB2312" w:eastAsia="仿宋_GB2312"/>
                <w:sz w:val="24"/>
                <w:color w:val="000000"/>
              </w:rPr>
              <w:t>/套.人）及服装总套数。</w:t>
            </w:r>
          </w:p>
          <w:p>
            <w:pPr>
              <w:pStyle w:val="null3"/>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日常</w:t>
            </w:r>
            <w:r>
              <w:rPr>
                <w:rFonts w:ascii="仿宋_GB2312" w:hAnsi="仿宋_GB2312" w:cs="仿宋_GB2312" w:eastAsia="仿宋_GB2312"/>
                <w:sz w:val="24"/>
                <w:color w:val="000000"/>
              </w:rPr>
              <w:t>耗材工具：由供应商按自身经验结合本项目情况计算物资耗材工具。</w:t>
            </w:r>
          </w:p>
          <w:p>
            <w:pPr>
              <w:pStyle w:val="null3"/>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.7</w:t>
            </w:r>
            <w:r>
              <w:rPr>
                <w:rFonts w:ascii="仿宋_GB2312" w:hAnsi="仿宋_GB2312" w:cs="仿宋_GB2312" w:eastAsia="仿宋_GB2312"/>
                <w:sz w:val="24"/>
                <w:color w:val="000000"/>
              </w:rPr>
              <w:t>）综合维修日常维护费：供应商按招标文件要求根据本项目情况逐一列明电梯维保（含年检送检服务）、二次供水检测及清洗费用、化粪池清理维护费用、消防维保费、避雷检测费等。</w:t>
            </w:r>
          </w:p>
          <w:p>
            <w:pPr>
              <w:pStyle w:val="null3"/>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.8</w:t>
            </w:r>
            <w:r>
              <w:rPr>
                <w:rFonts w:ascii="仿宋_GB2312" w:hAnsi="仿宋_GB2312" w:cs="仿宋_GB2312" w:eastAsia="仿宋_GB2312"/>
                <w:sz w:val="24"/>
                <w:color w:val="000000"/>
              </w:rPr>
              <w:t>）共用设施设备日常能耗费：供应商按招标文件要求根据本项目情况逐一列明公共照明及其他设施能耗电费、电梯电费、保洁绿化用水费用。</w:t>
            </w:r>
          </w:p>
          <w:p>
            <w:pPr>
              <w:pStyle w:val="null3"/>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.9</w:t>
            </w:r>
            <w:r>
              <w:rPr>
                <w:rFonts w:ascii="仿宋_GB2312" w:hAnsi="仿宋_GB2312" w:cs="仿宋_GB2312" w:eastAsia="仿宋_GB2312"/>
                <w:sz w:val="24"/>
                <w:color w:val="000000"/>
              </w:rPr>
              <w:t>）招标文件要求的其他费用：供应商按招标文件要求根据本项目情况逐一列明。</w:t>
            </w:r>
          </w:p>
          <w:p>
            <w:pPr>
              <w:pStyle w:val="null3"/>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2.10</w:t>
            </w:r>
            <w:r>
              <w:rPr>
                <w:rFonts w:ascii="仿宋_GB2312" w:hAnsi="仿宋_GB2312" w:cs="仿宋_GB2312" w:eastAsia="仿宋_GB2312"/>
                <w:sz w:val="24"/>
                <w:color w:val="000000"/>
              </w:rPr>
              <w:t>）高温津贴：不得低于《四川省人力资源和社会保障厅等</w:t>
            </w:r>
            <w:r>
              <w:rPr>
                <w:rFonts w:ascii="仿宋_GB2312" w:hAnsi="仿宋_GB2312" w:cs="仿宋_GB2312" w:eastAsia="仿宋_GB2312"/>
                <w:sz w:val="24"/>
                <w:color w:val="000000"/>
              </w:rPr>
              <w:t>4部门关于调整四川省高温津贴标准的通知》的最低标准。</w:t>
            </w:r>
          </w:p>
          <w:p>
            <w:pPr>
              <w:pStyle w:val="null3"/>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2.11</w:t>
            </w:r>
            <w:r>
              <w:rPr>
                <w:rFonts w:ascii="仿宋_GB2312" w:hAnsi="仿宋_GB2312" w:cs="仿宋_GB2312" w:eastAsia="仿宋_GB2312"/>
                <w:sz w:val="24"/>
                <w:color w:val="000000"/>
              </w:rPr>
              <w:t>）奖金：由投标人按自身经验结合本项目情况计算，至少包括春节、国庆节</w:t>
            </w:r>
            <w:r>
              <w:rPr>
                <w:rFonts w:ascii="仿宋_GB2312" w:hAnsi="仿宋_GB2312" w:cs="仿宋_GB2312" w:eastAsia="仿宋_GB2312"/>
                <w:sz w:val="24"/>
                <w:color w:val="000000"/>
              </w:rPr>
              <w:t>，</w:t>
            </w:r>
            <w:r>
              <w:rPr>
                <w:rFonts w:ascii="仿宋_GB2312" w:hAnsi="仿宋_GB2312" w:cs="仿宋_GB2312" w:eastAsia="仿宋_GB2312"/>
                <w:sz w:val="24"/>
                <w:color w:val="000000"/>
              </w:rPr>
              <w:t>报价中</w:t>
            </w:r>
            <w:r>
              <w:rPr>
                <w:rFonts w:ascii="仿宋_GB2312" w:hAnsi="仿宋_GB2312" w:cs="仿宋_GB2312" w:eastAsia="仿宋_GB2312"/>
                <w:sz w:val="24"/>
                <w:color w:val="000000"/>
              </w:rPr>
              <w:t>须</w:t>
            </w:r>
            <w:r>
              <w:rPr>
                <w:rFonts w:ascii="仿宋_GB2312" w:hAnsi="仿宋_GB2312" w:cs="仿宋_GB2312" w:eastAsia="仿宋_GB2312"/>
                <w:sz w:val="24"/>
                <w:color w:val="000000"/>
              </w:rPr>
              <w:t>分别体现每个岗位</w:t>
            </w:r>
            <w:r>
              <w:rPr>
                <w:rFonts w:ascii="仿宋_GB2312" w:hAnsi="仿宋_GB2312" w:cs="仿宋_GB2312" w:eastAsia="仿宋_GB2312"/>
                <w:sz w:val="24"/>
                <w:color w:val="000000"/>
              </w:rPr>
              <w:t>每个节日的费用单价（元</w:t>
            </w:r>
            <w:r>
              <w:rPr>
                <w:rFonts w:ascii="仿宋_GB2312" w:hAnsi="仿宋_GB2312" w:cs="仿宋_GB2312" w:eastAsia="仿宋_GB2312"/>
                <w:sz w:val="24"/>
                <w:color w:val="000000"/>
              </w:rPr>
              <w:t>/人/</w:t>
            </w:r>
            <w:r>
              <w:rPr>
                <w:rFonts w:ascii="仿宋_GB2312" w:hAnsi="仿宋_GB2312" w:cs="仿宋_GB2312" w:eastAsia="仿宋_GB2312"/>
                <w:sz w:val="24"/>
                <w:color w:val="000000"/>
              </w:rPr>
              <w:t>月</w:t>
            </w:r>
            <w:r>
              <w:rPr>
                <w:rFonts w:ascii="仿宋_GB2312" w:hAnsi="仿宋_GB2312" w:cs="仿宋_GB2312" w:eastAsia="仿宋_GB2312"/>
                <w:sz w:val="24"/>
                <w:color w:val="000000"/>
              </w:rPr>
              <w:t>）。</w:t>
            </w:r>
          </w:p>
          <w:p>
            <w:pPr>
              <w:pStyle w:val="null3"/>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.12</w:t>
            </w:r>
            <w:r>
              <w:rPr>
                <w:rFonts w:ascii="仿宋_GB2312" w:hAnsi="仿宋_GB2312" w:cs="仿宋_GB2312" w:eastAsia="仿宋_GB2312"/>
                <w:sz w:val="24"/>
                <w:color w:val="000000"/>
              </w:rPr>
              <w:t>）管理费</w:t>
            </w:r>
            <w:r>
              <w:rPr>
                <w:rFonts w:ascii="仿宋_GB2312" w:hAnsi="仿宋_GB2312" w:cs="仿宋_GB2312" w:eastAsia="仿宋_GB2312"/>
                <w:sz w:val="24"/>
                <w:color w:val="000000"/>
              </w:rPr>
              <w:t>:由供应商按自身经验结合本项目情况计算。</w:t>
            </w:r>
          </w:p>
          <w:p>
            <w:pPr>
              <w:pStyle w:val="null3"/>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.13</w:t>
            </w:r>
            <w:r>
              <w:rPr>
                <w:rFonts w:ascii="仿宋_GB2312" w:hAnsi="仿宋_GB2312" w:cs="仿宋_GB2312" w:eastAsia="仿宋_GB2312"/>
                <w:sz w:val="24"/>
                <w:color w:val="000000"/>
              </w:rPr>
              <w:t>）利润</w:t>
            </w:r>
            <w:r>
              <w:rPr>
                <w:rFonts w:ascii="仿宋_GB2312" w:hAnsi="仿宋_GB2312" w:cs="仿宋_GB2312" w:eastAsia="仿宋_GB2312"/>
                <w:sz w:val="24"/>
                <w:color w:val="000000"/>
              </w:rPr>
              <w:t>:由供应商按自身经验结合本项目情况计算。</w:t>
            </w:r>
          </w:p>
          <w:p>
            <w:pPr>
              <w:pStyle w:val="null3"/>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.14</w:t>
            </w:r>
            <w:r>
              <w:rPr>
                <w:rFonts w:ascii="仿宋_GB2312" w:hAnsi="仿宋_GB2312" w:cs="仿宋_GB2312" w:eastAsia="仿宋_GB2312"/>
                <w:sz w:val="24"/>
                <w:color w:val="000000"/>
              </w:rPr>
              <w:t>）税费：</w:t>
            </w:r>
            <w:r>
              <w:rPr>
                <w:rFonts w:ascii="仿宋_GB2312" w:hAnsi="仿宋_GB2312" w:cs="仿宋_GB2312" w:eastAsia="仿宋_GB2312"/>
                <w:sz w:val="24"/>
                <w:color w:val="000000"/>
              </w:rPr>
              <w:t>以上述费用之和按税费比率计算，税费按各投标人增值税纳税人身份的比例计算并符合现行政策法规，投标人应明确各自增值税纳税人身份及各项</w:t>
            </w:r>
            <w:r>
              <w:rPr>
                <w:rFonts w:ascii="仿宋_GB2312" w:hAnsi="仿宋_GB2312" w:cs="仿宋_GB2312" w:eastAsia="仿宋_GB2312"/>
                <w:sz w:val="24"/>
                <w:color w:val="000000"/>
              </w:rPr>
              <w:t>明细</w:t>
            </w:r>
            <w:r>
              <w:rPr>
                <w:rFonts w:ascii="仿宋_GB2312" w:hAnsi="仿宋_GB2312" w:cs="仿宋_GB2312" w:eastAsia="仿宋_GB2312"/>
                <w:sz w:val="24"/>
                <w:color w:val="000000"/>
              </w:rPr>
              <w:t>税率（说明：投标人增值税纳税人身份提供最新电子税务系统增值税纳税人身份资格截图，若未提供视为未实质性响应）。投标人增值税税率应符合投标人增值税纳税人身份变化及政府政策法规（未按要求响应的视为未实质性响应）。投标报价中税率享受减免税的投标人，应提供相关政策文件及证明资料或税务部门减免税的证明材料，若未按要求提供，视为未实质性响应</w:t>
            </w:r>
            <w:r>
              <w:rPr>
                <w:rFonts w:ascii="仿宋_GB2312" w:hAnsi="仿宋_GB2312" w:cs="仿宋_GB2312" w:eastAsia="仿宋_GB2312"/>
                <w:sz w:val="24"/>
                <w:color w:val="000000"/>
              </w:rPr>
              <w:t>。如因断电、断网、系统故障或其他不可抗力等因素，导致系统无法使用的，由投标人按评标委员会的要求进行澄清或者说明。投标人不能证明其投标报价合理性的，评标委员会应当将其投标文件作为无效处理。</w:t>
            </w:r>
          </w:p>
          <w:p>
            <w:pPr>
              <w:pStyle w:val="null3"/>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投标人或投标人拟配置服务人员依法依规享受优惠或减免等政策，包括但不限于工资、社保等，投标人依法依规享受优惠或减免等政策的须提供政府部门相应证明材料或政策文件，及投标人的情况说明，如为拟配置服务人员享受优惠或减免等政策的，除提供以上证明外，还应提供相应人员的身份证复印件和享受优惠或减免等政策的身份证明材料复印件。若供应商享受优惠或减免等政策不能覆盖完本项目服务期限的，按已覆盖项目服务期与未覆盖项目服务期进行分段计算并平均到服务期内。若未按要求响应的或未满足相关政策要求的，视为未实质性响应。</w:t>
            </w:r>
          </w:p>
          <w:p>
            <w:pPr>
              <w:pStyle w:val="null3"/>
              <w:ind w:firstLine="482"/>
              <w:jc w:val="both"/>
            </w:pPr>
            <w:r>
              <w:rPr>
                <w:rFonts w:ascii="仿宋_GB2312" w:hAnsi="仿宋_GB2312" w:cs="仿宋_GB2312" w:eastAsia="仿宋_GB2312"/>
                <w:b/>
              </w:rPr>
              <w:t>附：分项报价明细表（按招标文件第六章中分项报价明细表进行填写）</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 xml:space="preserve"> 服务期限三年，合同一年一签（说明：投标人在投标文件中响应）</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采购人指定地点（说明：投标人在投标文件中响应）</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（说明：投标人在投标文件中响应）验收办法：中标供应商与采购人参照《财政部关于进一步加强政府采购需求和履约验收管理的指导意见》（财库〔2016〕205号）的要求进行验收； 验收标准：按国家有关规定、招标文件的服务要求、中标供应商的投标文件及承诺以及合同约定标准进行验收。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1、收到中标供应商开具的合法票据后预付合同价的40%，预付款的扣回方式按季度同等比例，达到付款条件起10日内，支付合同总金额的40.00%</w:t>
            </w:r>
          </w:p>
          <w:p>
            <w:pPr>
              <w:pStyle w:val="null3"/>
              <w:jc w:val="left"/>
            </w:pPr>
            <w:r>
              <w:rPr>
                <w:rFonts w:ascii="仿宋_GB2312" w:hAnsi="仿宋_GB2312" w:cs="仿宋_GB2312" w:eastAsia="仿宋_GB2312"/>
              </w:rPr>
              <w:t>2、采取银行转账方式按季考核，按季支付，下一季度支付上一季度服务费，采购人按该季度服务费的90%扣除预定比例的预付款及项目考核结果金额后支付给供应商；剩余10%服务费待中标供应商完成收取该小区住户物业管理费的任务后（每户按0.1元/平方米收取），支付当季剩余10%服务费，如未完成每户0.1元/平方米收取，采购人则不支付相应的物业管理费。考核后，中标供应商需向采购人递交拨付作业服务费的票据，采购人收到供应商提供的合法发票后15日内支付物业服务费，达到付款条件起15日内，支付合同总金额的15.00%</w:t>
            </w:r>
          </w:p>
          <w:p>
            <w:pPr>
              <w:pStyle w:val="null3"/>
              <w:jc w:val="left"/>
            </w:pPr>
            <w:r>
              <w:rPr>
                <w:rFonts w:ascii="仿宋_GB2312" w:hAnsi="仿宋_GB2312" w:cs="仿宋_GB2312" w:eastAsia="仿宋_GB2312"/>
              </w:rPr>
              <w:t>3、采取银行转账方式按季考核，按季支付，下一季度支付上一季度服务费，采购人按该季度服务费的90%扣除预定比例的预付款及项目考核结果金额后支付给供应商；剩余10%服务费待中标供应商完成收取该小区住户物业管理费的任务后（每户按0.1元/平方米收取），支付当季剩余10%服务费，如未完成每户0.1元/平方米收取，采购人则不支付相应的物业管理费。考核后，中标供应商需向采购人递交拨付作业服务费的票据，采购人收到供应商提供的合法发票后15日内支付物业服务费，达到付款条件起15日内，支付合同总金额的15.00%</w:t>
            </w:r>
          </w:p>
          <w:p>
            <w:pPr>
              <w:pStyle w:val="null3"/>
              <w:jc w:val="left"/>
            </w:pPr>
            <w:r>
              <w:rPr>
                <w:rFonts w:ascii="仿宋_GB2312" w:hAnsi="仿宋_GB2312" w:cs="仿宋_GB2312" w:eastAsia="仿宋_GB2312"/>
              </w:rPr>
              <w:t>4、采取银行转账方式按季考核，按季支付，下一季度支付上一季度服务费，采购人按该季度服务费的90%扣除预定比例的预付款及项目考核结果金额后支付给供应商；剩余10%服务费待中标供应商完成收取该小区住户物业管理费的任务后（每户按0.1元/平方米收取），支付当季剩余10%服务费，如未完成每户0.1元/平方米收取，采购人则不支付相应的物业管理费。考核后，中标供应商需向采购人递交拨付作业服务费的票据，采购人收到供应商提供的合法发票后15日内支付物业服务费，达到付款条件起15日内，支付合同总金额的15.00%</w:t>
            </w:r>
          </w:p>
          <w:p>
            <w:pPr>
              <w:pStyle w:val="null3"/>
              <w:jc w:val="left"/>
            </w:pPr>
            <w:r>
              <w:rPr>
                <w:rFonts w:ascii="仿宋_GB2312" w:hAnsi="仿宋_GB2312" w:cs="仿宋_GB2312" w:eastAsia="仿宋_GB2312"/>
              </w:rPr>
              <w:t>5、采取银行转账方式按季考核，按季支付，下一季度支付上一季度服务费，采购人按该季度服务费的90%扣除预定比例的预付款及项目考核结果金额后支付给供应商；剩余10%服务费待中标供应商完成收取该小区住户物业管理费的任务后（每户按0.1元/平方米收取），支付当季剩余10%服务费，如未完成每户0.1元/平方米收取，采购人则不支付相应的物业管理费。考核后，中标供应商需向采购人递交拨付作业服务费的票据，采购人收到供应商提供的合法发票后15日内支付物业服务费，达到付款条件起15日内，支付合同总金额的15.00%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说明：投标人在投标文件中响应）1.中标供应商在提供服务的过程中必须遵守国家和地方的相关法律、法规；中标供应商因不遵守国家和地方的法律、法规而引起的纠纷或造成的损失由中标供应商承担相应的法律、经济赔偿责任，并向采购人赔偿因此对采购人造成的直接或间接损失。 2.若采购人对中标供应商考核不合格，采购人有权要求中标供应商限期整改，逾期未整改的或整改不合格的，采购人有权进行罚款或扣除相应物业服务费；造成采购人经济损失的，采购人有权终止合同，中标供应商应给予采购人经济赔偿。 3.中标供应商违反本合同约定，擅自提高收费标准的，或在管理和服务中有徇私舞弊、渎职行为、平时擅自收费行为的，采购人有权督促和要求中标供应商清退所收费用，并向中标供应商按发生费用和造成的经济损失进行双倍处罚和索赔，亦有权终止本合同。 4.因中标供应商管理不善或操作不当等原因造成重大事故的，由中标供应商承担责任并负责善后处理；造成采购人经济损失的，中标供应商应赔偿采购人所有经济损失；产生质量事故的直接原因，以相关主管部门的鉴定为准。 5.在项目本合同签订后，履行过程中，无论任何原因发生合同解除或终止情形，中标供应商必须在 15 个工作日内向采购人移交由采购人提供的全部物业管理用房及物业管理相关档案资料，不得有毁损、擅自涂改和遗失情况；否则中标供应商应当承担由此引起的相应法律责任，若造成采购人经济损失的，还应赔偿采购人的所有经济损失。 6.若因采购人原因逾期支付供应商物业服务费，除应及时支付，还应按照合同约定支付逾期金额1‰/天的违约金。逾期付款超过30天的，中标供应商有权终止合同。 7.因采购人原因导致变更、中止或者终止政府采购合同的，采购人应对中标供应商受到的损失予以赔偿或者补偿。</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★为本项目提供的所有服务符合现行的国家相关强制性标准、行业标准。（说明：投标人在投标文件中响应）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1、投标人需在使用投标(响应)客户端编制投标文件时，按要求填写《投标（响应）函》完成承诺并进行电子签章。 2、行贿犯罪记录：在行贿犯罪信息查询期限内，投标人及其现任法定代表人、主要负责人没有行贿犯罪记录的书面声明材料。【说明：①按声明函的内容及要求提供书面声明材料并进行电子签章；投标文件中不需提供中国裁判文书网（https://wenshu.court.gov.cn）查询结果的证明材料；②在行贿犯罪信息查询期限内，供应商及其现任法定代表人、主要负责人没有行贿犯罪记录。】 3、未被列入失信被执行人、重大税收违法案件当事人名单、政府采购严重违法失信行为记录名单：（1）投标人未列入失信被执行人、重大税收违法案件当事人名单、政府采购严重违法失信行为记录名单的书面声明材料。【说明：①按声明函的内容及要求提供书面声明材料并进行电子签章；②投标人未列入失信被执行人、重大税收违法案件当事人名单、政府采购严重违法失信行为记录名单。】（2）资格审查小组根据“信用中国”和“中国政府采购网”网站的查询结果，在资格审查期间对投标人是否被列入失信被执行人、重大税收违法案件当事人名单、政府采购严重违法失信行为记录名单进行审查。【说明：投标人未列入失信被执行人、重大税收违法案件当事人名单、政府采购严重违法失信行为记录名单。】 4、未处于被行政部门禁止参与政府采购活动的期限内：投标人未处于被行政部门禁止参与政府采购活动的期限内。【说明：①按声明函的内容及要求提供书面声明材料并进行电子签章；②供应商未处于被行政部门禁止参与政府采购活动的期限内。】 5、不属于国家相关法律法规规定的其他禁止参加投标的情形：（1）根据招标文件的要求不属于禁止参加投标或投标无效的供应商；（2）资格审查小组未发现或者未知晓投标人存在属于国家相关法律法规规定的禁止参加投标或投标无效的供应商。</w:t>
            </w:r>
          </w:p>
        </w:tc>
        <w:tc>
          <w:tcPr>
            <w:tcW w:type="dxa" w:w="1661"/>
          </w:tcPr>
          <w:p>
            <w:pPr>
              <w:pStyle w:val="null3"/>
              <w:jc w:val="left"/>
            </w:pPr>
            <w:r>
              <w:rPr>
                <w:rFonts w:ascii="仿宋_GB2312" w:hAnsi="仿宋_GB2312" w:cs="仿宋_GB2312" w:eastAsia="仿宋_GB2312"/>
              </w:rPr>
              <w:t>声明函.,投标（响应）函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投标文件的组成</w:t>
            </w:r>
          </w:p>
        </w:tc>
        <w:tc>
          <w:tcPr>
            <w:tcW w:type="dxa" w:w="3322"/>
          </w:tcPr>
          <w:p>
            <w:pPr>
              <w:pStyle w:val="null3"/>
              <w:jc w:val="left"/>
            </w:pPr>
            <w:r>
              <w:rPr>
                <w:rFonts w:ascii="仿宋_GB2312" w:hAnsi="仿宋_GB2312" w:cs="仿宋_GB2312" w:eastAsia="仿宋_GB2312"/>
              </w:rPr>
              <w:t xml:space="preserve"> 按招标文件要求提供法定代表人或主要负责人身份证明书、报价表。</w:t>
            </w:r>
          </w:p>
        </w:tc>
        <w:tc>
          <w:tcPr>
            <w:tcW w:type="dxa" w:w="1661"/>
          </w:tcPr>
          <w:p>
            <w:pPr>
              <w:pStyle w:val="null3"/>
              <w:jc w:val="left"/>
            </w:pPr>
            <w:r>
              <w:rPr>
                <w:rFonts w:ascii="仿宋_GB2312" w:hAnsi="仿宋_GB2312" w:cs="仿宋_GB2312" w:eastAsia="仿宋_GB2312"/>
              </w:rPr>
              <w:t>法定代表人或主要负责人身份证明书.,报价表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投标文件的计量单位、语言、报价货币、投标有效期、知识产权等采购文件实质性要求或是否应当作无效投标处理</w:t>
            </w:r>
          </w:p>
        </w:tc>
        <w:tc>
          <w:tcPr>
            <w:tcW w:type="dxa" w:w="3322"/>
          </w:tcPr>
          <w:p>
            <w:pPr>
              <w:pStyle w:val="null3"/>
              <w:jc w:val="left"/>
            </w:pPr>
            <w:r>
              <w:rPr>
                <w:rFonts w:ascii="仿宋_GB2312" w:hAnsi="仿宋_GB2312" w:cs="仿宋_GB2312" w:eastAsia="仿宋_GB2312"/>
              </w:rPr>
              <w:t>投标文件的计量单位、语言、报价货币、投标有效期、知识产权等均符合招标文件的实质性要求以及不应当作无效投标处理。</w:t>
            </w:r>
          </w:p>
        </w:tc>
        <w:tc>
          <w:tcPr>
            <w:tcW w:type="dxa" w:w="1661"/>
          </w:tcPr>
          <w:p>
            <w:pPr>
              <w:pStyle w:val="null3"/>
              <w:jc w:val="left"/>
            </w:pPr>
            <w:r>
              <w:rPr>
                <w:rFonts w:ascii="仿宋_GB2312" w:hAnsi="仿宋_GB2312" w:cs="仿宋_GB2312" w:eastAsia="仿宋_GB2312"/>
              </w:rPr>
              <w:t>投标文件封面</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1.投标报价唯一（说明：投标文件报价出现前后不一致的，按照招标文件第5章评标办法规定予以修正，修正后的报价经投标人通过项目电子化交易系统进行确认，并加盖投标人（法定名称）电子印章，投标人未在规定时间内确认的，其投标无效。评标委员会不得未经要求投标人确认，直接将投标人投标文件作无效处理。） 2.未超过招标文件规定的最高限价； 3.投标报价应包含本次招标要求的所有货物及服务的费用。</w:t>
            </w:r>
          </w:p>
        </w:tc>
        <w:tc>
          <w:tcPr>
            <w:tcW w:type="dxa" w:w="1661"/>
          </w:tcPr>
          <w:p>
            <w:pPr>
              <w:pStyle w:val="null3"/>
              <w:jc w:val="left"/>
            </w:pPr>
            <w:r>
              <w:rPr>
                <w:rFonts w:ascii="仿宋_GB2312" w:hAnsi="仿宋_GB2312" w:cs="仿宋_GB2312" w:eastAsia="仿宋_GB2312"/>
              </w:rPr>
              <w:t>分项报价明细表.,报价表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 xml:space="preserve"> 法定代表人或主要负责人身份证复印件或护照复印件</w:t>
            </w:r>
          </w:p>
        </w:tc>
        <w:tc>
          <w:tcPr>
            <w:tcW w:type="dxa" w:w="3322"/>
          </w:tcPr>
          <w:p>
            <w:pPr>
              <w:pStyle w:val="null3"/>
              <w:jc w:val="left"/>
            </w:pPr>
            <w:r>
              <w:rPr>
                <w:rFonts w:ascii="仿宋_GB2312" w:hAnsi="仿宋_GB2312" w:cs="仿宋_GB2312" w:eastAsia="仿宋_GB2312"/>
              </w:rPr>
              <w:t>身份证复印件或护照复印件【注：法定代表人或主要负责人身份证复印件（身份证两面均应复印，在有效期内）或护照复印件（法定代表人或主要负责人为外籍人士的，按此提供）。】</w:t>
            </w:r>
          </w:p>
        </w:tc>
        <w:tc>
          <w:tcPr>
            <w:tcW w:type="dxa" w:w="1661"/>
          </w:tcPr>
          <w:p>
            <w:pPr>
              <w:pStyle w:val="null3"/>
              <w:jc w:val="left"/>
            </w:pPr>
            <w:r>
              <w:rPr>
                <w:rFonts w:ascii="仿宋_GB2312" w:hAnsi="仿宋_GB2312" w:cs="仿宋_GB2312" w:eastAsia="仿宋_GB2312"/>
              </w:rPr>
              <w:t>法定代表人或主要负责人身份证明书.</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打★号的服务、商务和其他要求</w:t>
            </w:r>
          </w:p>
        </w:tc>
        <w:tc>
          <w:tcPr>
            <w:tcW w:type="dxa" w:w="3322"/>
          </w:tcPr>
          <w:p>
            <w:pPr>
              <w:pStyle w:val="null3"/>
              <w:jc w:val="left"/>
            </w:pPr>
            <w:r>
              <w:rPr>
                <w:rFonts w:ascii="仿宋_GB2312" w:hAnsi="仿宋_GB2312" w:cs="仿宋_GB2312" w:eastAsia="仿宋_GB2312"/>
              </w:rPr>
              <w:t xml:space="preserve"> 投标文件均实质性响应招标文件中加★号的服务、商务和其他要求。</w:t>
            </w:r>
          </w:p>
        </w:tc>
        <w:tc>
          <w:tcPr>
            <w:tcW w:type="dxa" w:w="1661"/>
          </w:tcPr>
          <w:p>
            <w:pPr>
              <w:pStyle w:val="null3"/>
              <w:jc w:val="left"/>
            </w:pPr>
            <w:r>
              <w:rPr>
                <w:rFonts w:ascii="仿宋_GB2312" w:hAnsi="仿宋_GB2312" w:cs="仿宋_GB2312" w:eastAsia="仿宋_GB2312"/>
              </w:rPr>
              <w:t>分包意向协议.,分项报价明细表.,服务应答表,服务方案.</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不属于禁止参加投标或投标无效的投标人</w:t>
            </w:r>
          </w:p>
        </w:tc>
        <w:tc>
          <w:tcPr>
            <w:tcW w:type="dxa" w:w="3322"/>
          </w:tcPr>
          <w:p>
            <w:pPr>
              <w:pStyle w:val="null3"/>
              <w:jc w:val="left"/>
            </w:pPr>
            <w:r>
              <w:rPr>
                <w:rFonts w:ascii="仿宋_GB2312" w:hAnsi="仿宋_GB2312" w:cs="仿宋_GB2312" w:eastAsia="仿宋_GB2312"/>
              </w:rPr>
              <w:t>（1）根据招标文件的要求不属于禁止参加投标或投标无效的投标人；（2）评标委员会未发现或者未知晓投标人存在属于国家相关法律法规规定的禁止参加投标或投标无效的投标人。</w:t>
            </w:r>
          </w:p>
        </w:tc>
        <w:tc>
          <w:tcPr>
            <w:tcW w:type="dxa" w:w="1661"/>
          </w:tcPr>
          <w:p>
            <w:pPr>
              <w:pStyle w:val="null3"/>
              <w:jc w:val="left"/>
            </w:pPr>
            <w:r>
              <w:rPr>
                <w:rFonts w:ascii="仿宋_GB2312" w:hAnsi="仿宋_GB2312" w:cs="仿宋_GB2312" w:eastAsia="仿宋_GB2312"/>
              </w:rPr>
              <w:t>投标文件封面</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满足招标文件要求且报价最低的为评审基准价，价格系数=（评审基准价/报价）×标准系数</w:t>
            </w:r>
          </w:p>
        </w:tc>
        <w:tc>
          <w:tcPr>
            <w:tcW w:type="dxa" w:w="2123"/>
          </w:tcPr>
          <w:p>
            <w:pPr>
              <w:pStyle w:val="null3"/>
              <w:jc w:val="left"/>
            </w:pPr>
            <w:r>
              <w:rPr>
                <w:rFonts w:ascii="仿宋_GB2312" w:hAnsi="仿宋_GB2312" w:cs="仿宋_GB2312" w:eastAsia="仿宋_GB2312"/>
              </w:rPr>
              <w:t>分项报价明细表.,报价表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详见附件：声明函.</w:t>
      </w:r>
    </w:p>
    <w:p>
      <w:pPr>
        <w:pStyle w:val="null3"/>
        <w:ind w:firstLine="960"/>
        <w:jc w:val="left"/>
      </w:pPr>
      <w:r>
        <w:rPr>
          <w:rFonts w:ascii="仿宋_GB2312" w:hAnsi="仿宋_GB2312" w:cs="仿宋_GB2312" w:eastAsia="仿宋_GB2312"/>
        </w:rPr>
        <w:t>详见附件：分包意向协议.</w:t>
      </w:r>
    </w:p>
    <w:p>
      <w:pPr>
        <w:pStyle w:val="null3"/>
        <w:ind w:firstLine="960"/>
        <w:jc w:val="left"/>
      </w:pPr>
      <w:r>
        <w:rPr>
          <w:rFonts w:ascii="仿宋_GB2312" w:hAnsi="仿宋_GB2312" w:cs="仿宋_GB2312" w:eastAsia="仿宋_GB2312"/>
        </w:rPr>
        <w:t>详见附件：分项报价明细表.</w:t>
      </w:r>
    </w:p>
    <w:p>
      <w:pPr>
        <w:pStyle w:val="null3"/>
        <w:ind w:firstLine="960"/>
        <w:jc w:val="left"/>
      </w:pPr>
      <w:r>
        <w:rPr>
          <w:rFonts w:ascii="仿宋_GB2312" w:hAnsi="仿宋_GB2312" w:cs="仿宋_GB2312" w:eastAsia="仿宋_GB2312"/>
        </w:rPr>
        <w:t>详见附件：服务方案.</w:t>
      </w:r>
    </w:p>
    <w:p>
      <w:pPr>
        <w:pStyle w:val="null3"/>
        <w:ind w:firstLine="960"/>
        <w:jc w:val="left"/>
      </w:pPr>
      <w:r>
        <w:rPr>
          <w:rFonts w:ascii="仿宋_GB2312" w:hAnsi="仿宋_GB2312" w:cs="仿宋_GB2312" w:eastAsia="仿宋_GB2312"/>
        </w:rPr>
        <w:t>详见附件：法定代表人或主要负责人身份证明书.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