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版本号：N511303202600002720260408002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南充市高坪区螺溪河(长乐段)生态修复项目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N5113032026000027</w:t>
      </w:r>
    </w:p>
    <w:p>
      <w:pPr>
        <w:pStyle w:val="null3"/>
        <w:jc w:val="center"/>
        <w:outlineLvl w:val="2"/>
      </w:pPr>
      <w:r>
        <w:rPr>
          <w:rFonts w:ascii="仿宋_GB2312" w:hAnsi="仿宋_GB2312" w:cs="仿宋_GB2312" w:eastAsia="仿宋_GB2312"/>
          <w:sz w:val="28"/>
          <w:b/>
        </w:rPr>
        <w:t>南充市高坪区自然资源和规划局</w:t>
      </w:r>
    </w:p>
    <w:p>
      <w:pPr>
        <w:pStyle w:val="null3"/>
        <w:jc w:val="center"/>
        <w:outlineLvl w:val="2"/>
      </w:pPr>
      <w:r>
        <w:rPr>
          <w:rFonts w:ascii="仿宋_GB2312" w:hAnsi="仿宋_GB2312" w:cs="仿宋_GB2312" w:eastAsia="仿宋_GB2312"/>
          <w:sz w:val="28"/>
          <w:b/>
        </w:rPr>
        <w:t>四川星泓工程项目管理有限公司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四川星泓工程项目管理有限公司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南充市高坪区自然资源和规划局</w:t>
      </w:r>
      <w:r>
        <w:rPr>
          <w:rFonts w:ascii="仿宋_GB2312" w:hAnsi="仿宋_GB2312" w:cs="仿宋_GB2312" w:eastAsia="仿宋_GB2312"/>
        </w:rPr>
        <w:t xml:space="preserve"> 委托，拟对 </w:t>
      </w:r>
      <w:r>
        <w:rPr>
          <w:rFonts w:ascii="仿宋_GB2312" w:hAnsi="仿宋_GB2312" w:cs="仿宋_GB2312" w:eastAsia="仿宋_GB2312"/>
        </w:rPr>
        <w:t>南充市高坪区螺溪河(长乐段)生态修复项目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南充市高坪区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N5113032026000027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南充市高坪区螺溪河(长乐段)生态修复项目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实现南充市高坪区螺溪河（长乐段）生活污水“全接纳、全处理、全达标”，削减入河污染物总量，恢复河岸植被与水生态系统功能、增强区域水土保持能力，打造“水清、岸绿、景美、堤固”的滨水空间及景观链，全面提升河段防洪减灾能力，有效保护沿岸居民生命财产与农田安全，控制面源污染、恢复水体良性循环。现拟通过服务采购方式确定符合要求的供应商，整合技术应用建立“生态修复-生态修复区动态监测-后期运行维护-生态管护”全链条生态修复服务管理体系；对项目实施全过程闭环管理服务，最终实现生态效益、社会效益与经济效益的有机统一，为区域乡村振兴、幸福河湖建设及可持续发展提供坚实支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南充市高坪区自然资源和规划局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四川省南充市高坪区松林路63号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637199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0817-3353139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四川星泓工程项目管理有限公司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四川省南充市顺庆区丝绸路185号3幢1,2层13号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0817-2721541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1.招标代理服务费由采购人支付，中标(成交)单位在领取中标通知书时采购人与招标代理机构结算招标代理服务费;2.本次项目招标代理服务费以成本加合理利润为原则，招标代理服务费采用差额定率累进计费方式收取，按照中标（成交）金额“100万元以下×1.5%(费率)、100万元-500万元×0.8(费率)”的标准收取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南充市高坪区自然资源和规划局</w:t>
      </w:r>
      <w:r>
        <w:rPr>
          <w:rFonts w:ascii="仿宋_GB2312" w:hAnsi="仿宋_GB2312" w:cs="仿宋_GB2312" w:eastAsia="仿宋_GB2312"/>
        </w:rPr>
        <w:t xml:space="preserve"> 和 </w:t>
      </w:r>
      <w:r>
        <w:rPr>
          <w:rFonts w:ascii="仿宋_GB2312" w:hAnsi="仿宋_GB2312" w:cs="仿宋_GB2312" w:eastAsia="仿宋_GB2312"/>
        </w:rPr>
        <w:t>四川星泓工程项目管理有限公司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南充市高坪区自然资源和规划局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四川星泓工程项目管理有限公司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根据采购文件、投标（响应）文件及合同中的服务内容及要求进行验收。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根据采购文件、投标（响应）文件及合同中的服务内容及要求进行验收。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提供的全部服务不仅须满足已列明的有关规定，还应满足上述未列明的其他有关法律、法规、标准、规定、规范性文件要求。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南充市高坪区自然资源和规划局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四川星泓工程项目管理有限公司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四川星泓工程项目管理有限公司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联系人：何女士</w:t>
      </w:r>
    </w:p>
    <w:p>
      <w:pPr>
        <w:pStyle w:val="null3"/>
        <w:jc w:val="left"/>
      </w:pPr>
      <w:r>
        <w:rPr>
          <w:rFonts w:ascii="仿宋_GB2312" w:hAnsi="仿宋_GB2312" w:cs="仿宋_GB2312" w:eastAsia="仿宋_GB2312"/>
        </w:rPr>
        <w:t>联系电话：0817-2721541</w:t>
      </w:r>
    </w:p>
    <w:p>
      <w:pPr>
        <w:pStyle w:val="null3"/>
        <w:jc w:val="left"/>
      </w:pPr>
      <w:r>
        <w:rPr>
          <w:rFonts w:ascii="仿宋_GB2312" w:hAnsi="仿宋_GB2312" w:cs="仿宋_GB2312" w:eastAsia="仿宋_GB2312"/>
        </w:rPr>
        <w:t>地址：南充市顺庆区外滩1号（绵商银行旁）1栋2单元14楼3号</w:t>
      </w:r>
    </w:p>
    <w:p>
      <w:pPr>
        <w:pStyle w:val="null3"/>
        <w:jc w:val="left"/>
      </w:pPr>
      <w:r>
        <w:rPr>
          <w:rFonts w:ascii="仿宋_GB2312" w:hAnsi="仿宋_GB2312" w:cs="仿宋_GB2312" w:eastAsia="仿宋_GB2312"/>
        </w:rPr>
        <w:t>邮编：637000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1,900,000.00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C07990000 其他生态环境保护和治理服务</w:t>
            </w:r>
          </w:p>
        </w:tc>
        <w:tc>
          <w:tcPr>
            <w:tcW w:type="dxa" w:w="821"/>
          </w:tcPr>
          <w:p>
            <w:pPr>
              <w:pStyle w:val="null3"/>
              <w:jc w:val="left"/>
            </w:pPr>
            <w:r>
              <w:rPr>
                <w:rFonts w:ascii="仿宋_GB2312" w:hAnsi="仿宋_GB2312" w:cs="仿宋_GB2312" w:eastAsia="仿宋_GB2312"/>
              </w:rPr>
              <w:t>南充市高坪区螺溪河(长乐段)生态修复服务项目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南充市高坪区螺溪河(长乐段)生态修复服务项目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标的名称：南充市高坪区螺溪河(长乐段)生态修复服务项目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（一）项目概况</w:t>
            </w:r>
          </w:p>
        </w:tc>
        <w:tc>
          <w:tcPr>
            <w:tcW w:type="dxa" w:w="5814"/>
          </w:tcPr>
          <w:p>
            <w:pPr>
              <w:pStyle w:val="null3"/>
              <w:jc w:val="both"/>
            </w:pPr>
            <w:r>
              <w:rPr>
                <w:rFonts w:ascii="仿宋_GB2312" w:hAnsi="仿宋_GB2312" w:cs="仿宋_GB2312" w:eastAsia="仿宋_GB2312"/>
                <w:sz w:val="24"/>
              </w:rPr>
              <w:t>1.项目背景</w:t>
            </w:r>
          </w:p>
          <w:p>
            <w:pPr>
              <w:pStyle w:val="null3"/>
              <w:jc w:val="both"/>
            </w:pPr>
            <w:r>
              <w:rPr>
                <w:rFonts w:ascii="仿宋_GB2312" w:hAnsi="仿宋_GB2312" w:cs="仿宋_GB2312" w:eastAsia="仿宋_GB2312"/>
                <w:sz w:val="24"/>
              </w:rPr>
              <w:t>为实现南充市高坪区螺溪河（长乐段）生活污水</w:t>
            </w:r>
            <w:r>
              <w:rPr>
                <w:rFonts w:ascii="仿宋_GB2312" w:hAnsi="仿宋_GB2312" w:cs="仿宋_GB2312" w:eastAsia="仿宋_GB2312"/>
                <w:sz w:val="24"/>
              </w:rPr>
              <w:t>“全接纳、全处理、全达标”，削减入河污染物总量，恢复河岸植被与水生态系统功能、增强区域水土保持能力，打造“水清、岸绿、景美、堤固”的滨水空间及景观链，全面提升河段防洪减灾能力，有效保护沿岸居民生命财产与农田安全，控制面源污染、恢复水体良性循环。现拟通过服务采购方式确定符合要求的供应商，整合技术应用建立“生态修复-生态修复区动态监测-后期运行维护-生态管护”全链条生态修复服务管理体系；对项目实施全过程闭环管理服务，最终实现生态效益、社会效益与经济效益的有机统一，为区域乡村振兴、幸福河湖建设及可持续发展提供坚实支撑。</w:t>
            </w:r>
          </w:p>
          <w:p>
            <w:pPr>
              <w:pStyle w:val="null3"/>
              <w:jc w:val="both"/>
            </w:pPr>
            <w:r>
              <w:rPr>
                <w:rFonts w:ascii="仿宋_GB2312" w:hAnsi="仿宋_GB2312" w:cs="仿宋_GB2312" w:eastAsia="仿宋_GB2312"/>
                <w:sz w:val="24"/>
              </w:rPr>
              <w:t>2.★项目规模及内容</w:t>
            </w:r>
          </w:p>
          <w:p>
            <w:pPr>
              <w:pStyle w:val="null3"/>
              <w:jc w:val="both"/>
            </w:pPr>
            <w:r>
              <w:rPr>
                <w:rFonts w:ascii="仿宋_GB2312" w:hAnsi="仿宋_GB2312" w:cs="仿宋_GB2312" w:eastAsia="仿宋_GB2312"/>
                <w:sz w:val="24"/>
              </w:rPr>
              <w:t>(1)项目区域：南充市高坪区螺溪河（长乐段）；</w:t>
            </w:r>
          </w:p>
          <w:p>
            <w:pPr>
              <w:pStyle w:val="null3"/>
              <w:jc w:val="both"/>
            </w:pPr>
            <w:r>
              <w:rPr>
                <w:rFonts w:ascii="仿宋_GB2312" w:hAnsi="仿宋_GB2312" w:cs="仿宋_GB2312" w:eastAsia="仿宋_GB2312"/>
                <w:sz w:val="24"/>
              </w:rPr>
              <w:t>(2)范围：螺溪河长乐场镇段以及东螺溪河上游4.5公里范围，涉及总服务面积约7160㎡。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（二）技术、服务要求</w:t>
            </w:r>
          </w:p>
        </w:tc>
        <w:tc>
          <w:tcPr>
            <w:tcW w:type="dxa" w:w="5814"/>
          </w:tcPr>
          <w:p>
            <w:pPr>
              <w:pStyle w:val="null3"/>
              <w:jc w:val="both"/>
            </w:pPr>
            <w:r>
              <w:rPr>
                <w:rFonts w:ascii="仿宋_GB2312" w:hAnsi="仿宋_GB2312" w:cs="仿宋_GB2312" w:eastAsia="仿宋_GB2312"/>
                <w:sz w:val="24"/>
              </w:rPr>
              <w:t>1.★生态修复服务全生命周期服务内容</w:t>
            </w:r>
          </w:p>
          <w:tbl>
            <w:tblPr>
              <w:tblBorders>
                <w:top w:val="none" w:color="000000" w:sz="4"/>
                <w:left w:val="none" w:color="000000" w:sz="4"/>
                <w:bottom w:val="none" w:color="000000" w:sz="4"/>
                <w:right w:val="none" w:color="000000" w:sz="4"/>
                <w:insideH w:val="none"/>
                <w:insideV w:val="none"/>
              </w:tblBorders>
            </w:tblPr>
            <w:tblGrid>
              <w:gridCol w:w="205"/>
              <w:gridCol w:w="847"/>
              <w:gridCol w:w="3523"/>
              <w:gridCol w:w="436"/>
              <w:gridCol w:w="568"/>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服务名称</w:t>
                  </w:r>
                </w:p>
              </w:tc>
              <w:tc>
                <w:tcPr>
                  <w:tcW w:type="dxa" w:w="3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生态修复服务</w:t>
                  </w:r>
                </w:p>
              </w:tc>
              <w:tc>
                <w:tcPr>
                  <w:tcW w:type="dxa" w:w="3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按照实际规模，完成螺溪河（长乐段）生态修复服务工作，保障沿岸生活污水</w:t>
                  </w:r>
                  <w:r>
                    <w:rPr>
                      <w:rFonts w:ascii="仿宋_GB2312" w:hAnsi="仿宋_GB2312" w:cs="仿宋_GB2312" w:eastAsia="仿宋_GB2312"/>
                      <w:sz w:val="24"/>
                    </w:rPr>
                    <w:t>“全接纳”，维护污水管网、提升泵站等设施稳定运行，杜绝污水直排入河，确保污水处理设施“全处理、全达标”，完成实施河道清淤疏浚（挖淤泥、流砂）、岸线整治、竹林清理、原有场地绿植清理、水生植被恢复，构建健康水生态系统。搭建下河梯步、栏杆等配套设施，打造“水清、岸绿、景美、堤固”的滨水空间及景观链。</w:t>
                  </w:r>
                  <w:r>
                    <w:rPr>
                      <w:rFonts w:ascii="仿宋_GB2312" w:hAnsi="仿宋_GB2312" w:cs="仿宋_GB2312" w:eastAsia="仿宋_GB2312"/>
                      <w:sz w:val="24"/>
                      <w:b/>
                    </w:rPr>
                    <w:t>（服务所需设施内容详见表</w:t>
                  </w:r>
                  <w:r>
                    <w:rPr>
                      <w:rFonts w:ascii="仿宋_GB2312" w:hAnsi="仿宋_GB2312" w:cs="仿宋_GB2312" w:eastAsia="仿宋_GB2312"/>
                      <w:sz w:val="24"/>
                      <w:b/>
                    </w:rPr>
                    <w:t>1：螺溪河（长乐段）生态修复服务基本设施等要求）</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生态修复区动态监测服务</w:t>
                  </w:r>
                </w:p>
              </w:tc>
              <w:tc>
                <w:tcPr>
                  <w:tcW w:type="dxa" w:w="3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构建全流程、可视化、智能化的监测管理服务体系，主要通过组合式定制立杆适配现场地形提供稳定安装支撑，实时自动采集生态、环境及安全等关键指标，依托生态区域全智能巡护、系统支撑终端综合管理系统完成数据整合分析、实时可视化展示、异常预警及报表自动生成，并支持远程操控与设备状态监控，同时配套设备安装调试、系统部署适配、操作培训技术保障服务，全面提升生态修复区监测管理的智能化、规范化水平。</w:t>
                  </w:r>
                  <w:r>
                    <w:rPr>
                      <w:rFonts w:ascii="仿宋_GB2312" w:hAnsi="仿宋_GB2312" w:cs="仿宋_GB2312" w:eastAsia="仿宋_GB2312"/>
                      <w:sz w:val="24"/>
                      <w:b/>
                    </w:rPr>
                    <w:t>（服务所需设施内容详见表</w:t>
                  </w:r>
                  <w:r>
                    <w:rPr>
                      <w:rFonts w:ascii="仿宋_GB2312" w:hAnsi="仿宋_GB2312" w:cs="仿宋_GB2312" w:eastAsia="仿宋_GB2312"/>
                      <w:sz w:val="24"/>
                      <w:b/>
                    </w:rPr>
                    <w:t>2：生态修复区动态监测服务基本设施等要求）</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运行维护</w:t>
                  </w:r>
                  <w:r>
                    <w:rPr>
                      <w:rFonts w:ascii="仿宋_GB2312" w:hAnsi="仿宋_GB2312" w:cs="仿宋_GB2312" w:eastAsia="仿宋_GB2312"/>
                      <w:sz w:val="24"/>
                    </w:rPr>
                    <w:t>服务</w:t>
                  </w:r>
                </w:p>
              </w:tc>
              <w:tc>
                <w:tcPr>
                  <w:tcW w:type="dxa" w:w="3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期开展设备巡检，对组合式定制立杆进行防腐防锈处理、垂直度校准及基础稳固性检查，对摄像头等部件进行清洁、防潮防尘处理及精度校准、储存模块的硬件运行状态，更换老化电源；持续保障软件系统稳定，包括综合管理系统的漏洞修复、版本升级、功能优化及兼容性适配，操作系统与数据库的日常维护，储存模块的数据异地备份、数据清理及存储容量扩充支持；开展数据质量全流程管控，定期核查监测数据完整性、准确性，处理异常数据，确保数据可追溯、可应用；提供常态化技术支持，包括操作培训、技术咨询、系统使用指导，协助优化监测参数设置与数据应用场景；确保整个智能动态监测体系在</w:t>
                  </w:r>
                  <w:r>
                    <w:rPr>
                      <w:rFonts w:ascii="仿宋_GB2312" w:hAnsi="仿宋_GB2312" w:cs="仿宋_GB2312" w:eastAsia="仿宋_GB2312"/>
                      <w:sz w:val="24"/>
                    </w:rPr>
                    <w:t>1年内持续稳定发挥数据采集、分析、管控功能。</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年</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生态管护</w:t>
                  </w:r>
                  <w:r>
                    <w:rPr>
                      <w:rFonts w:ascii="仿宋_GB2312" w:hAnsi="仿宋_GB2312" w:cs="仿宋_GB2312" w:eastAsia="仿宋_GB2312"/>
                      <w:sz w:val="24"/>
                    </w:rPr>
                    <w:t>服务</w:t>
                  </w:r>
                </w:p>
              </w:tc>
              <w:tc>
                <w:tcPr>
                  <w:tcW w:type="dxa" w:w="3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构建绿色生态体系，在清理后场地及生态缓冲带开展本土水生、陆生植被（如固土草本、景观乔灌木等）种植，后续定期进行浇水、施肥、修剪、补植及病虫害综合防治，保障植被存活率与生长状态，维持生态系统稳定性；基础设施巡查维护，对清理后场地、生态护坡、整治岸线、进行常态化巡查，及时处置设施破损、渗漏等问题。</w:t>
                  </w:r>
                  <w:r>
                    <w:rPr>
                      <w:rFonts w:ascii="仿宋_GB2312" w:hAnsi="仿宋_GB2312" w:cs="仿宋_GB2312" w:eastAsia="仿宋_GB2312"/>
                      <w:sz w:val="24"/>
                      <w:b/>
                    </w:rPr>
                    <w:t>（服务所需设施内容详见表</w:t>
                  </w:r>
                  <w:r>
                    <w:rPr>
                      <w:rFonts w:ascii="仿宋_GB2312" w:hAnsi="仿宋_GB2312" w:cs="仿宋_GB2312" w:eastAsia="仿宋_GB2312"/>
                      <w:sz w:val="24"/>
                      <w:b/>
                    </w:rPr>
                    <w:t>3：生态管护服务基本设施等要求）</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年</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rPr>
              <w:t>2.★总体服务要求</w:t>
            </w:r>
          </w:p>
          <w:p>
            <w:pPr>
              <w:pStyle w:val="null3"/>
              <w:jc w:val="both"/>
            </w:pPr>
            <w:r>
              <w:rPr>
                <w:rFonts w:ascii="仿宋_GB2312" w:hAnsi="仿宋_GB2312" w:cs="仿宋_GB2312" w:eastAsia="仿宋_GB2312"/>
                <w:sz w:val="24"/>
              </w:rPr>
              <w:t>(1)生态修复服务专业技术要求</w:t>
            </w:r>
          </w:p>
          <w:p>
            <w:pPr>
              <w:pStyle w:val="null3"/>
              <w:jc w:val="both"/>
            </w:pPr>
            <w:r>
              <w:rPr>
                <w:rFonts w:ascii="仿宋_GB2312" w:hAnsi="仿宋_GB2312" w:cs="仿宋_GB2312" w:eastAsia="仿宋_GB2312"/>
                <w:sz w:val="24"/>
              </w:rPr>
              <w:t>①　污水治理技术要求</w:t>
            </w:r>
          </w:p>
          <w:p>
            <w:pPr>
              <w:pStyle w:val="null3"/>
              <w:jc w:val="both"/>
            </w:pPr>
            <w:r>
              <w:rPr>
                <w:rFonts w:ascii="仿宋_GB2312" w:hAnsi="仿宋_GB2312" w:cs="仿宋_GB2312" w:eastAsia="仿宋_GB2312"/>
                <w:sz w:val="24"/>
              </w:rPr>
              <w:t>1)污水接纳：全面排查螺溪河（长乐段）沿岸生活污水排放口；梳理污水管网走向，绘制管网分布图，对破损、堵塞、渗漏的管网进行精准修复、高压疏通，破损管网修复，堵塞管网疏通后通水能力恢复正常，确保沿岸所有生活污水“全接纳”，无污水直排、偷排、漏排现象，排放口排查覆盖率100%、修复合格率100%。</w:t>
            </w:r>
          </w:p>
          <w:p>
            <w:pPr>
              <w:pStyle w:val="null3"/>
              <w:jc w:val="both"/>
            </w:pPr>
            <w:r>
              <w:rPr>
                <w:rFonts w:ascii="仿宋_GB2312" w:hAnsi="仿宋_GB2312" w:cs="仿宋_GB2312" w:eastAsia="仿宋_GB2312"/>
                <w:sz w:val="24"/>
              </w:rPr>
              <w:t>2)设施维护：负责污水管网等相关设施的临时维护，建立设施运维台账，对泵站电机、水泵进行巡检，进行全面保养；确保设施24小时稳定运行，泵站运行效率不低于95%，无故障停机时间每月不超过2小时，管网疏通合格率100%，出现故障后响应时间不超过2小时，修复时间不超过24小时。</w:t>
            </w:r>
          </w:p>
          <w:p>
            <w:pPr>
              <w:pStyle w:val="null3"/>
              <w:jc w:val="both"/>
            </w:pPr>
            <w:r>
              <w:rPr>
                <w:rFonts w:ascii="仿宋_GB2312" w:hAnsi="仿宋_GB2312" w:cs="仿宋_GB2312" w:eastAsia="仿宋_GB2312"/>
                <w:sz w:val="24"/>
              </w:rPr>
              <w:t>②　河道清淤疏浚要求</w:t>
            </w:r>
          </w:p>
          <w:p>
            <w:pPr>
              <w:pStyle w:val="null3"/>
              <w:jc w:val="both"/>
            </w:pPr>
            <w:r>
              <w:rPr>
                <w:rFonts w:ascii="仿宋_GB2312" w:hAnsi="仿宋_GB2312" w:cs="仿宋_GB2312" w:eastAsia="仿宋_GB2312"/>
                <w:sz w:val="24"/>
              </w:rPr>
              <w:t>1)清淤范围：覆盖螺溪河长乐场镇及东螺溪河上游4.5公里范围内所有淤积河段，重点清理河底淤泥、流沙、废弃杂物（垃圾、枯枝、废弃构筑物等），采用水下探测设备对淤积情况进行全面探测，明确各河段淤积深度；清淤后河底平整，无明显淤积物，淤积残留厚度不超过10cm，河道行洪断面满足防洪要求，行洪能力较清淤前提升20%以上。</w:t>
            </w:r>
          </w:p>
          <w:p>
            <w:pPr>
              <w:pStyle w:val="null3"/>
              <w:jc w:val="both"/>
            </w:pPr>
            <w:r>
              <w:rPr>
                <w:rFonts w:ascii="仿宋_GB2312" w:hAnsi="仿宋_GB2312" w:cs="仿宋_GB2312" w:eastAsia="仿宋_GB2312"/>
                <w:sz w:val="24"/>
              </w:rPr>
              <w:t>2)清淤工艺：采用环保型清淤工艺，避免清淤过程中造成二次污染；清淤设备需符合《河道清淤机械安全操作规程》，作业时采取防扩散措施（如围隔、沉淀池、泥浆脱水装置等），防止淤泥扩散至非清淤区域，作业现场设置围挡、警示标志，避免影响周边居民及生态环境；清淤作业时水体悬浮物浓度控制在50mg/L以内，作业完成后及时清理作业区域，恢复场地整洁。</w:t>
            </w:r>
          </w:p>
          <w:p>
            <w:pPr>
              <w:pStyle w:val="null3"/>
              <w:jc w:val="both"/>
            </w:pPr>
            <w:r>
              <w:rPr>
                <w:rFonts w:ascii="仿宋_GB2312" w:hAnsi="仿宋_GB2312" w:cs="仿宋_GB2312" w:eastAsia="仿宋_GB2312"/>
                <w:sz w:val="24"/>
              </w:rPr>
              <w:t>3)淤泥处置：清淤产生的淤泥、流砂需先进行脱水处理，再按照相关规定进行无害化处理，优先采用资源化利用方式，无法资源化利用的需运至指定合规消纳场处置；严禁随意堆放、倾倒，处置合格率100%。</w:t>
            </w:r>
          </w:p>
          <w:p>
            <w:pPr>
              <w:pStyle w:val="null3"/>
              <w:jc w:val="both"/>
            </w:pPr>
            <w:r>
              <w:rPr>
                <w:rFonts w:ascii="仿宋_GB2312" w:hAnsi="仿宋_GB2312" w:cs="仿宋_GB2312" w:eastAsia="仿宋_GB2312"/>
                <w:sz w:val="24"/>
              </w:rPr>
              <w:t>4)大型机械设备进出场及安拆：供应商根据现场情况自行综合考虑相关配套服务内容。</w:t>
            </w:r>
          </w:p>
          <w:p>
            <w:pPr>
              <w:pStyle w:val="null3"/>
              <w:jc w:val="both"/>
            </w:pPr>
            <w:r>
              <w:rPr>
                <w:rFonts w:ascii="仿宋_GB2312" w:hAnsi="仿宋_GB2312" w:cs="仿宋_GB2312" w:eastAsia="仿宋_GB2312"/>
                <w:sz w:val="24"/>
              </w:rPr>
              <w:t>③　岸线整治及场地清理要求</w:t>
            </w:r>
          </w:p>
          <w:p>
            <w:pPr>
              <w:pStyle w:val="null3"/>
              <w:jc w:val="both"/>
            </w:pPr>
            <w:r>
              <w:rPr>
                <w:rFonts w:ascii="仿宋_GB2312" w:hAnsi="仿宋_GB2312" w:cs="仿宋_GB2312" w:eastAsia="仿宋_GB2312"/>
                <w:sz w:val="24"/>
              </w:rPr>
              <w:t>1)岸线整治：对河道岸线进行规范化整治，采用生态护岸工艺，修复破损岸坡，加固不稳定岸段，岸坡坡度控制在1:2.5-1:3.0，确保岸线平整、牢固，符合“堤固”要求；整治后的岸线需与周边生态环境协调，具备较强的水土保持能力；岸线整治后设置防护栏杆，栏杆采用防腐材质，牢固耐用。</w:t>
            </w:r>
          </w:p>
          <w:p>
            <w:pPr>
              <w:pStyle w:val="null3"/>
              <w:jc w:val="both"/>
            </w:pPr>
            <w:r>
              <w:rPr>
                <w:rFonts w:ascii="仿宋_GB2312" w:hAnsi="仿宋_GB2312" w:cs="仿宋_GB2312" w:eastAsia="仿宋_GB2312"/>
                <w:sz w:val="24"/>
              </w:rPr>
              <w:t>2)场地清理：彻底清理河道沿岸竹林、杂草及原有场地内枯萎、病死绿植，清理范围覆盖整个服务区域，清理深度不低于10cm，确保清除地下根系，防止杂草复生；清理后场地无杂物、无残留枯枝败叶，无明显垃圾堆积，清理废弃物需分类收集（可回收物、有害垃圾、其他垃圾），可回收物进行回收利用，有害垃圾交由专业机构处置，其他垃圾运至指定垃圾处理场；清理合格率100%，清理完成后及时平整场地，为后续植被种植奠定基础，清理过程需拍摄现场照片（清理前、清理中、清理后）。</w:t>
            </w:r>
          </w:p>
          <w:p>
            <w:pPr>
              <w:pStyle w:val="null3"/>
              <w:jc w:val="both"/>
            </w:pPr>
            <w:r>
              <w:rPr>
                <w:rFonts w:ascii="仿宋_GB2312" w:hAnsi="仿宋_GB2312" w:cs="仿宋_GB2312" w:eastAsia="仿宋_GB2312"/>
                <w:sz w:val="24"/>
              </w:rPr>
              <w:t>④　水生植被恢复要求</w:t>
            </w:r>
          </w:p>
          <w:p>
            <w:pPr>
              <w:pStyle w:val="null3"/>
              <w:jc w:val="both"/>
            </w:pPr>
            <w:r>
              <w:rPr>
                <w:rFonts w:ascii="仿宋_GB2312" w:hAnsi="仿宋_GB2312" w:cs="仿宋_GB2312" w:eastAsia="仿宋_GB2312"/>
                <w:sz w:val="24"/>
              </w:rPr>
              <w:t>1)植被选择：植被种类需符合螺溪河水生态系统修复需求，具备固土保水、改善生态环境的功能，无病虫害、无机械损伤、生长健壮；严禁选用外来入侵物种，植被种类需提前提交采购方审核，审核通过后方可采购种植。</w:t>
            </w:r>
          </w:p>
          <w:p>
            <w:pPr>
              <w:pStyle w:val="null3"/>
              <w:jc w:val="both"/>
            </w:pPr>
            <w:r>
              <w:rPr>
                <w:rFonts w:ascii="仿宋_GB2312" w:hAnsi="仿宋_GB2312" w:cs="仿宋_GB2312" w:eastAsia="仿宋_GB2312"/>
                <w:sz w:val="24"/>
              </w:rPr>
              <w:t>2) 种植规范：按照“科学绿化、自然修复”原则，根据河道水深，合理规划种植密度及区域，种植时采用带土移栽方式，确保根系完整，种植深度根据植被品种合理控制。</w:t>
            </w:r>
          </w:p>
          <w:p>
            <w:pPr>
              <w:pStyle w:val="null3"/>
              <w:jc w:val="both"/>
            </w:pPr>
            <w:r>
              <w:rPr>
                <w:rFonts w:ascii="仿宋_GB2312" w:hAnsi="仿宋_GB2312" w:cs="仿宋_GB2312" w:eastAsia="仿宋_GB2312"/>
                <w:sz w:val="24"/>
              </w:rPr>
              <w:t>3)配套设施：按照要求搭建下河梯步、栏杆等配套设施，梯步采用防滑、耐腐蚀材质，确保行人安全；栏杆采用钢筋混凝土材质，需求确定，安装坡度符合要求；配套设施服务合格率100%，与滨水景观整体协调。</w:t>
            </w:r>
          </w:p>
          <w:p>
            <w:pPr>
              <w:pStyle w:val="null3"/>
              <w:jc w:val="both"/>
            </w:pPr>
            <w:r>
              <w:rPr>
                <w:rFonts w:ascii="仿宋_GB2312" w:hAnsi="仿宋_GB2312" w:cs="仿宋_GB2312" w:eastAsia="仿宋_GB2312"/>
                <w:sz w:val="24"/>
              </w:rPr>
              <w:t>⑤　面源污染防控技术要求</w:t>
            </w:r>
          </w:p>
          <w:p>
            <w:pPr>
              <w:pStyle w:val="null3"/>
              <w:jc w:val="both"/>
            </w:pPr>
            <w:r>
              <w:rPr>
                <w:rFonts w:ascii="仿宋_GB2312" w:hAnsi="仿宋_GB2312" w:cs="仿宋_GB2312" w:eastAsia="仿宋_GB2312"/>
                <w:sz w:val="24"/>
              </w:rPr>
              <w:t>1)养殖面源防控：排查服务区域内河道沿岸500m范围内的畜禽养殖点，对违规养殖点协助采购方进行规范引导，对养殖废水进行收集处理，严禁养殖废水直排入河；及时发现并处置违规排污行为。</w:t>
            </w:r>
          </w:p>
          <w:p>
            <w:pPr>
              <w:pStyle w:val="null3"/>
              <w:jc w:val="both"/>
            </w:pPr>
            <w:r>
              <w:rPr>
                <w:rFonts w:ascii="仿宋_GB2312" w:hAnsi="仿宋_GB2312" w:cs="仿宋_GB2312" w:eastAsia="仿宋_GB2312"/>
                <w:sz w:val="24"/>
              </w:rPr>
              <w:t>2)农村生活面源防控：协助采购方开展沿岸居民环保宣传，引导居民规范投放生活垃圾。</w:t>
            </w:r>
          </w:p>
          <w:p>
            <w:pPr>
              <w:pStyle w:val="null3"/>
              <w:jc w:val="both"/>
            </w:pPr>
            <w:r>
              <w:rPr>
                <w:rFonts w:ascii="仿宋_GB2312" w:hAnsi="仿宋_GB2312" w:cs="仿宋_GB2312" w:eastAsia="仿宋_GB2312"/>
                <w:sz w:val="24"/>
              </w:rPr>
              <w:t>⑥　生态修复服务环保管控技术要求</w:t>
            </w:r>
          </w:p>
          <w:p>
            <w:pPr>
              <w:pStyle w:val="null3"/>
              <w:jc w:val="both"/>
            </w:pPr>
            <w:r>
              <w:rPr>
                <w:rFonts w:ascii="仿宋_GB2312" w:hAnsi="仿宋_GB2312" w:cs="仿宋_GB2312" w:eastAsia="仿宋_GB2312"/>
                <w:sz w:val="24"/>
              </w:rPr>
              <w:t>1)扬尘控制：清淤、场地清理、基础设施实施服务过程中，采取洒水降尘、覆盖防尘网等措施，避免扬尘污染周边环境。</w:t>
            </w:r>
          </w:p>
          <w:p>
            <w:pPr>
              <w:pStyle w:val="null3"/>
              <w:jc w:val="both"/>
            </w:pPr>
            <w:r>
              <w:rPr>
                <w:rFonts w:ascii="仿宋_GB2312" w:hAnsi="仿宋_GB2312" w:cs="仿宋_GB2312" w:eastAsia="仿宋_GB2312"/>
                <w:sz w:val="24"/>
              </w:rPr>
              <w:t>2)废水控制：服务过程中产生的废水（如清淤废水、冲洗废水），经沉淀池处理后，方可排放或循环利用，严禁未经处理的施工废水直排入河。</w:t>
            </w:r>
          </w:p>
          <w:p>
            <w:pPr>
              <w:pStyle w:val="null3"/>
              <w:jc w:val="both"/>
            </w:pPr>
            <w:r>
              <w:rPr>
                <w:rFonts w:ascii="仿宋_GB2312" w:hAnsi="仿宋_GB2312" w:cs="仿宋_GB2312" w:eastAsia="仿宋_GB2312"/>
                <w:sz w:val="24"/>
              </w:rPr>
              <w:t>(2)生态修复区动态监测专业技术要求</w:t>
            </w:r>
          </w:p>
          <w:p>
            <w:pPr>
              <w:pStyle w:val="null3"/>
              <w:jc w:val="both"/>
            </w:pPr>
            <w:r>
              <w:rPr>
                <w:rFonts w:ascii="仿宋_GB2312" w:hAnsi="仿宋_GB2312" w:cs="仿宋_GB2312" w:eastAsia="仿宋_GB2312"/>
                <w:sz w:val="24"/>
              </w:rPr>
              <w:t>①　组建专业勘查团队，对服务区域进行地形测量、地下管线探测（避免与自来水、电力管线冲突）、农户污水排放点定位，明确管网走向。</w:t>
            </w:r>
          </w:p>
          <w:p>
            <w:pPr>
              <w:pStyle w:val="null3"/>
              <w:jc w:val="both"/>
            </w:pPr>
            <w:r>
              <w:rPr>
                <w:rFonts w:ascii="仿宋_GB2312" w:hAnsi="仿宋_GB2312" w:cs="仿宋_GB2312" w:eastAsia="仿宋_GB2312"/>
                <w:sz w:val="24"/>
              </w:rPr>
              <w:t>②　监测体系搭建要求</w:t>
            </w:r>
          </w:p>
          <w:p>
            <w:pPr>
              <w:pStyle w:val="null3"/>
              <w:jc w:val="both"/>
            </w:pPr>
            <w:r>
              <w:rPr>
                <w:rFonts w:ascii="仿宋_GB2312" w:hAnsi="仿宋_GB2312" w:cs="仿宋_GB2312" w:eastAsia="仿宋_GB2312"/>
                <w:sz w:val="24"/>
              </w:rPr>
              <w:t>1)硬件设施：组合式定制立杆需适配现场地形，具备耐腐蚀、抗老化、抗冲击性能，基础采用混凝土浇筑，基础牢固，立杆高度根据监测范围合理设置，确保监测无盲区；配套监测设备（摄像头等）需符合国家相关标准，性能稳定。</w:t>
            </w:r>
          </w:p>
          <w:p>
            <w:pPr>
              <w:pStyle w:val="null3"/>
              <w:jc w:val="both"/>
            </w:pPr>
            <w:r>
              <w:rPr>
                <w:rFonts w:ascii="仿宋_GB2312" w:hAnsi="仿宋_GB2312" w:cs="仿宋_GB2312" w:eastAsia="仿宋_GB2312"/>
                <w:sz w:val="24"/>
              </w:rPr>
              <w:t>2)监测指标：实时自动采集生态、环境及安全三类关键指标，指标采集频率可根据需求调整，数据传输延迟不超过10分钟，数据采集成功率不低于99%；其中生态指标包括水生植被覆盖率；环境指标包括空气温湿度、风速风向、雨量；安全指标包括河道水位、岸坡位移、设施运行状态；所有监测指标需实时上传至综合管理系统，形成连续、完整的监测数据序列。</w:t>
            </w:r>
          </w:p>
          <w:p>
            <w:pPr>
              <w:pStyle w:val="null3"/>
              <w:jc w:val="both"/>
            </w:pPr>
            <w:r>
              <w:rPr>
                <w:rFonts w:ascii="仿宋_GB2312" w:hAnsi="仿宋_GB2312" w:cs="仿宋_GB2312" w:eastAsia="仿宋_GB2312"/>
                <w:sz w:val="24"/>
              </w:rPr>
              <w:t>3)系统搭建：构建全流程、可视化、智能化综合管理系统，采用B/S架构，支持电脑端、移动端（手机APP）登录查看，具备生态区域全智能巡护（支持巡护人员定位、巡护路线规划、巡护记录上传）、数据整合分析（支持趋势分析、对比分析、异常分析）、实时可视化展示（采用地图、图表等形式展示监测数据、设备状态）、异常预警（支持短信、APP推送预警，预警级别分为一般、较重、严重三级，可自定义预警阈值）及报表自动生成；预警响应时间不超过30分钟，接到预警后需立即核实情况，2小时内提交预警处置方案，确保及时处置各类异常问题。</w:t>
            </w:r>
          </w:p>
          <w:p>
            <w:pPr>
              <w:pStyle w:val="null3"/>
              <w:jc w:val="both"/>
            </w:pPr>
            <w:r>
              <w:rPr>
                <w:rFonts w:ascii="仿宋_GB2312" w:hAnsi="仿宋_GB2312" w:cs="仿宋_GB2312" w:eastAsia="仿宋_GB2312"/>
                <w:sz w:val="24"/>
              </w:rPr>
              <w:t>4)数据传输：确保无公网覆盖区域数据稳定传输；支持数据加密存储，保障数据安全性、完整性，数据存储期限不低于3年（含运维期1年），支持数据备份（本地备份+异地备份）；支持远程操控与设备状态监控，可实现远程调试、参数设置、设备重启，实时查看设备运行状态，出现设备离线、故障等情况时，系统自动发出预警，便于及时处置。</w:t>
            </w:r>
          </w:p>
          <w:p>
            <w:pPr>
              <w:pStyle w:val="null3"/>
              <w:jc w:val="both"/>
            </w:pPr>
            <w:r>
              <w:rPr>
                <w:rFonts w:ascii="仿宋_GB2312" w:hAnsi="仿宋_GB2312" w:cs="仿宋_GB2312" w:eastAsia="仿宋_GB2312"/>
                <w:sz w:val="24"/>
              </w:rPr>
              <w:t>③　设备安装与调试要求</w:t>
            </w:r>
          </w:p>
          <w:p>
            <w:pPr>
              <w:pStyle w:val="null3"/>
              <w:jc w:val="both"/>
            </w:pPr>
            <w:r>
              <w:rPr>
                <w:rFonts w:ascii="仿宋_GB2312" w:hAnsi="仿宋_GB2312" w:cs="仿宋_GB2312" w:eastAsia="仿宋_GB2312"/>
                <w:sz w:val="24"/>
              </w:rPr>
              <w:t>1)按照“服务所需基本设施”的技术（服务）要求，对每批服务设备进行外观检查、尺寸复核、材质检测，不合格产品立即退换。</w:t>
            </w:r>
          </w:p>
          <w:p>
            <w:pPr>
              <w:pStyle w:val="null3"/>
              <w:jc w:val="both"/>
            </w:pPr>
            <w:r>
              <w:rPr>
                <w:rFonts w:ascii="仿宋_GB2312" w:hAnsi="仿宋_GB2312" w:cs="仿宋_GB2312" w:eastAsia="仿宋_GB2312"/>
                <w:sz w:val="24"/>
              </w:rPr>
              <w:t>2)安装规范：监测设备、组合式立杆安装需符合规范，安装位置合理，避开河道行洪区域、植被密集区域，不破坏现有生态环境及基础设施；安装牢固、不易损坏，立杆基础做好排水处理，防止积水浸泡；摄像头安装角度合理，确保监测范围无盲区；安装过程中做好安全防护措施，设置警示标志，避免安全事故发生。</w:t>
            </w:r>
          </w:p>
          <w:p>
            <w:pPr>
              <w:pStyle w:val="null3"/>
              <w:jc w:val="both"/>
            </w:pPr>
            <w:r>
              <w:rPr>
                <w:rFonts w:ascii="仿宋_GB2312" w:hAnsi="仿宋_GB2312" w:cs="仿宋_GB2312" w:eastAsia="仿宋_GB2312"/>
                <w:sz w:val="24"/>
              </w:rPr>
              <w:t>3)调试要求：完成设备安装后，包括硬件调试、软件调试、数据传输调试；硬件调试确保设备运行正常，无故障；软件调试确保系统功能完善，操作流畅，无卡顿、闪退现象；数据传输调试确保数据采集准确、传输稳定，数据准确率不低于99%；调试合格率100%，调试过程中形成调试记录，详细记录调试内容、调试结果、存在问题及整改措施，调试合格后提交调试报告，经采购方确认后方可投入使用。</w:t>
            </w:r>
          </w:p>
          <w:p>
            <w:pPr>
              <w:pStyle w:val="null3"/>
              <w:jc w:val="both"/>
            </w:pPr>
            <w:r>
              <w:rPr>
                <w:rFonts w:ascii="仿宋_GB2312" w:hAnsi="仿宋_GB2312" w:cs="仿宋_GB2312" w:eastAsia="仿宋_GB2312"/>
                <w:sz w:val="24"/>
              </w:rPr>
              <w:t>4)操作培训：为采购方指定不少于3名操作人员提供不少于2次集中操作培训，培训内容包括设备操作、系统使用、数据解读、简单故障排查、日常维护等；培训采用理论讲解+实操演示相结合的方式，确保培训人员能够独立完成日常监测、数据查看、报表导出、简单故障排查及基础运维工作；培训完成后进行考核，考核合格率100%，提供培训记录、签到表、考核成绩表，确保培训效果。</w:t>
            </w:r>
          </w:p>
          <w:p>
            <w:pPr>
              <w:pStyle w:val="null3"/>
              <w:jc w:val="both"/>
            </w:pPr>
            <w:r>
              <w:rPr>
                <w:rFonts w:ascii="仿宋_GB2312" w:hAnsi="仿宋_GB2312" w:cs="仿宋_GB2312" w:eastAsia="仿宋_GB2312"/>
                <w:sz w:val="24"/>
              </w:rPr>
              <w:t>④　监测数据应用技术要求</w:t>
            </w:r>
          </w:p>
          <w:p>
            <w:pPr>
              <w:pStyle w:val="null3"/>
              <w:jc w:val="both"/>
            </w:pPr>
            <w:r>
              <w:rPr>
                <w:rFonts w:ascii="仿宋_GB2312" w:hAnsi="仿宋_GB2312" w:cs="仿宋_GB2312" w:eastAsia="仿宋_GB2312"/>
                <w:sz w:val="24"/>
              </w:rPr>
              <w:t>1)数据预警优化：结合历史监测数据、季节变化、汛期特点，调整预警等级判定标准，提高预警准确性；对反复出现预警的区域，进行专项排查，分析原因并提出整改建议。</w:t>
            </w:r>
          </w:p>
          <w:p>
            <w:pPr>
              <w:pStyle w:val="null3"/>
              <w:jc w:val="both"/>
            </w:pPr>
            <w:r>
              <w:rPr>
                <w:rFonts w:ascii="仿宋_GB2312" w:hAnsi="仿宋_GB2312" w:cs="仿宋_GB2312" w:eastAsia="仿宋_GB2312"/>
                <w:sz w:val="24"/>
              </w:rPr>
              <w:t>2)汛期强化监测：汛期（5-9月）加密监测频率，摄像头实时监控河道水位、岸坡状态，系统自动推送暴雨、洪水预警信息，同步生成汛期监测日报，每日提交采购方，确保及时掌握汛期生态及安全状况。</w:t>
            </w:r>
          </w:p>
          <w:p>
            <w:pPr>
              <w:pStyle w:val="null3"/>
              <w:jc w:val="both"/>
            </w:pPr>
            <w:r>
              <w:rPr>
                <w:rFonts w:ascii="仿宋_GB2312" w:hAnsi="仿宋_GB2312" w:cs="仿宋_GB2312" w:eastAsia="仿宋_GB2312"/>
                <w:sz w:val="24"/>
              </w:rPr>
              <w:t>3)冬季防冻监测：冬季（12月－次年2月）对监测设备进行防冻处理，为立杆配备防冻装置，每周检查1次防冻效果，防止设备因低温损坏；监测系统增加低温预警功能，当环境温度低于0℃时，自动提醒运维人员进行设备防护，确保冬季监测工作正常开展。</w:t>
            </w:r>
          </w:p>
          <w:p>
            <w:pPr>
              <w:pStyle w:val="null3"/>
              <w:jc w:val="both"/>
            </w:pPr>
            <w:r>
              <w:rPr>
                <w:rFonts w:ascii="仿宋_GB2312" w:hAnsi="仿宋_GB2312" w:cs="仿宋_GB2312" w:eastAsia="仿宋_GB2312"/>
                <w:sz w:val="24"/>
              </w:rPr>
              <w:t>(3)运行维护服务专业技术要求</w:t>
            </w:r>
          </w:p>
          <w:p>
            <w:pPr>
              <w:pStyle w:val="null3"/>
              <w:jc w:val="both"/>
            </w:pPr>
            <w:r>
              <w:rPr>
                <w:rFonts w:ascii="仿宋_GB2312" w:hAnsi="仿宋_GB2312" w:cs="仿宋_GB2312" w:eastAsia="仿宋_GB2312"/>
                <w:sz w:val="24"/>
              </w:rPr>
              <w:t>①　硬件设备运维要求</w:t>
            </w:r>
          </w:p>
          <w:p>
            <w:pPr>
              <w:pStyle w:val="null3"/>
              <w:jc w:val="both"/>
            </w:pPr>
            <w:r>
              <w:rPr>
                <w:rFonts w:ascii="仿宋_GB2312" w:hAnsi="仿宋_GB2312" w:cs="仿宋_GB2312" w:eastAsia="仿宋_GB2312"/>
                <w:sz w:val="24"/>
              </w:rPr>
              <w:t>1)组合式定制立杆：每季度开展1次防腐防锈处理、垂直度校准及基础稳固性检查，采用水平仪、全站仪进行垂直度校准，发现倾斜、破损、锈蚀等问题，确保立杆稳定、完好，无松动、锈蚀、破损现象；每年开展1次基础沉降检测，沉降量不超过5mm，确保基础牢固。</w:t>
            </w:r>
          </w:p>
          <w:p>
            <w:pPr>
              <w:pStyle w:val="null3"/>
              <w:jc w:val="both"/>
            </w:pPr>
            <w:r>
              <w:rPr>
                <w:rFonts w:ascii="仿宋_GB2312" w:hAnsi="仿宋_GB2312" w:cs="仿宋_GB2312" w:eastAsia="仿宋_GB2312"/>
                <w:sz w:val="24"/>
              </w:rPr>
              <w:t>2)监测设备：每月开展1次摄像头等部件的清洁、防潮防尘处理及精度校准，摄像头清洁采用专用清洁剂，避免损坏镜头，每半年开展1次全面检测，对设备性能、精度进行全面排查，及时更换老化、损坏的部件，易损件需提前储备，确保更换及时；设备完好率不低于98%，故障响应时间不超过2小时，故障修复时间不超过24小时；每次巡检、校准、维修后形成详细记录，纳入运维台账。</w:t>
            </w:r>
          </w:p>
          <w:p>
            <w:pPr>
              <w:pStyle w:val="null3"/>
              <w:jc w:val="both"/>
            </w:pPr>
            <w:r>
              <w:rPr>
                <w:rFonts w:ascii="仿宋_GB2312" w:hAnsi="仿宋_GB2312" w:cs="仿宋_GB2312" w:eastAsia="仿宋_GB2312"/>
                <w:sz w:val="24"/>
              </w:rPr>
              <w:t>3)系统环境运维：每周排查1次硬件运行状态，确保CPU使用率不超过80%，内存占用率不超过70%，硬盘剩余空间不低于30%；每月进行1次操作系统、数据库的日常维护，每季度开展1次数据异地备份、数据清理，支持存储容量扩充；确保数据不丢失、可追溯，运行稳定率不低于99%，每年开展1次性能检测，确保运行正常，无重大故障。</w:t>
            </w:r>
          </w:p>
          <w:p>
            <w:pPr>
              <w:pStyle w:val="null3"/>
              <w:jc w:val="both"/>
            </w:pPr>
            <w:r>
              <w:rPr>
                <w:rFonts w:ascii="仿宋_GB2312" w:hAnsi="仿宋_GB2312" w:cs="仿宋_GB2312" w:eastAsia="仿宋_GB2312"/>
                <w:sz w:val="24"/>
              </w:rPr>
              <w:t>②　软件系统运维要求</w:t>
            </w:r>
          </w:p>
          <w:p>
            <w:pPr>
              <w:pStyle w:val="null3"/>
              <w:jc w:val="both"/>
            </w:pPr>
            <w:r>
              <w:rPr>
                <w:rFonts w:ascii="仿宋_GB2312" w:hAnsi="仿宋_GB2312" w:cs="仿宋_GB2312" w:eastAsia="仿宋_GB2312"/>
                <w:sz w:val="24"/>
              </w:rPr>
              <w:t>1)综合管理系统：每月开展1次漏洞检测，及时修复系统漏洞，版本升级及功能优化，优化系统运行速度、数据处理效率，确保系统运行流畅、无卡顿，功能完善，能够正常实现数据采集、分析、展示、预警等功能；每季度进行1次兼容性适配，确保系统与电脑端、移动端兼容，无适配问题；系统出现卡顿、闪退、数据异常等问题时。</w:t>
            </w:r>
          </w:p>
          <w:p>
            <w:pPr>
              <w:pStyle w:val="null3"/>
              <w:jc w:val="both"/>
            </w:pPr>
            <w:r>
              <w:rPr>
                <w:rFonts w:ascii="仿宋_GB2312" w:hAnsi="仿宋_GB2312" w:cs="仿宋_GB2312" w:eastAsia="仿宋_GB2312"/>
                <w:sz w:val="24"/>
              </w:rPr>
              <w:t>2)数据管控：每月核查1次监测数据的完整性、准确性，采用人工核查+系统自动核查相结合的方式，排查缺失数据、异常数据，缺失数据需及时补录，异常数据需分析原因并进行修正，形成异常数据处理记录；确保数据准确率不低于99%，可追溯、可应用。</w:t>
            </w:r>
          </w:p>
          <w:p>
            <w:pPr>
              <w:pStyle w:val="null3"/>
              <w:jc w:val="both"/>
            </w:pPr>
            <w:r>
              <w:rPr>
                <w:rFonts w:ascii="仿宋_GB2312" w:hAnsi="仿宋_GB2312" w:cs="仿宋_GB2312" w:eastAsia="仿宋_GB2312"/>
                <w:sz w:val="24"/>
              </w:rPr>
              <w:t>③　技术支持要求</w:t>
            </w:r>
          </w:p>
          <w:p>
            <w:pPr>
              <w:pStyle w:val="null3"/>
              <w:jc w:val="both"/>
            </w:pPr>
            <w:r>
              <w:rPr>
                <w:rFonts w:ascii="仿宋_GB2312" w:hAnsi="仿宋_GB2312" w:cs="仿宋_GB2312" w:eastAsia="仿宋_GB2312"/>
                <w:sz w:val="24"/>
              </w:rPr>
              <w:t>1)提供常态化技术支持，设立专用技术支持电话、微信，通过电话、远程协助、现场指导等方式解答采购方人员的技术咨询、系统使用疑问；建立技术支持台账，详细记录咨询内容、处理方式、处理结果、处理时间。</w:t>
            </w:r>
          </w:p>
          <w:p>
            <w:pPr>
              <w:pStyle w:val="null3"/>
              <w:jc w:val="both"/>
            </w:pPr>
            <w:r>
              <w:rPr>
                <w:rFonts w:ascii="仿宋_GB2312" w:hAnsi="仿宋_GB2312" w:cs="仿宋_GB2312" w:eastAsia="仿宋_GB2312"/>
                <w:sz w:val="24"/>
              </w:rPr>
              <w:t>2)开展1次针对性操作培训，根据采购方需求、系统升级情况、操作人员变动情况，调整培训内容，重点培训新功能使用、故障排查技巧、数据应用方法，提供技术指导，协助优化监测参数设置与数据应用场景，确保监测系统充分发挥作用；培训后提交培训总结报告，反馈培训效果。</w:t>
            </w:r>
          </w:p>
          <w:p>
            <w:pPr>
              <w:pStyle w:val="null3"/>
              <w:jc w:val="both"/>
            </w:pPr>
            <w:r>
              <w:rPr>
                <w:rFonts w:ascii="仿宋_GB2312" w:hAnsi="仿宋_GB2312" w:cs="仿宋_GB2312" w:eastAsia="仿宋_GB2312"/>
                <w:sz w:val="24"/>
              </w:rPr>
              <w:t>3)建立运维台账，详细记录设备巡检、故障处理、部件更换、系统升级、数据管控、技术支持等情况，台账需规范、完整，可追溯；提交年度运维总结报告。</w:t>
            </w:r>
          </w:p>
          <w:p>
            <w:pPr>
              <w:pStyle w:val="null3"/>
              <w:jc w:val="both"/>
            </w:pPr>
            <w:r>
              <w:rPr>
                <w:rFonts w:ascii="仿宋_GB2312" w:hAnsi="仿宋_GB2312" w:cs="仿宋_GB2312" w:eastAsia="仿宋_GB2312"/>
                <w:sz w:val="24"/>
              </w:rPr>
              <w:t>④　应急运维技术要求：</w:t>
            </w:r>
          </w:p>
          <w:p>
            <w:pPr>
              <w:pStyle w:val="null3"/>
              <w:jc w:val="both"/>
            </w:pPr>
            <w:r>
              <w:rPr>
                <w:rFonts w:ascii="仿宋_GB2312" w:hAnsi="仿宋_GB2312" w:cs="仿宋_GB2312" w:eastAsia="仿宋_GB2312"/>
                <w:sz w:val="24"/>
              </w:rPr>
              <w:t>1)设备应急处置：建立应急运维机制，配备应急运维设备，当监测设备出现重大故障时，携带应急设备赶赴现场，完成故障修复及设备更换，确保监测工作不中断；故障处置完成后，说明故障原因、处置过程及预防措施。</w:t>
            </w:r>
          </w:p>
          <w:p>
            <w:pPr>
              <w:pStyle w:val="null3"/>
              <w:jc w:val="both"/>
            </w:pPr>
            <w:r>
              <w:rPr>
                <w:rFonts w:ascii="仿宋_GB2312" w:hAnsi="仿宋_GB2312" w:cs="仿宋_GB2312" w:eastAsia="仿宋_GB2312"/>
                <w:sz w:val="24"/>
              </w:rPr>
              <w:t>2)系统应急处置：当系统出现崩溃、数据丢失等重大故障时，立即启动应急响应，进行数据恢复，确保数据不丢失；系统恢复后，提交系统应急修复报告，分析故障原因，优化系统防护措施，避免类似故障再次发生。</w:t>
            </w:r>
          </w:p>
          <w:p>
            <w:pPr>
              <w:pStyle w:val="null3"/>
              <w:jc w:val="both"/>
            </w:pPr>
            <w:r>
              <w:rPr>
                <w:rFonts w:ascii="仿宋_GB2312" w:hAnsi="仿宋_GB2312" w:cs="仿宋_GB2312" w:eastAsia="仿宋_GB2312"/>
                <w:sz w:val="24"/>
              </w:rPr>
              <w:t>3)汛期应急运维：汛期（5-9月）加强运维巡检，每半月开展1次全面巡检，重点检查立杆基础、监测设备防水、数据传输情况，发现问题立即整改；暴雨、洪水过后，24小时内对所有监测设备、立杆进行全面排查，及时修复受损设备，恢复监测功能，提交汛期运维排查报告。</w:t>
            </w:r>
          </w:p>
          <w:p>
            <w:pPr>
              <w:pStyle w:val="null3"/>
              <w:jc w:val="both"/>
            </w:pPr>
            <w:r>
              <w:rPr>
                <w:rFonts w:ascii="仿宋_GB2312" w:hAnsi="仿宋_GB2312" w:cs="仿宋_GB2312" w:eastAsia="仿宋_GB2312"/>
                <w:sz w:val="24"/>
              </w:rPr>
              <w:t>(4)生态管护服务专业技术要求</w:t>
            </w:r>
          </w:p>
          <w:p>
            <w:pPr>
              <w:pStyle w:val="null3"/>
              <w:jc w:val="both"/>
            </w:pPr>
            <w:r>
              <w:rPr>
                <w:rFonts w:ascii="仿宋_GB2312" w:hAnsi="仿宋_GB2312" w:cs="仿宋_GB2312" w:eastAsia="仿宋_GB2312"/>
                <w:sz w:val="24"/>
              </w:rPr>
              <w:t>①　植被管护要求</w:t>
            </w:r>
          </w:p>
          <w:p>
            <w:pPr>
              <w:pStyle w:val="null3"/>
              <w:jc w:val="both"/>
            </w:pPr>
            <w:r>
              <w:rPr>
                <w:rFonts w:ascii="仿宋_GB2312" w:hAnsi="仿宋_GB2312" w:cs="仿宋_GB2312" w:eastAsia="仿宋_GB2312"/>
                <w:sz w:val="24"/>
              </w:rPr>
              <w:t>1)植被种植：在清理后场地及生态缓冲带，种植水生、陆生植被，种植规范符合规范要求；苗木购销符合《种子法》相关要求，种植质量达标，种植密度合理；种植前对土壤进行改良，种植时确保根系舒展，种植深度适宜，种植后及时浇水、扶正、固定，防止倒伏；种植完成后提交种植记录、苗木验收报告，经采购方确认后方可进入养护阶段。</w:t>
            </w:r>
          </w:p>
          <w:p>
            <w:pPr>
              <w:pStyle w:val="null3"/>
              <w:jc w:val="both"/>
            </w:pPr>
            <w:r>
              <w:rPr>
                <w:rFonts w:ascii="仿宋_GB2312" w:hAnsi="仿宋_GB2312" w:cs="仿宋_GB2312" w:eastAsia="仿宋_GB2312"/>
                <w:sz w:val="24"/>
              </w:rPr>
              <w:t>2)日常养护：每周开展1次浇水、除草，浇水采用滴灌、喷灌方式，避免大水漫灌，确保土壤湿度保持在60%—80%；每月开展1次施肥、修剪，施肥采用腐熟有机肥，避免使用化肥，防止土壤污染；修剪按照“整形、疏枝、除病枝”的原则，灌木修剪保持冠形整齐；每季度开展1次病虫害综合防治，采用生物防治为主、化学防治为辅的方式，病虫害防治覆盖率100%，病虫害发生率不超过5%；及时清除枯萎、病死植被，进行补植，补植成活率不低于90%，补植苗木质量与原种植苗木一致，补植后加强养护，确保与原有植被长势协调。</w:t>
            </w:r>
          </w:p>
          <w:p>
            <w:pPr>
              <w:pStyle w:val="null3"/>
              <w:jc w:val="both"/>
            </w:pPr>
            <w:r>
              <w:rPr>
                <w:rFonts w:ascii="仿宋_GB2312" w:hAnsi="仿宋_GB2312" w:cs="仿宋_GB2312" w:eastAsia="仿宋_GB2312"/>
                <w:sz w:val="24"/>
              </w:rPr>
              <w:t>3)长势维护：每季度监测1次植被生长状态，形成植被生长监测台账，根据植被生长情况、季节变化调整养护方案；确保植被覆盖率不低于85%，生长健壮，无大面积枯萎、病死现象，植被固土保水效果明显，土壤流失量控制在允许范围内，确保生态系统稳定性，实现水土保持的功能。</w:t>
            </w:r>
          </w:p>
          <w:p>
            <w:pPr>
              <w:pStyle w:val="null3"/>
              <w:jc w:val="both"/>
            </w:pPr>
            <w:r>
              <w:rPr>
                <w:rFonts w:ascii="仿宋_GB2312" w:hAnsi="仿宋_GB2312" w:cs="仿宋_GB2312" w:eastAsia="仿宋_GB2312"/>
                <w:sz w:val="24"/>
              </w:rPr>
              <w:t>②　基础设施管护要求</w:t>
            </w:r>
          </w:p>
          <w:p>
            <w:pPr>
              <w:pStyle w:val="null3"/>
              <w:jc w:val="both"/>
            </w:pPr>
            <w:r>
              <w:rPr>
                <w:rFonts w:ascii="仿宋_GB2312" w:hAnsi="仿宋_GB2312" w:cs="仿宋_GB2312" w:eastAsia="仿宋_GB2312"/>
                <w:sz w:val="24"/>
              </w:rPr>
              <w:t>1)常态化巡查：每季度对清理后场地、生态护坡、整治岸线、下河梯步、栏杆等基础设施进行1次全面巡查，采用徒步巡查+无人机巡查相结合的方式，重点排查设施破损、渗漏、松动、老化等问题；对巡查中发现的轻微问题，当场整改；重大问题，立即设置警示标志，及时上报采购方。</w:t>
            </w:r>
          </w:p>
          <w:p>
            <w:pPr>
              <w:pStyle w:val="null3"/>
              <w:jc w:val="both"/>
            </w:pPr>
            <w:r>
              <w:rPr>
                <w:rFonts w:ascii="仿宋_GB2312" w:hAnsi="仿宋_GB2312" w:cs="仿宋_GB2312" w:eastAsia="仿宋_GB2312"/>
                <w:sz w:val="24"/>
              </w:rPr>
              <w:t>2)及时处置：发现基础设施破损、渗漏等问题，无法立即整改的，需制定详细的整改方案，书面上报采购方，经采购方同意后实施；整改完成后提交整改报告，整改合格率100%；每年开展1次基础设施全面检测，对存在安全隐患的设施及时进行加固、维修或更换。</w:t>
            </w:r>
          </w:p>
          <w:p>
            <w:pPr>
              <w:pStyle w:val="null3"/>
              <w:jc w:val="both"/>
            </w:pPr>
            <w:r>
              <w:rPr>
                <w:rFonts w:ascii="仿宋_GB2312" w:hAnsi="仿宋_GB2312" w:cs="仿宋_GB2312" w:eastAsia="仿宋_GB2312"/>
                <w:sz w:val="24"/>
              </w:rPr>
              <w:t>3)环境维护：每季度清理1次场地内杂物、垃圾，重点清理河道岸边、梯步、栏杆周边的垃圾，垃圾分类收集、合规处置，确保场地整洁；每季度清理1次河道水面漂浮物，防止垃圾入河，维护“水清、岸绿、景美”的滨水景观；每季度对滨水空间进行1次全面保洁，修剪杂草、整理植被，确保景观效果；建立环境维护台账，详细记录保洁时间、保洁内容、处置情况，确保可追溯。</w:t>
            </w:r>
          </w:p>
          <w:p>
            <w:pPr>
              <w:pStyle w:val="null3"/>
              <w:jc w:val="both"/>
            </w:pPr>
            <w:r>
              <w:rPr>
                <w:rFonts w:ascii="仿宋_GB2312" w:hAnsi="仿宋_GB2312" w:cs="仿宋_GB2312" w:eastAsia="仿宋_GB2312"/>
                <w:sz w:val="24"/>
              </w:rPr>
              <w:t>③　植被精细化管护技术要求</w:t>
            </w:r>
          </w:p>
          <w:p>
            <w:pPr>
              <w:pStyle w:val="null3"/>
              <w:jc w:val="both"/>
            </w:pPr>
            <w:r>
              <w:rPr>
                <w:rFonts w:ascii="仿宋_GB2312" w:hAnsi="仿宋_GB2312" w:cs="仿宋_GB2312" w:eastAsia="仿宋_GB2312"/>
                <w:sz w:val="24"/>
              </w:rPr>
              <w:t>1)植被品种优化：根据植被生长情况及螺溪河水生态环境变化，对生长不良、不适宜本地环境的植被品种，提出品种调整建议，经采购方同意后，进行补植更换，确保植被群落的稳定性和生态功能；更换后提交植被品种调整报告及补植记录。</w:t>
            </w:r>
          </w:p>
          <w:p>
            <w:pPr>
              <w:pStyle w:val="null3"/>
              <w:jc w:val="both"/>
            </w:pPr>
            <w:r>
              <w:rPr>
                <w:rFonts w:ascii="仿宋_GB2312" w:hAnsi="仿宋_GB2312" w:cs="仿宋_GB2312" w:eastAsia="仿宋_GB2312"/>
                <w:sz w:val="24"/>
              </w:rPr>
              <w:t>2)特殊植被养护：对珍稀乡土植被、水生植被重点养护，建立专项养护台账，每周监测1次生长状态，根据植被生长需求，调整养护方案，确保重点植被成活率不低于95%。</w:t>
            </w:r>
          </w:p>
          <w:p>
            <w:pPr>
              <w:pStyle w:val="null3"/>
              <w:jc w:val="both"/>
            </w:pPr>
            <w:r>
              <w:rPr>
                <w:rFonts w:ascii="仿宋_GB2312" w:hAnsi="仿宋_GB2312" w:cs="仿宋_GB2312" w:eastAsia="仿宋_GB2312"/>
                <w:sz w:val="24"/>
              </w:rPr>
              <w:t>(5)安全保障要求</w:t>
            </w:r>
          </w:p>
          <w:p>
            <w:pPr>
              <w:pStyle w:val="null3"/>
              <w:jc w:val="both"/>
            </w:pPr>
            <w:r>
              <w:rPr>
                <w:rFonts w:ascii="仿宋_GB2312" w:hAnsi="仿宋_GB2312" w:cs="仿宋_GB2312" w:eastAsia="仿宋_GB2312"/>
                <w:sz w:val="24"/>
              </w:rPr>
              <w:t>①　建立相应的安全管理、监督、检查机构，明确安全工作职责，制定严格的安全生产管理制度，对安全生产和劳动安全实施有效地管理、监督和检查，并经常开展安全生产和劳动安全的教育，增强作业人员的安全意识，确保安全生产。作业人员应对劳动保护设施、作业场地、作业环境、作业机械等安全性进行监督，并对自身安全、健康给予保护。在不能保证作业人员安全与健康的情况下，作业人员有权拒绝正在从事的工作。</w:t>
            </w:r>
          </w:p>
          <w:p>
            <w:pPr>
              <w:pStyle w:val="null3"/>
              <w:jc w:val="both"/>
            </w:pPr>
            <w:r>
              <w:rPr>
                <w:rFonts w:ascii="仿宋_GB2312" w:hAnsi="仿宋_GB2312" w:cs="仿宋_GB2312" w:eastAsia="仿宋_GB2312"/>
                <w:sz w:val="24"/>
              </w:rPr>
              <w:t>②　为作业人员提供安全、健康的工作环境和足够的、符合卫生标准的食用品以及必要的急救药品和器具，供应商单独提供承诺函配备符合国际或国家标准的安全设备和劳动保护用品，禁止超时作业。作业人员应掌握常见的预防、急救、自救方法，在身体不适时避免从事不适合身体状况的工作。</w:t>
            </w:r>
          </w:p>
          <w:p>
            <w:pPr>
              <w:pStyle w:val="null3"/>
              <w:jc w:val="both"/>
            </w:pPr>
            <w:r>
              <w:rPr>
                <w:rFonts w:ascii="仿宋_GB2312" w:hAnsi="仿宋_GB2312" w:cs="仿宋_GB2312" w:eastAsia="仿宋_GB2312"/>
                <w:sz w:val="24"/>
              </w:rPr>
              <w:t>③　加强火源管理，禁止在作业场地用火。如特殊情况需用火时，应清理出场地，火源半径3米内不应有任何可燃物，作业人员离开火源时，应彻底将火熄灭。</w:t>
            </w:r>
          </w:p>
          <w:p>
            <w:pPr>
              <w:pStyle w:val="null3"/>
              <w:jc w:val="both"/>
            </w:pPr>
            <w:r>
              <w:rPr>
                <w:rFonts w:ascii="仿宋_GB2312" w:hAnsi="仿宋_GB2312" w:cs="仿宋_GB2312" w:eastAsia="仿宋_GB2312"/>
                <w:sz w:val="24"/>
              </w:rPr>
              <w:t>④　加强机械管理，防止引发森林火灾。时常清除机械设备表面多余的油污，以防高温或遇明火而引起火灾。机械加油时，保证加油点3米内无任何可燃物质。机械排气、点火等系统，安装防火装置或采取有效的防火措施。</w:t>
            </w:r>
          </w:p>
          <w:p>
            <w:pPr>
              <w:pStyle w:val="null3"/>
              <w:jc w:val="both"/>
            </w:pPr>
            <w:r>
              <w:rPr>
                <w:rFonts w:ascii="仿宋_GB2312" w:hAnsi="仿宋_GB2312" w:cs="仿宋_GB2312" w:eastAsia="仿宋_GB2312"/>
                <w:sz w:val="24"/>
              </w:rPr>
              <w:t>⑤　一旦发生火情，立即停止作业，在保证人身安全情况下，采取必要的灭火措施，并向有关部门报告，请求协助灭火。</w:t>
            </w:r>
          </w:p>
          <w:p>
            <w:pPr>
              <w:pStyle w:val="null3"/>
              <w:jc w:val="both"/>
            </w:pPr>
            <w:r>
              <w:rPr>
                <w:rFonts w:ascii="仿宋_GB2312" w:hAnsi="仿宋_GB2312" w:cs="仿宋_GB2312" w:eastAsia="仿宋_GB2312"/>
                <w:sz w:val="24"/>
              </w:rPr>
              <w:t>⑥　使用安全、卫生的饮用水。生活垃圾集中堆放，集中处理，确保不污染环境。</w:t>
            </w:r>
          </w:p>
          <w:p>
            <w:pPr>
              <w:pStyle w:val="null3"/>
              <w:jc w:val="both"/>
            </w:pPr>
            <w:r>
              <w:rPr>
                <w:rFonts w:ascii="仿宋_GB2312" w:hAnsi="仿宋_GB2312" w:cs="仿宋_GB2312" w:eastAsia="仿宋_GB2312"/>
                <w:sz w:val="24"/>
              </w:rPr>
              <w:t>⑦　加强种检验、检疫；及时清除、销毁木质包装材料；保护好现有植被。</w:t>
            </w:r>
          </w:p>
          <w:p>
            <w:pPr>
              <w:pStyle w:val="null3"/>
              <w:jc w:val="both"/>
            </w:pPr>
            <w:r>
              <w:rPr>
                <w:rFonts w:ascii="仿宋_GB2312" w:hAnsi="仿宋_GB2312" w:cs="仿宋_GB2312" w:eastAsia="仿宋_GB2312"/>
                <w:sz w:val="24"/>
              </w:rPr>
              <w:t>3.★培训与宣传教育服务要求</w:t>
            </w:r>
          </w:p>
          <w:p>
            <w:pPr>
              <w:pStyle w:val="null3"/>
              <w:jc w:val="both"/>
            </w:pPr>
            <w:r>
              <w:rPr>
                <w:rFonts w:ascii="仿宋_GB2312" w:hAnsi="仿宋_GB2312" w:cs="仿宋_GB2312" w:eastAsia="仿宋_GB2312"/>
                <w:sz w:val="24"/>
              </w:rPr>
              <w:t>①　培训及宣传实施对象</w:t>
            </w:r>
          </w:p>
          <w:p>
            <w:pPr>
              <w:pStyle w:val="null3"/>
              <w:jc w:val="both"/>
            </w:pPr>
            <w:r>
              <w:rPr>
                <w:rFonts w:ascii="仿宋_GB2312" w:hAnsi="仿宋_GB2312" w:cs="仿宋_GB2312" w:eastAsia="仿宋_GB2312"/>
                <w:sz w:val="24"/>
              </w:rPr>
              <w:t>1)采购人指定的项目管理人员、技术监督人员、现场协调人员及相关业务骨干；</w:t>
            </w:r>
          </w:p>
          <w:p>
            <w:pPr>
              <w:pStyle w:val="null3"/>
              <w:jc w:val="both"/>
            </w:pPr>
            <w:r>
              <w:rPr>
                <w:rFonts w:ascii="仿宋_GB2312" w:hAnsi="仿宋_GB2312" w:cs="仿宋_GB2312" w:eastAsia="仿宋_GB2312"/>
                <w:sz w:val="24"/>
              </w:rPr>
              <w:t>2)项目实施范围内（螺溪河长乐场镇及东螺溪河上游4.5公里范围）的所有农户，实现宣传全覆盖，重点覆盖河道沿岸500米范围内的农户、畜禽养殖农户。</w:t>
            </w:r>
          </w:p>
          <w:p>
            <w:pPr>
              <w:pStyle w:val="null3"/>
              <w:jc w:val="both"/>
            </w:pPr>
            <w:r>
              <w:rPr>
                <w:rFonts w:ascii="仿宋_GB2312" w:hAnsi="仿宋_GB2312" w:cs="仿宋_GB2312" w:eastAsia="仿宋_GB2312"/>
                <w:sz w:val="24"/>
              </w:rPr>
              <w:t>②　培训目标</w:t>
            </w:r>
          </w:p>
          <w:p>
            <w:pPr>
              <w:pStyle w:val="null3"/>
              <w:jc w:val="both"/>
            </w:pPr>
            <w:r>
              <w:rPr>
                <w:rFonts w:ascii="仿宋_GB2312" w:hAnsi="仿宋_GB2312" w:cs="仿宋_GB2312" w:eastAsia="仿宋_GB2312"/>
                <w:sz w:val="24"/>
              </w:rPr>
              <w:t>1)使采购人相关业务人员熟练掌握本项目生态修复、动态监测、运行维护、生态管护的核心技术要求、设施标准及操作规范，具备对项目实施过程的监督、检查、考核能力，能够独立完成日常项目管理、数据查看、问题排查及简单故障判断，确保项目服务质量符合采购要求。</w:t>
            </w:r>
          </w:p>
          <w:p>
            <w:pPr>
              <w:pStyle w:val="null3"/>
              <w:jc w:val="both"/>
            </w:pPr>
            <w:r>
              <w:rPr>
                <w:rFonts w:ascii="仿宋_GB2312" w:hAnsi="仿宋_GB2312" w:cs="仿宋_GB2312" w:eastAsia="仿宋_GB2312"/>
                <w:sz w:val="24"/>
              </w:rPr>
              <w:t>2)提升项目实施范围内农户的生态环保意识、水资源保护意识，让农户充分了解螺溪河（长乐段）生态修复项目的重要意义、实施内容及相关要求，引导农户主动配合项目实施，自觉规范自身行为（杜绝污水直排、垃圾乱堆、乱砍滥伐等），主动参与生态管护，形成“人人护生态、共同守家园”的良好氛围，保障项目成效长效保持。</w:t>
            </w:r>
          </w:p>
          <w:p>
            <w:pPr>
              <w:pStyle w:val="null3"/>
              <w:jc w:val="both"/>
            </w:pPr>
            <w:r>
              <w:rPr>
                <w:rFonts w:ascii="仿宋_GB2312" w:hAnsi="仿宋_GB2312" w:cs="仿宋_GB2312" w:eastAsia="仿宋_GB2312"/>
                <w:sz w:val="24"/>
              </w:rPr>
              <w:t>3)培训项目实施过程中常见应急场景（设备故障、暴雨洪水、污水渗漏等）的应急处置流程、响应要求，讲解应急运维机制及处置措施，提升业务人员的应急协调能力。</w:t>
            </w:r>
          </w:p>
          <w:p>
            <w:pPr>
              <w:pStyle w:val="null3"/>
              <w:jc w:val="both"/>
            </w:pPr>
            <w:r>
              <w:rPr>
                <w:rFonts w:ascii="仿宋_GB2312" w:hAnsi="仿宋_GB2312" w:cs="仿宋_GB2312" w:eastAsia="仿宋_GB2312"/>
                <w:sz w:val="24"/>
              </w:rPr>
              <w:t>4)宣传螺溪河（长乐段）生态修复项目的背景、意义，讲解项目实施后对改善河道水质、提升居住环境、保障农田安全、促进乡村振兴的重要作用；介绍项目的服务范围、实施内容，让农户了解项目具体工作，增强对项目的支持度。</w:t>
            </w:r>
          </w:p>
          <w:p>
            <w:pPr>
              <w:pStyle w:val="null3"/>
              <w:jc w:val="both"/>
            </w:pPr>
            <w:r>
              <w:rPr>
                <w:rFonts w:ascii="仿宋_GB2312" w:hAnsi="仿宋_GB2312" w:cs="仿宋_GB2312" w:eastAsia="仿宋_GB2312"/>
                <w:sz w:val="24"/>
              </w:rPr>
              <w:t>5)宣传水资源保护、生态环境保护相关法律法规及政策要求，讲解污水直排、垃圾乱堆、乱砍滥伐、违规养殖等行为对河道生态、人居环境的危害；普及生活污水规范排放、生活垃圾分类投放、畜禽养殖废水处理等相关知识，引导农户养成良好的环保习惯。</w:t>
            </w:r>
          </w:p>
          <w:p>
            <w:pPr>
              <w:pStyle w:val="null3"/>
              <w:jc w:val="both"/>
            </w:pPr>
            <w:r>
              <w:rPr>
                <w:rFonts w:ascii="仿宋_GB2312" w:hAnsi="仿宋_GB2312" w:cs="仿宋_GB2312" w:eastAsia="仿宋_GB2312"/>
                <w:sz w:val="24"/>
              </w:rPr>
              <w:t>6)明确告知农户在项目实施过程中需要配合的事项，提醒农户不得破坏项目设施（如监测立杆、摄像头、防护栏杆、植被等），不得向河道内倾倒垃圾、排放污水，违规行为将承担相应责任。</w:t>
            </w:r>
          </w:p>
          <w:p>
            <w:pPr>
              <w:pStyle w:val="null3"/>
              <w:jc w:val="both"/>
            </w:pPr>
            <w:r>
              <w:rPr>
                <w:rFonts w:ascii="仿宋_GB2312" w:hAnsi="仿宋_GB2312" w:cs="仿宋_GB2312" w:eastAsia="仿宋_GB2312"/>
                <w:sz w:val="24"/>
              </w:rPr>
              <w:t>③　宣传频次：宣传教育工作贯穿项目全过程，实现常态化宣传。项目启动后15个工作日内完成全覆盖宣传（包括但不限于横幅、海报张贴等）。</w:t>
            </w:r>
          </w:p>
          <w:p>
            <w:pPr>
              <w:pStyle w:val="null3"/>
              <w:jc w:val="both"/>
            </w:pPr>
            <w:r>
              <w:rPr>
                <w:rFonts w:ascii="仿宋_GB2312" w:hAnsi="仿宋_GB2312" w:cs="仿宋_GB2312" w:eastAsia="仿宋_GB2312"/>
                <w:sz w:val="24"/>
              </w:rPr>
              <w:t>④　培训频次：至少开展1次集中培训，具体时间结合项目实施进度安排。此外，根据采购方需求、项目进度及业务人员变动情况，提供针对性培训或指导。</w:t>
            </w:r>
          </w:p>
          <w:p>
            <w:pPr>
              <w:pStyle w:val="null3"/>
              <w:jc w:val="both"/>
            </w:pPr>
            <w:r>
              <w:rPr>
                <w:rFonts w:ascii="仿宋_GB2312" w:hAnsi="仿宋_GB2312" w:cs="仿宋_GB2312" w:eastAsia="仿宋_GB2312"/>
                <w:sz w:val="24"/>
              </w:rPr>
              <w:t>4.★服务所需的基本设施等最低要求</w:t>
            </w:r>
          </w:p>
          <w:p>
            <w:pPr>
              <w:pStyle w:val="null3"/>
              <w:jc w:val="both"/>
            </w:pPr>
            <w:r>
              <w:rPr>
                <w:rFonts w:ascii="仿宋_GB2312" w:hAnsi="仿宋_GB2312" w:cs="仿宋_GB2312" w:eastAsia="仿宋_GB2312"/>
                <w:sz w:val="24"/>
              </w:rPr>
              <w:t>(1)服务所需设施内容详见表1：螺溪河（长乐段）生态修复服务基本设施等要求</w:t>
            </w:r>
          </w:p>
          <w:tbl>
            <w:tblPr>
              <w:tblBorders>
                <w:top w:val="none" w:color="000000" w:sz="4"/>
                <w:left w:val="none" w:color="000000" w:sz="4"/>
                <w:bottom w:val="none" w:color="000000" w:sz="4"/>
                <w:right w:val="none" w:color="000000" w:sz="4"/>
                <w:insideH w:val="none"/>
                <w:insideV w:val="none"/>
              </w:tblBorders>
            </w:tblPr>
            <w:tblGrid>
              <w:gridCol w:w="304"/>
              <w:gridCol w:w="716"/>
              <w:gridCol w:w="3614"/>
              <w:gridCol w:w="312"/>
              <w:gridCol w:w="633"/>
            </w:tblGrid>
            <w:tr>
              <w:tc>
                <w:tcPr>
                  <w:tcW w:type="dxa" w:w="3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1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36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技术（服务）</w:t>
                  </w:r>
                  <w:r>
                    <w:rPr>
                      <w:rFonts w:ascii="仿宋_GB2312" w:hAnsi="仿宋_GB2312" w:cs="仿宋_GB2312" w:eastAsia="仿宋_GB2312"/>
                      <w:sz w:val="24"/>
                      <w:b/>
                    </w:rPr>
                    <w:t>要求</w:t>
                  </w:r>
                </w:p>
              </w:tc>
              <w:tc>
                <w:tcPr>
                  <w:tcW w:type="dxa" w:w="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垫层</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≥100mm厚C20混凝土</w:t>
                  </w:r>
                  <w:r>
                    <w:rPr>
                      <w:rFonts w:ascii="仿宋_GB2312" w:hAnsi="仿宋_GB2312" w:cs="仿宋_GB2312" w:eastAsia="仿宋_GB2312"/>
                      <w:sz w:val="24"/>
                    </w:rPr>
                    <w:t>。</w:t>
                  </w:r>
                </w:p>
              </w:tc>
              <w:tc>
                <w:tcPr>
                  <w:tcW w:type="dxa" w:w="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54.51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碎石</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1.厚度</w:t>
                  </w:r>
                  <w:r>
                    <w:rPr>
                      <w:rFonts w:ascii="仿宋_GB2312" w:hAnsi="仿宋_GB2312" w:cs="仿宋_GB2312" w:eastAsia="仿宋_GB2312"/>
                      <w:sz w:val="24"/>
                    </w:rPr>
                    <w:t>：</w:t>
                  </w:r>
                  <w:r>
                    <w:rPr>
                      <w:rFonts w:ascii="仿宋_GB2312" w:hAnsi="仿宋_GB2312" w:cs="仿宋_GB2312" w:eastAsia="仿宋_GB2312"/>
                      <w:sz w:val="24"/>
                    </w:rPr>
                    <w:t>≥150mm，级配碎砾石</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81.74</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回填</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1.对服务范围内进行部分回填。</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126.05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混凝土垫层</w:t>
                  </w:r>
                  <w:r>
                    <w:rPr>
                      <w:rFonts w:ascii="仿宋_GB2312" w:hAnsi="仿宋_GB2312" w:cs="仿宋_GB2312" w:eastAsia="仿宋_GB2312"/>
                      <w:sz w:val="24"/>
                    </w:rPr>
                    <w:t>C20</w:t>
                  </w:r>
                  <w:r>
                    <w:rPr>
                      <w:rFonts w:ascii="仿宋_GB2312" w:hAnsi="仿宋_GB2312" w:cs="仿宋_GB2312" w:eastAsia="仿宋_GB2312"/>
                      <w:sz w:val="24"/>
                    </w:rPr>
                    <w:t>（</w:t>
                  </w:r>
                  <w:r>
                    <w:rPr>
                      <w:rFonts w:ascii="仿宋_GB2312" w:hAnsi="仿宋_GB2312" w:cs="仿宋_GB2312" w:eastAsia="仿宋_GB2312"/>
                      <w:sz w:val="24"/>
                    </w:rPr>
                    <w:t>毛石挡墙</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≥100mm厚C20混凝土</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压顶</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C20混凝土</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挡土墙</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MU30毛石</w:t>
                  </w:r>
                  <w:r>
                    <w:rPr>
                      <w:rFonts w:ascii="仿宋_GB2312" w:hAnsi="仿宋_GB2312" w:cs="仿宋_GB2312" w:eastAsia="仿宋_GB2312"/>
                      <w:sz w:val="24"/>
                    </w:rPr>
                    <w:t>；</w:t>
                  </w:r>
                  <w:r>
                    <w:rPr>
                      <w:rFonts w:ascii="仿宋_GB2312" w:hAnsi="仿宋_GB2312" w:cs="仿宋_GB2312" w:eastAsia="仿宋_GB2312"/>
                      <w:sz w:val="24"/>
                    </w:rPr>
                    <w:t>M7.5水泥砂浆砌筑</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76.47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MU30毛石</w:t>
                  </w:r>
                  <w:r>
                    <w:rPr>
                      <w:rFonts w:ascii="仿宋_GB2312" w:hAnsi="仿宋_GB2312" w:cs="仿宋_GB2312" w:eastAsia="仿宋_GB2312"/>
                      <w:sz w:val="24"/>
                    </w:rPr>
                    <w:t>，</w:t>
                  </w:r>
                  <w:r>
                    <w:rPr>
                      <w:rFonts w:ascii="仿宋_GB2312" w:hAnsi="仿宋_GB2312" w:cs="仿宋_GB2312" w:eastAsia="仿宋_GB2312"/>
                      <w:sz w:val="24"/>
                    </w:rPr>
                    <w:t>M10水泥砂浆砌筑</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89.77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人行道整形碾压</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w:t>
                  </w:r>
                  <w:r>
                    <w:rPr>
                      <w:rFonts w:ascii="仿宋_GB2312" w:hAnsi="仿宋_GB2312" w:cs="仿宋_GB2312" w:eastAsia="仿宋_GB2312"/>
                      <w:sz w:val="24"/>
                    </w:rPr>
                    <w:t>人行道</w:t>
                  </w:r>
                  <w:r>
                    <w:rPr>
                      <w:rFonts w:ascii="仿宋_GB2312" w:hAnsi="仿宋_GB2312" w:cs="仿宋_GB2312" w:eastAsia="仿宋_GB2312"/>
                      <w:sz w:val="24"/>
                    </w:rPr>
                    <w:t>进行</w:t>
                  </w:r>
                  <w:r>
                    <w:rPr>
                      <w:rFonts w:ascii="仿宋_GB2312" w:hAnsi="仿宋_GB2312" w:cs="仿宋_GB2312" w:eastAsia="仿宋_GB2312"/>
                      <w:sz w:val="24"/>
                    </w:rPr>
                    <w:t>碾压</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526.89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挖沟槽</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w:t>
                  </w:r>
                  <w:r>
                    <w:rPr>
                      <w:rFonts w:ascii="仿宋_GB2312" w:hAnsi="仿宋_GB2312" w:cs="仿宋_GB2312" w:eastAsia="仿宋_GB2312"/>
                      <w:sz w:val="24"/>
                    </w:rPr>
                    <w:t>挖沟槽土方</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236.98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弃置</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w:t>
                  </w:r>
                  <w:r>
                    <w:rPr>
                      <w:rFonts w:ascii="仿宋_GB2312" w:hAnsi="仿宋_GB2312" w:cs="仿宋_GB2312" w:eastAsia="仿宋_GB2312"/>
                      <w:sz w:val="24"/>
                    </w:rPr>
                    <w:t>余方弃置</w:t>
                  </w:r>
                  <w:r>
                    <w:rPr>
                      <w:rFonts w:ascii="仿宋_GB2312" w:hAnsi="仿宋_GB2312" w:cs="仿宋_GB2312" w:eastAsia="仿宋_GB2312"/>
                      <w:sz w:val="24"/>
                    </w:rPr>
                    <w:t>。运距：</w:t>
                  </w:r>
                  <w:r>
                    <w:rPr>
                      <w:rFonts w:ascii="仿宋_GB2312" w:hAnsi="仿宋_GB2312" w:cs="仿宋_GB2312" w:eastAsia="仿宋_GB2312"/>
                      <w:sz w:val="24"/>
                    </w:rPr>
                    <w:t>3km。</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110.96</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台阶</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1.厚度</w:t>
                  </w:r>
                  <w:r>
                    <w:rPr>
                      <w:rFonts w:ascii="仿宋_GB2312" w:hAnsi="仿宋_GB2312" w:cs="仿宋_GB2312" w:eastAsia="仿宋_GB2312"/>
                      <w:sz w:val="24"/>
                    </w:rPr>
                    <w:t>：</w:t>
                  </w:r>
                  <w:r>
                    <w:rPr>
                      <w:rFonts w:ascii="仿宋_GB2312" w:hAnsi="仿宋_GB2312" w:cs="仿宋_GB2312" w:eastAsia="仿宋_GB2312"/>
                      <w:sz w:val="24"/>
                    </w:rPr>
                    <w:t>≥150mm，级配碎砾石</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墙面勾缝</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1.表面用1:3水泥砂浆20mm厚凸缝。</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174.29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变形缝</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1.对服务范围内部分制作沥青木板</w:t>
                  </w:r>
                  <w:r>
                    <w:rPr>
                      <w:rFonts w:ascii="仿宋_GB2312" w:hAnsi="仿宋_GB2312" w:cs="仿宋_GB2312" w:eastAsia="仿宋_GB2312"/>
                      <w:sz w:val="24"/>
                    </w:rPr>
                    <w:t>变形缝</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5.94</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青砂石栏杆</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1.扶手：青砂石（錾道面) 200mm*300mm*(1200mm～1500mm)mm；</w:t>
                  </w:r>
                </w:p>
                <w:p>
                  <w:pPr>
                    <w:pStyle w:val="null3"/>
                    <w:jc w:val="left"/>
                  </w:pPr>
                  <w:r>
                    <w:rPr>
                      <w:rFonts w:ascii="仿宋_GB2312" w:hAnsi="仿宋_GB2312" w:cs="仿宋_GB2312" w:eastAsia="仿宋_GB2312"/>
                      <w:sz w:val="24"/>
                    </w:rPr>
                    <w:t xml:space="preserve">2.栏杆：青砂石（錾道面) </w:t>
                  </w:r>
                  <w:r>
                    <w:rPr>
                      <w:rFonts w:ascii="仿宋_GB2312" w:hAnsi="仿宋_GB2312" w:cs="仿宋_GB2312" w:eastAsia="仿宋_GB2312"/>
                      <w:sz w:val="24"/>
                    </w:rPr>
                    <w:t>≥</w:t>
                  </w:r>
                  <w:r>
                    <w:rPr>
                      <w:rFonts w:ascii="仿宋_GB2312" w:hAnsi="仿宋_GB2312" w:cs="仿宋_GB2312" w:eastAsia="仿宋_GB2312"/>
                      <w:sz w:val="24"/>
                    </w:rPr>
                    <w:t>200mm*200mm*200mm；</w:t>
                  </w:r>
                </w:p>
                <w:p>
                  <w:pPr>
                    <w:pStyle w:val="null3"/>
                    <w:jc w:val="left"/>
                  </w:pPr>
                  <w:r>
                    <w:rPr>
                      <w:rFonts w:ascii="仿宋_GB2312" w:hAnsi="仿宋_GB2312" w:cs="仿宋_GB2312" w:eastAsia="仿宋_GB2312"/>
                      <w:sz w:val="24"/>
                    </w:rPr>
                    <w:t>3.栏杆基础：青砂石（微自然面) 300mm×300mm×(500mm～1000mm)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mm</w:t>
                  </w:r>
                  <w:r>
                    <w:rPr>
                      <w:rFonts w:ascii="仿宋_GB2312" w:hAnsi="仿宋_GB2312" w:cs="仿宋_GB2312" w:eastAsia="仿宋_GB2312"/>
                      <w:sz w:val="24"/>
                    </w:rPr>
                    <w:t>厚</w:t>
                  </w:r>
                  <w:r>
                    <w:rPr>
                      <w:rFonts w:ascii="仿宋_GB2312" w:hAnsi="仿宋_GB2312" w:cs="仿宋_GB2312" w:eastAsia="仿宋_GB2312"/>
                      <w:sz w:val="24"/>
                    </w:rPr>
                    <w:t>1:2.5水泥砂浆；φ</w:t>
                  </w:r>
                  <w:r>
                    <w:rPr>
                      <w:rFonts w:ascii="仿宋_GB2312" w:hAnsi="仿宋_GB2312" w:cs="仿宋_GB2312" w:eastAsia="仿宋_GB2312"/>
                      <w:sz w:val="24"/>
                    </w:rPr>
                    <w:t>≥</w:t>
                  </w:r>
                  <w:r>
                    <w:rPr>
                      <w:rFonts w:ascii="仿宋_GB2312" w:hAnsi="仿宋_GB2312" w:cs="仿宋_GB2312" w:eastAsia="仿宋_GB2312"/>
                      <w:sz w:val="24"/>
                    </w:rPr>
                    <w:t>10钢筋，通长1mm厚胶粘贴；</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93.33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垫层</w:t>
                  </w:r>
                  <w:r>
                    <w:rPr>
                      <w:rFonts w:ascii="仿宋_GB2312" w:hAnsi="仿宋_GB2312" w:cs="仿宋_GB2312" w:eastAsia="仿宋_GB2312"/>
                      <w:sz w:val="24"/>
                    </w:rPr>
                    <w:t>（</w:t>
                  </w:r>
                  <w:r>
                    <w:rPr>
                      <w:rFonts w:ascii="仿宋_GB2312" w:hAnsi="仿宋_GB2312" w:cs="仿宋_GB2312" w:eastAsia="仿宋_GB2312"/>
                      <w:sz w:val="24"/>
                    </w:rPr>
                    <w:t>台阶</w:t>
                  </w:r>
                  <w:r>
                    <w:rPr>
                      <w:rFonts w:ascii="仿宋_GB2312" w:hAnsi="仿宋_GB2312" w:cs="仿宋_GB2312" w:eastAsia="仿宋_GB2312"/>
                      <w:sz w:val="24"/>
                    </w:rPr>
                    <w:t>1</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≥100mm厚C20混凝土</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垫层</w:t>
                  </w:r>
                  <w:r>
                    <w:rPr>
                      <w:rFonts w:ascii="仿宋_GB2312" w:hAnsi="仿宋_GB2312" w:cs="仿宋_GB2312" w:eastAsia="仿宋_GB2312"/>
                      <w:sz w:val="24"/>
                    </w:rPr>
                    <w:t>（</w:t>
                  </w:r>
                  <w:r>
                    <w:rPr>
                      <w:rFonts w:ascii="仿宋_GB2312" w:hAnsi="仿宋_GB2312" w:cs="仿宋_GB2312" w:eastAsia="仿宋_GB2312"/>
                      <w:sz w:val="24"/>
                    </w:rPr>
                    <w:t>台阶</w:t>
                  </w:r>
                  <w:r>
                    <w:rPr>
                      <w:rFonts w:ascii="仿宋_GB2312" w:hAnsi="仿宋_GB2312" w:cs="仿宋_GB2312" w:eastAsia="仿宋_GB2312"/>
                      <w:sz w:val="24"/>
                    </w:rPr>
                    <w:t>2</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0mm厚C20混凝土</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汀步</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1.厚度</w:t>
                  </w:r>
                  <w:r>
                    <w:rPr>
                      <w:rFonts w:ascii="仿宋_GB2312" w:hAnsi="仿宋_GB2312" w:cs="仿宋_GB2312" w:eastAsia="仿宋_GB2312"/>
                      <w:sz w:val="24"/>
                    </w:rPr>
                    <w:t>：</w:t>
                  </w:r>
                  <w:r>
                    <w:rPr>
                      <w:rFonts w:ascii="仿宋_GB2312" w:hAnsi="仿宋_GB2312" w:cs="仿宋_GB2312" w:eastAsia="仿宋_GB2312"/>
                      <w:sz w:val="24"/>
                    </w:rPr>
                    <w:t>≥150mm，级配碎石</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垫层</w:t>
                  </w:r>
                  <w:r>
                    <w:rPr>
                      <w:rFonts w:ascii="仿宋_GB2312" w:hAnsi="仿宋_GB2312" w:cs="仿宋_GB2312" w:eastAsia="仿宋_GB2312"/>
                      <w:sz w:val="24"/>
                    </w:rPr>
                    <w:t>（</w:t>
                  </w:r>
                  <w:r>
                    <w:rPr>
                      <w:rFonts w:ascii="仿宋_GB2312" w:hAnsi="仿宋_GB2312" w:cs="仿宋_GB2312" w:eastAsia="仿宋_GB2312"/>
                      <w:sz w:val="24"/>
                    </w:rPr>
                    <w:t>汀步</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00mm厚C20混凝土</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斧凿面</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1.规格：青砂石（斧凿面)</w:t>
                  </w:r>
                  <w:r>
                    <w:rPr>
                      <w:rFonts w:ascii="仿宋_GB2312" w:hAnsi="仿宋_GB2312" w:cs="仿宋_GB2312" w:eastAsia="仿宋_GB2312"/>
                      <w:sz w:val="24"/>
                    </w:rPr>
                    <w:t>≥</w:t>
                  </w:r>
                  <w:r>
                    <w:rPr>
                      <w:rFonts w:ascii="仿宋_GB2312" w:hAnsi="仿宋_GB2312" w:cs="仿宋_GB2312" w:eastAsia="仿宋_GB2312"/>
                      <w:sz w:val="24"/>
                    </w:rPr>
                    <w:t>300mm×600mm×100mm，30mm厚1:2.5水泥砂浆。</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32.45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现浇构件</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1.规格：现浇构件钢筋HRB400；直径φ12～16。</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0.797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垫层</w:t>
                  </w:r>
                  <w:r>
                    <w:rPr>
                      <w:rFonts w:ascii="仿宋_GB2312" w:hAnsi="仿宋_GB2312" w:cs="仿宋_GB2312" w:eastAsia="仿宋_GB2312"/>
                      <w:sz w:val="24"/>
                    </w:rPr>
                    <w:t>（</w:t>
                  </w:r>
                  <w:r>
                    <w:rPr>
                      <w:rFonts w:ascii="仿宋_GB2312" w:hAnsi="仿宋_GB2312" w:cs="仿宋_GB2312" w:eastAsia="仿宋_GB2312"/>
                      <w:sz w:val="24"/>
                    </w:rPr>
                    <w:t>矮墙</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00mm厚C20混凝土</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垫层</w:t>
                  </w:r>
                  <w:r>
                    <w:rPr>
                      <w:rFonts w:ascii="仿宋_GB2312" w:hAnsi="仿宋_GB2312" w:cs="仿宋_GB2312" w:eastAsia="仿宋_GB2312"/>
                      <w:sz w:val="24"/>
                    </w:rPr>
                    <w:t>（</w:t>
                  </w:r>
                  <w:r>
                    <w:rPr>
                      <w:rFonts w:ascii="仿宋_GB2312" w:hAnsi="仿宋_GB2312" w:cs="仿宋_GB2312" w:eastAsia="仿宋_GB2312"/>
                      <w:sz w:val="24"/>
                    </w:rPr>
                    <w:t>透水混凝土</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00mm厚</w:t>
                  </w:r>
                  <w:r>
                    <w:rPr>
                      <w:rFonts w:ascii="仿宋_GB2312" w:hAnsi="仿宋_GB2312" w:cs="仿宋_GB2312" w:eastAsia="仿宋_GB2312"/>
                      <w:sz w:val="24"/>
                    </w:rPr>
                    <w:t>C20透水混凝土。</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28.42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碎石</w:t>
                  </w:r>
                  <w:r>
                    <w:rPr>
                      <w:rFonts w:ascii="仿宋_GB2312" w:hAnsi="仿宋_GB2312" w:cs="仿宋_GB2312" w:eastAsia="仿宋_GB2312"/>
                      <w:sz w:val="24"/>
                    </w:rPr>
                    <w:t>（</w:t>
                  </w:r>
                  <w:r>
                    <w:rPr>
                      <w:rFonts w:ascii="仿宋_GB2312" w:hAnsi="仿宋_GB2312" w:cs="仿宋_GB2312" w:eastAsia="仿宋_GB2312"/>
                      <w:sz w:val="24"/>
                    </w:rPr>
                    <w:t>矮墙</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1.厚度</w:t>
                  </w:r>
                  <w:r>
                    <w:rPr>
                      <w:rFonts w:ascii="仿宋_GB2312" w:hAnsi="仿宋_GB2312" w:cs="仿宋_GB2312" w:eastAsia="仿宋_GB2312"/>
                      <w:sz w:val="24"/>
                    </w:rPr>
                    <w:t>：</w:t>
                  </w:r>
                  <w:r>
                    <w:rPr>
                      <w:rFonts w:ascii="仿宋_GB2312" w:hAnsi="仿宋_GB2312" w:cs="仿宋_GB2312" w:eastAsia="仿宋_GB2312"/>
                      <w:sz w:val="24"/>
                    </w:rPr>
                    <w:t>≥150mm，级配碎石</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灌砂垫层</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1.厚度</w:t>
                  </w:r>
                  <w:r>
                    <w:rPr>
                      <w:rFonts w:ascii="仿宋_GB2312" w:hAnsi="仿宋_GB2312" w:cs="仿宋_GB2312" w:eastAsia="仿宋_GB2312"/>
                      <w:sz w:val="24"/>
                    </w:rPr>
                    <w:t>：</w:t>
                  </w:r>
                  <w:r>
                    <w:rPr>
                      <w:rFonts w:ascii="仿宋_GB2312" w:hAnsi="仿宋_GB2312" w:cs="仿宋_GB2312" w:eastAsia="仿宋_GB2312"/>
                      <w:sz w:val="24"/>
                    </w:rPr>
                    <w:t>≥150mm，碎石灌砂</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42.63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路缘石</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：花岗石路缘石</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150mm</w:t>
                  </w:r>
                  <w:r>
                    <w:rPr>
                      <w:rFonts w:ascii="仿宋_GB2312" w:hAnsi="仿宋_GB2312" w:cs="仿宋_GB2312" w:eastAsia="仿宋_GB2312"/>
                      <w:sz w:val="24"/>
                    </w:rPr>
                    <w:t>；</w:t>
                  </w:r>
                  <w:r>
                    <w:rPr>
                      <w:rFonts w:ascii="仿宋_GB2312" w:hAnsi="仿宋_GB2312" w:cs="仿宋_GB2312" w:eastAsia="仿宋_GB2312"/>
                      <w:sz w:val="24"/>
                    </w:rPr>
                    <w:t>≥30mm厚1:3水泥砂浆</w:t>
                  </w:r>
                  <w:r>
                    <w:rPr>
                      <w:rFonts w:ascii="仿宋_GB2312" w:hAnsi="仿宋_GB2312" w:cs="仿宋_GB2312" w:eastAsia="仿宋_GB2312"/>
                      <w:sz w:val="24"/>
                    </w:rPr>
                    <w:t>；</w:t>
                  </w:r>
                  <w:r>
                    <w:rPr>
                      <w:rFonts w:ascii="仿宋_GB2312" w:hAnsi="仿宋_GB2312" w:cs="仿宋_GB2312" w:eastAsia="仿宋_GB2312"/>
                      <w:sz w:val="24"/>
                    </w:rPr>
                    <w:t>≥150mm厚碎石垫层</w:t>
                  </w:r>
                  <w:r>
                    <w:rPr>
                      <w:rFonts w:ascii="仿宋_GB2312" w:hAnsi="仿宋_GB2312" w:cs="仿宋_GB2312" w:eastAsia="仿宋_GB2312"/>
                      <w:sz w:val="24"/>
                    </w:rPr>
                    <w:t>；</w:t>
                  </w:r>
                  <w:r>
                    <w:rPr>
                      <w:rFonts w:ascii="仿宋_GB2312" w:hAnsi="仿宋_GB2312" w:cs="仿宋_GB2312" w:eastAsia="仿宋_GB2312"/>
                      <w:sz w:val="24"/>
                    </w:rPr>
                    <w:t>≥100mm厚C20混凝土垫层</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80.83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拆除基层</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w:t>
                  </w:r>
                  <w:r>
                    <w:rPr>
                      <w:rFonts w:ascii="仿宋_GB2312" w:hAnsi="仿宋_GB2312" w:cs="仿宋_GB2312" w:eastAsia="仿宋_GB2312"/>
                      <w:sz w:val="24"/>
                    </w:rPr>
                    <w:t>基层拆除</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284.19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拆除透水砖</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w:t>
                  </w:r>
                  <w:r>
                    <w:rPr>
                      <w:rFonts w:ascii="仿宋_GB2312" w:hAnsi="仿宋_GB2312" w:cs="仿宋_GB2312" w:eastAsia="仿宋_GB2312"/>
                      <w:sz w:val="24"/>
                    </w:rPr>
                    <w:t>透水砖拆除</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284.19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点风景石</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1.对服务范围内部分制作</w:t>
                  </w:r>
                  <w:r>
                    <w:rPr>
                      <w:rFonts w:ascii="仿宋_GB2312" w:hAnsi="仿宋_GB2312" w:cs="仿宋_GB2312" w:eastAsia="仿宋_GB2312"/>
                      <w:sz w:val="24"/>
                    </w:rPr>
                    <w:t>点风景石</w:t>
                  </w:r>
                  <w:r>
                    <w:rPr>
                      <w:rFonts w:ascii="仿宋_GB2312" w:hAnsi="仿宋_GB2312" w:cs="仿宋_GB2312" w:eastAsia="仿宋_GB2312"/>
                      <w:sz w:val="24"/>
                    </w:rPr>
                    <w:t>，自然石块，块径</w:t>
                  </w:r>
                  <w:r>
                    <w:rPr>
                      <w:rFonts w:ascii="仿宋_GB2312" w:hAnsi="仿宋_GB2312" w:cs="仿宋_GB2312" w:eastAsia="仿宋_GB2312"/>
                      <w:sz w:val="24"/>
                    </w:rPr>
                    <w:t>500mm～1300mm</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灌县黑砂石</w:t>
                  </w:r>
                  <w:r>
                    <w:rPr>
                      <w:rFonts w:ascii="仿宋_GB2312" w:hAnsi="仿宋_GB2312" w:cs="仿宋_GB2312" w:eastAsia="仿宋_GB2312"/>
                      <w:sz w:val="24"/>
                    </w:rPr>
                    <w:t>（</w:t>
                  </w:r>
                  <w:r>
                    <w:rPr>
                      <w:rFonts w:ascii="仿宋_GB2312" w:hAnsi="仿宋_GB2312" w:cs="仿宋_GB2312" w:eastAsia="仿宋_GB2312"/>
                      <w:sz w:val="24"/>
                    </w:rPr>
                    <w:t>斧凿面</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：灌县黑砂石</w:t>
                  </w:r>
                  <w:r>
                    <w:rPr>
                      <w:rFonts w:ascii="仿宋_GB2312" w:hAnsi="仿宋_GB2312" w:cs="仿宋_GB2312" w:eastAsia="仿宋_GB2312"/>
                      <w:sz w:val="24"/>
                    </w:rPr>
                    <w:t>（</w:t>
                  </w:r>
                  <w:r>
                    <w:rPr>
                      <w:rFonts w:ascii="仿宋_GB2312" w:hAnsi="仿宋_GB2312" w:cs="仿宋_GB2312" w:eastAsia="仿宋_GB2312"/>
                      <w:sz w:val="24"/>
                    </w:rPr>
                    <w:t>斧凿面</w:t>
                  </w:r>
                  <w:r>
                    <w:rPr>
                      <w:rFonts w:ascii="仿宋_GB2312" w:hAnsi="仿宋_GB2312" w:cs="仿宋_GB2312" w:eastAsia="仿宋_GB2312"/>
                      <w:sz w:val="24"/>
                    </w:rPr>
                    <w:t>) ≥300mm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72.03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灌县黑砂石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：灌县黑砂石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*30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8.56</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废物</w:t>
                  </w:r>
                  <w:r>
                    <w:rPr>
                      <w:rFonts w:ascii="仿宋_GB2312" w:hAnsi="仿宋_GB2312" w:cs="仿宋_GB2312" w:eastAsia="仿宋_GB2312"/>
                      <w:sz w:val="24"/>
                    </w:rPr>
                    <w:t>弃置</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w:t>
                  </w:r>
                  <w:r>
                    <w:rPr>
                      <w:rFonts w:ascii="仿宋_GB2312" w:hAnsi="仿宋_GB2312" w:cs="仿宋_GB2312" w:eastAsia="仿宋_GB2312"/>
                      <w:sz w:val="24"/>
                    </w:rPr>
                    <w:t>废物</w:t>
                  </w:r>
                  <w:r>
                    <w:rPr>
                      <w:rFonts w:ascii="仿宋_GB2312" w:hAnsi="仿宋_GB2312" w:cs="仿宋_GB2312" w:eastAsia="仿宋_GB2312"/>
                      <w:sz w:val="24"/>
                    </w:rPr>
                    <w:t>弃置</w:t>
                  </w:r>
                  <w:r>
                    <w:rPr>
                      <w:rFonts w:ascii="仿宋_GB2312" w:hAnsi="仿宋_GB2312" w:cs="仿宋_GB2312" w:eastAsia="仿宋_GB2312"/>
                      <w:sz w:val="24"/>
                    </w:rPr>
                    <w:t>。运距：</w:t>
                  </w:r>
                  <w:r>
                    <w:rPr>
                      <w:rFonts w:ascii="仿宋_GB2312" w:hAnsi="仿宋_GB2312" w:cs="仿宋_GB2312" w:eastAsia="仿宋_GB2312"/>
                      <w:sz w:val="24"/>
                    </w:rPr>
                    <w:t>3km。</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93.78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景观座凳</w:t>
                  </w:r>
                  <w:r>
                    <w:rPr>
                      <w:rFonts w:ascii="仿宋_GB2312" w:hAnsi="仿宋_GB2312" w:cs="仿宋_GB2312" w:eastAsia="仿宋_GB2312"/>
                      <w:sz w:val="24"/>
                    </w:rPr>
                    <w:t>（</w:t>
                  </w:r>
                  <w:r>
                    <w:rPr>
                      <w:rFonts w:ascii="仿宋_GB2312" w:hAnsi="仿宋_GB2312" w:cs="仿宋_GB2312" w:eastAsia="仿宋_GB2312"/>
                      <w:sz w:val="24"/>
                    </w:rPr>
                    <w:t>1）</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L=8.3m</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100mm厚碎石垫层、100mm厚C20混凝土垫层、M7.5水泥砂浆砌筑砖基础、100mm厚C20混凝土压顶，内侧喷刷真石漆、顶面侧面粘贴芝麻灰面花岗石)</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景观座凳</w:t>
                  </w:r>
                  <w:r>
                    <w:rPr>
                      <w:rFonts w:ascii="仿宋_GB2312" w:hAnsi="仿宋_GB2312" w:cs="仿宋_GB2312" w:eastAsia="仿宋_GB2312"/>
                      <w:sz w:val="24"/>
                    </w:rPr>
                    <w:t>（</w:t>
                  </w:r>
                  <w:r>
                    <w:rPr>
                      <w:rFonts w:ascii="仿宋_GB2312" w:hAnsi="仿宋_GB2312" w:cs="仿宋_GB2312" w:eastAsia="仿宋_GB2312"/>
                      <w:sz w:val="24"/>
                    </w:rPr>
                    <w:t>2）</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L=10.6m</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100mm厚碎石垫层、100mm厚C20混凝土垫层、M7.5水泥砂浆砌筑砖基础、100mm厚C20混凝土压顶，内侧喷刷真石漆、顶面侧面粘贴芝麻灰柔光面花岗石)</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顶面自然面、侧面粗凿面</w:t>
                  </w:r>
                  <w:r>
                    <w:rPr>
                      <w:rFonts w:ascii="仿宋_GB2312" w:hAnsi="仿宋_GB2312" w:cs="仿宋_GB2312" w:eastAsia="仿宋_GB2312"/>
                      <w:sz w:val="24"/>
                    </w:rPr>
                    <w:t>1</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顶面自然面、侧面粗凿面</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450mm</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顶面自然面、侧面粗凿面</w:t>
                  </w:r>
                  <w:r>
                    <w:rPr>
                      <w:rFonts w:ascii="仿宋_GB2312" w:hAnsi="仿宋_GB2312" w:cs="仿宋_GB2312" w:eastAsia="仿宋_GB2312"/>
                      <w:sz w:val="24"/>
                    </w:rPr>
                    <w:t>2</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顶面自然面、侧面粗凿面</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450mm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斧凿面</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斧凿面</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900mm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火烧面</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火烧面</w:t>
                  </w:r>
                  <w:r>
                    <w:rPr>
                      <w:rFonts w:ascii="仿宋_GB2312" w:hAnsi="仿宋_GB2312" w:cs="仿宋_GB2312" w:eastAsia="仿宋_GB2312"/>
                      <w:sz w:val="24"/>
                    </w:rPr>
                    <w:t>) ≥50mm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1</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)≥800mm</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250mm</w:t>
                  </w:r>
                  <w:r>
                    <w:rPr>
                      <w:rFonts w:ascii="仿宋_GB2312" w:hAnsi="仿宋_GB2312" w:cs="仿宋_GB2312" w:eastAsia="仿宋_GB2312"/>
                      <w:sz w:val="24"/>
                    </w:rPr>
                    <w:t>（</w:t>
                  </w:r>
                  <w:r>
                    <w:rPr>
                      <w:rFonts w:ascii="仿宋_GB2312" w:hAnsi="仿宋_GB2312" w:cs="仿宋_GB2312" w:eastAsia="仿宋_GB2312"/>
                      <w:sz w:val="24"/>
                    </w:rPr>
                    <w:t>汀步</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3.84</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2</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)(1855mm</w:t>
                  </w:r>
                  <w:r>
                    <w:rPr>
                      <w:rFonts w:ascii="仿宋_GB2312" w:hAnsi="仿宋_GB2312" w:cs="仿宋_GB2312" w:eastAsia="仿宋_GB2312"/>
                      <w:sz w:val="24"/>
                    </w:rPr>
                    <w:t>～</w:t>
                  </w:r>
                  <w:r>
                    <w:rPr>
                      <w:rFonts w:ascii="仿宋_GB2312" w:hAnsi="仿宋_GB2312" w:cs="仿宋_GB2312" w:eastAsia="仿宋_GB2312"/>
                      <w:sz w:val="24"/>
                    </w:rPr>
                    <w:t>3535mm)</w:t>
                  </w:r>
                  <w:r>
                    <w:rPr>
                      <w:rFonts w:ascii="仿宋_GB2312" w:hAnsi="仿宋_GB2312" w:cs="仿宋_GB2312" w:eastAsia="仿宋_GB2312"/>
                      <w:sz w:val="24"/>
                    </w:rPr>
                    <w:t>*</w:t>
                  </w:r>
                  <w:r>
                    <w:rPr>
                      <w:rFonts w:ascii="仿宋_GB2312" w:hAnsi="仿宋_GB2312" w:cs="仿宋_GB2312" w:eastAsia="仿宋_GB2312"/>
                      <w:sz w:val="24"/>
                    </w:rPr>
                    <w:t>(450mm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汀步</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30.82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3</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手打面</w:t>
                  </w:r>
                  <w:r>
                    <w:rPr>
                      <w:rFonts w:ascii="仿宋_GB2312" w:hAnsi="仿宋_GB2312" w:cs="仿宋_GB2312" w:eastAsia="仿宋_GB2312"/>
                      <w:sz w:val="24"/>
                    </w:rPr>
                    <w:t>)(6755~9305)</w:t>
                  </w:r>
                  <w:r>
                    <w:rPr>
                      <w:rFonts w:ascii="仿宋_GB2312" w:hAnsi="仿宋_GB2312" w:cs="仿宋_GB2312" w:eastAsia="仿宋_GB2312"/>
                      <w:sz w:val="24"/>
                    </w:rPr>
                    <w:t>*</w:t>
                  </w:r>
                  <w:r>
                    <w:rPr>
                      <w:rFonts w:ascii="仿宋_GB2312" w:hAnsi="仿宋_GB2312" w:cs="仿宋_GB2312" w:eastAsia="仿宋_GB2312"/>
                      <w:sz w:val="24"/>
                    </w:rPr>
                    <w:t>(450~600)</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汀步</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1</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≥600mm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253.81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2</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≥400mm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3</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≥300mm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20.84</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4</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≥800mm</w:t>
                  </w:r>
                  <w:r>
                    <w:rPr>
                      <w:rFonts w:ascii="仿宋_GB2312" w:hAnsi="仿宋_GB2312" w:cs="仿宋_GB2312" w:eastAsia="仿宋_GB2312"/>
                      <w:sz w:val="24"/>
                    </w:rPr>
                    <w:t>*</w:t>
                  </w:r>
                  <w:r>
                    <w:rPr>
                      <w:rFonts w:ascii="仿宋_GB2312" w:hAnsi="仿宋_GB2312" w:cs="仿宋_GB2312" w:eastAsia="仿宋_GB2312"/>
                      <w:sz w:val="24"/>
                    </w:rPr>
                    <w:t>1600mm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57.05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5</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≥800mm</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150mm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6</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≥600mm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300mm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17.66</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7</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≥600mm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250mm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30.91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8</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≥600mm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200mm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9</w:t>
                  </w:r>
                  <w:r>
                    <w:rPr>
                      <w:rFonts w:ascii="仿宋_GB2312" w:hAnsi="仿宋_GB2312" w:cs="仿宋_GB2312" w:eastAsia="仿宋_GB2312"/>
                      <w:sz w:val="24"/>
                    </w:rPr>
                    <w:t>)</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：青砂石</w:t>
                  </w:r>
                  <w:r>
                    <w:rPr>
                      <w:rFonts w:ascii="仿宋_GB2312" w:hAnsi="仿宋_GB2312" w:cs="仿宋_GB2312" w:eastAsia="仿宋_GB2312"/>
                      <w:sz w:val="24"/>
                    </w:rPr>
                    <w:t>（</w:t>
                  </w:r>
                  <w:r>
                    <w:rPr>
                      <w:rFonts w:ascii="仿宋_GB2312" w:hAnsi="仿宋_GB2312" w:cs="仿宋_GB2312" w:eastAsia="仿宋_GB2312"/>
                      <w:sz w:val="24"/>
                    </w:rPr>
                    <w:t>凿刻面</w:t>
                  </w:r>
                  <w:r>
                    <w:rPr>
                      <w:rFonts w:ascii="仿宋_GB2312" w:hAnsi="仿宋_GB2312" w:cs="仿宋_GB2312" w:eastAsia="仿宋_GB2312"/>
                      <w:sz w:val="24"/>
                    </w:rPr>
                    <w:t>) ≥600mm</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100mm</w:t>
                  </w:r>
                  <w:r>
                    <w:rPr>
                      <w:rFonts w:ascii="仿宋_GB2312" w:hAnsi="仿宋_GB2312" w:cs="仿宋_GB2312" w:eastAsia="仿宋_GB2312"/>
                      <w:sz w:val="24"/>
                    </w:rPr>
                    <w:t>；</w:t>
                  </w:r>
                  <w:r>
                    <w:rPr>
                      <w:rFonts w:ascii="仿宋_GB2312" w:hAnsi="仿宋_GB2312" w:cs="仿宋_GB2312" w:eastAsia="仿宋_GB2312"/>
                      <w:sz w:val="24"/>
                    </w:rPr>
                    <w:t>≥30mm厚1:2.5水泥砂浆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140.38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透水砖</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：透水砖</w:t>
                  </w:r>
                  <w:r>
                    <w:rPr>
                      <w:rFonts w:ascii="仿宋_GB2312" w:hAnsi="仿宋_GB2312" w:cs="仿宋_GB2312" w:eastAsia="仿宋_GB2312"/>
                      <w:sz w:val="24"/>
                    </w:rPr>
                    <w:t>≥</w:t>
                  </w:r>
                  <w:r>
                    <w:rPr>
                      <w:rFonts w:ascii="仿宋_GB2312" w:hAnsi="仿宋_GB2312" w:cs="仿宋_GB2312" w:eastAsia="仿宋_GB2312"/>
                      <w:sz w:val="24"/>
                    </w:rPr>
                    <w:t>230cm</w:t>
                  </w:r>
                  <w:r>
                    <w:rPr>
                      <w:rFonts w:ascii="仿宋_GB2312" w:hAnsi="仿宋_GB2312" w:cs="仿宋_GB2312" w:eastAsia="仿宋_GB2312"/>
                      <w:sz w:val="24"/>
                    </w:rPr>
                    <w:t>*</w:t>
                  </w:r>
                  <w:r>
                    <w:rPr>
                      <w:rFonts w:ascii="仿宋_GB2312" w:hAnsi="仿宋_GB2312" w:cs="仿宋_GB2312" w:eastAsia="仿宋_GB2312"/>
                      <w:sz w:val="24"/>
                    </w:rPr>
                    <w:t>115cm</w:t>
                  </w:r>
                  <w:r>
                    <w:rPr>
                      <w:rFonts w:ascii="仿宋_GB2312" w:hAnsi="仿宋_GB2312" w:cs="仿宋_GB2312" w:eastAsia="仿宋_GB2312"/>
                      <w:sz w:val="24"/>
                    </w:rPr>
                    <w:t>*</w:t>
                  </w:r>
                  <w:r>
                    <w:rPr>
                      <w:rFonts w:ascii="仿宋_GB2312" w:hAnsi="仿宋_GB2312" w:cs="仿宋_GB2312" w:eastAsia="仿宋_GB2312"/>
                      <w:sz w:val="24"/>
                    </w:rPr>
                    <w:t>5cm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30mm厚砂垫层粘接层</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284.19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土工布</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2.规格</w:t>
                  </w:r>
                  <w:r>
                    <w:rPr>
                      <w:rFonts w:ascii="仿宋_GB2312" w:hAnsi="仿宋_GB2312" w:cs="仿宋_GB2312" w:eastAsia="仿宋_GB2312"/>
                      <w:sz w:val="24"/>
                    </w:rPr>
                    <w:t>：</w:t>
                  </w:r>
                  <w:r>
                    <w:rPr>
                      <w:rFonts w:ascii="仿宋_GB2312" w:hAnsi="仿宋_GB2312" w:cs="仿宋_GB2312" w:eastAsia="仿宋_GB2312"/>
                      <w:sz w:val="24"/>
                    </w:rPr>
                    <w:t>土工布</w:t>
                  </w:r>
                  <w:r>
                    <w:rPr>
                      <w:rFonts w:ascii="仿宋_GB2312" w:hAnsi="仿宋_GB2312" w:cs="仿宋_GB2312" w:eastAsia="仿宋_GB2312"/>
                      <w:sz w:val="24"/>
                    </w:rPr>
                    <w:t>≥200g/</w:t>
                  </w:r>
                  <w:r>
                    <w:rPr>
                      <w:rFonts w:ascii="仿宋_GB2312" w:hAnsi="仿宋_GB2312" w:cs="仿宋_GB2312" w:eastAsia="仿宋_GB2312"/>
                      <w:sz w:val="24"/>
                    </w:rPr>
                    <w:t>㎡</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284.19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7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砖砌体</w:t>
                  </w:r>
                </w:p>
              </w:tc>
              <w:tc>
                <w:tcPr>
                  <w:tcW w:type="dxa" w:w="36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.规格：≥MU10砖</w:t>
                  </w:r>
                  <w:r>
                    <w:rPr>
                      <w:rFonts w:ascii="仿宋_GB2312" w:hAnsi="仿宋_GB2312" w:cs="仿宋_GB2312" w:eastAsia="仿宋_GB2312"/>
                      <w:sz w:val="24"/>
                    </w:rPr>
                    <w:t>；</w:t>
                  </w:r>
                  <w:r>
                    <w:rPr>
                      <w:rFonts w:ascii="仿宋_GB2312" w:hAnsi="仿宋_GB2312" w:cs="仿宋_GB2312" w:eastAsia="仿宋_GB2312"/>
                      <w:sz w:val="24"/>
                    </w:rPr>
                    <w:t>M7.5水泥砂浆</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6.22</w:t>
                  </w:r>
                </w:p>
              </w:tc>
            </w:tr>
          </w:tbl>
          <w:p>
            <w:pPr>
              <w:pStyle w:val="null3"/>
              <w:jc w:val="both"/>
            </w:pPr>
            <w:r>
              <w:rPr>
                <w:rFonts w:ascii="仿宋_GB2312" w:hAnsi="仿宋_GB2312" w:cs="仿宋_GB2312" w:eastAsia="仿宋_GB2312"/>
                <w:sz w:val="24"/>
              </w:rPr>
              <w:t>(2)服务所需设施内容详见表2：生态修复区动态监测服务基本设施等要求</w:t>
            </w:r>
          </w:p>
          <w:tbl>
            <w:tblPr>
              <w:tblBorders>
                <w:top w:val="none" w:color="000000" w:sz="4"/>
                <w:left w:val="none" w:color="000000" w:sz="4"/>
                <w:bottom w:val="none" w:color="000000" w:sz="4"/>
                <w:right w:val="none" w:color="000000" w:sz="4"/>
                <w:insideH w:val="none"/>
                <w:insideV w:val="none"/>
              </w:tblBorders>
            </w:tblPr>
            <w:tblGrid>
              <w:gridCol w:w="296"/>
              <w:gridCol w:w="782"/>
              <w:gridCol w:w="3556"/>
              <w:gridCol w:w="312"/>
              <w:gridCol w:w="633"/>
            </w:tblGrid>
            <w:tr>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355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技术（服务）</w:t>
                  </w:r>
                  <w:r>
                    <w:rPr>
                      <w:rFonts w:ascii="仿宋_GB2312" w:hAnsi="仿宋_GB2312" w:cs="仿宋_GB2312" w:eastAsia="仿宋_GB2312"/>
                      <w:sz w:val="24"/>
                      <w:b/>
                    </w:rPr>
                    <w:t>要求</w:t>
                  </w:r>
                </w:p>
              </w:tc>
              <w:tc>
                <w:tcPr>
                  <w:tcW w:type="dxa" w:w="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生态区域全智能巡护</w:t>
                  </w:r>
                </w:p>
              </w:tc>
              <w:tc>
                <w:tcPr>
                  <w:tcW w:type="dxa" w:w="35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网络智能球机</w:t>
                  </w:r>
                  <w:r>
                    <w:br/>
                  </w: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rPr>
                    <w:t>镜头</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rPr>
                    <w:t>400万像素</w:t>
                  </w:r>
                  <w:r>
                    <w:rPr>
                      <w:rFonts w:ascii="仿宋_GB2312" w:hAnsi="仿宋_GB2312" w:cs="仿宋_GB2312" w:eastAsia="仿宋_GB2312"/>
                      <w:sz w:val="24"/>
                    </w:rPr>
                    <w:t>，</w:t>
                  </w:r>
                  <w:r>
                    <w:rPr>
                      <w:rFonts w:ascii="仿宋_GB2312" w:hAnsi="仿宋_GB2312" w:cs="仿宋_GB2312" w:eastAsia="仿宋_GB2312"/>
                      <w:sz w:val="24"/>
                    </w:rPr>
                    <w:t>≥23倍光学变焦</w:t>
                  </w:r>
                  <w:r>
                    <w:rPr>
                      <w:rFonts w:ascii="仿宋_GB2312" w:hAnsi="仿宋_GB2312" w:cs="仿宋_GB2312" w:eastAsia="仿宋_GB2312"/>
                      <w:sz w:val="24"/>
                    </w:rPr>
                    <w:t>，</w:t>
                  </w:r>
                  <w:r>
                    <w:rPr>
                      <w:rFonts w:ascii="仿宋_GB2312" w:hAnsi="仿宋_GB2312" w:cs="仿宋_GB2312" w:eastAsia="仿宋_GB2312"/>
                      <w:sz w:val="24"/>
                    </w:rPr>
                    <w:t>≥1/2.8"</w:t>
                  </w:r>
                  <w:r>
                    <w:rPr>
                      <w:rFonts w:ascii="仿宋_GB2312" w:hAnsi="仿宋_GB2312" w:cs="仿宋_GB2312" w:eastAsia="仿宋_GB2312"/>
                      <w:sz w:val="24"/>
                    </w:rPr>
                    <w:t>传感器；</w:t>
                  </w:r>
                  <w:r>
                    <w:br/>
                  </w: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rPr>
                    <w:t>设备具有</w:t>
                  </w:r>
                  <w:r>
                    <w:rPr>
                      <w:rFonts w:ascii="仿宋_GB2312" w:hAnsi="仿宋_GB2312" w:cs="仿宋_GB2312" w:eastAsia="仿宋_GB2312"/>
                      <w:sz w:val="24"/>
                    </w:rPr>
                    <w:t>≥1路音频输入、≥1路音频输出、≥2路报警输入、≥1路报警输出</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rPr>
                    <w:t>外壳防护能力</w:t>
                  </w:r>
                  <w:r>
                    <w:rPr>
                      <w:rFonts w:ascii="仿宋_GB2312" w:hAnsi="仿宋_GB2312" w:cs="仿宋_GB2312" w:eastAsia="仿宋_GB2312"/>
                      <w:sz w:val="24"/>
                    </w:rPr>
                    <w:t>≥IP66</w:t>
                  </w:r>
                  <w:r>
                    <w:br/>
                  </w: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rPr>
                    <w:t>主码流视频分辨率</w:t>
                  </w:r>
                  <w:r>
                    <w:rPr>
                      <w:rFonts w:ascii="仿宋_GB2312" w:hAnsi="仿宋_GB2312" w:cs="仿宋_GB2312" w:eastAsia="仿宋_GB2312"/>
                      <w:sz w:val="24"/>
                    </w:rPr>
                    <w:t>：</w:t>
                  </w:r>
                  <w:r>
                    <w:rPr>
                      <w:rFonts w:ascii="仿宋_GB2312" w:hAnsi="仿宋_GB2312" w:cs="仿宋_GB2312" w:eastAsia="仿宋_GB2312"/>
                      <w:sz w:val="24"/>
                    </w:rPr>
                    <w:t>≥2560x1440</w:t>
                  </w:r>
                  <w:r>
                    <w:rPr>
                      <w:rFonts w:ascii="仿宋_GB2312" w:hAnsi="仿宋_GB2312" w:cs="仿宋_GB2312" w:eastAsia="仿宋_GB2312"/>
                      <w:sz w:val="24"/>
                    </w:rPr>
                    <w:t>px；</w:t>
                  </w:r>
                  <w:r>
                    <w:br/>
                  </w: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rPr>
                    <w:t>红外作用距离：可识别距设备</w:t>
                  </w:r>
                  <w:r>
                    <w:rPr>
                      <w:rFonts w:ascii="仿宋_GB2312" w:hAnsi="仿宋_GB2312" w:cs="仿宋_GB2312" w:eastAsia="仿宋_GB2312"/>
                      <w:sz w:val="24"/>
                    </w:rPr>
                    <w:t>≥150米处人体的轮廓</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rPr>
                    <w:t>最低照度：彩色</w:t>
                  </w:r>
                  <w:r>
                    <w:rPr>
                      <w:rFonts w:ascii="仿宋_GB2312" w:hAnsi="仿宋_GB2312" w:cs="仿宋_GB2312" w:eastAsia="仿宋_GB2312"/>
                      <w:sz w:val="24"/>
                    </w:rPr>
                    <w:t>≤0.005lx，黑白≤0.001lx</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rPr>
                    <w:t>水平旋转范围</w:t>
                  </w:r>
                  <w:r>
                    <w:rPr>
                      <w:rFonts w:ascii="仿宋_GB2312" w:hAnsi="仿宋_GB2312" w:cs="仿宋_GB2312" w:eastAsia="仿宋_GB2312"/>
                      <w:sz w:val="24"/>
                    </w:rPr>
                    <w:t>：</w:t>
                  </w:r>
                  <w:r>
                    <w:rPr>
                      <w:rFonts w:ascii="仿宋_GB2312" w:hAnsi="仿宋_GB2312" w:cs="仿宋_GB2312" w:eastAsia="仿宋_GB2312"/>
                      <w:sz w:val="24"/>
                    </w:rPr>
                    <w:t>360°连续旋转，垂直旋转范围为-15°-90°</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rPr>
                    <w:t>支持</w:t>
                  </w:r>
                  <w:r>
                    <w:rPr>
                      <w:rFonts w:ascii="仿宋_GB2312" w:hAnsi="仿宋_GB2312" w:cs="仿宋_GB2312" w:eastAsia="仿宋_GB2312"/>
                      <w:sz w:val="24"/>
                    </w:rPr>
                    <w:t>接入</w:t>
                  </w:r>
                  <w:r>
                    <w:rPr>
                      <w:rFonts w:ascii="仿宋_GB2312" w:hAnsi="仿宋_GB2312" w:cs="仿宋_GB2312" w:eastAsia="仿宋_GB2312"/>
                      <w:sz w:val="24"/>
                    </w:rPr>
                    <w:t>4G SIM卡</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太阳能胶体供电系统</w:t>
                  </w:r>
                  <w:r>
                    <w:br/>
                  </w: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rPr>
                    <w:t>防护：</w:t>
                  </w:r>
                  <w:r>
                    <w:rPr>
                      <w:rFonts w:ascii="仿宋_GB2312" w:hAnsi="仿宋_GB2312" w:cs="仿宋_GB2312" w:eastAsia="仿宋_GB2312"/>
                      <w:sz w:val="24"/>
                    </w:rPr>
                    <w:t>TVS 4000V防雷、防浪涌、防突波</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rPr>
                    <w:t>太阳能组件转换效率：</w:t>
                  </w:r>
                  <w:r>
                    <w:rPr>
                      <w:rFonts w:ascii="仿宋_GB2312" w:hAnsi="仿宋_GB2312" w:cs="仿宋_GB2312" w:eastAsia="仿宋_GB2312"/>
                      <w:sz w:val="24"/>
                    </w:rPr>
                    <w:t>≥19%</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rPr>
                    <w:t>太阳能组件功耗</w:t>
                  </w:r>
                  <w:r>
                    <w:rPr>
                      <w:rFonts w:ascii="仿宋_GB2312" w:hAnsi="仿宋_GB2312" w:cs="仿宋_GB2312" w:eastAsia="仿宋_GB2312"/>
                      <w:sz w:val="24"/>
                    </w:rPr>
                    <w:t>/电压/电流：≥200W/18.2V/11A</w:t>
                  </w:r>
                  <w:r>
                    <w:rPr>
                      <w:rFonts w:ascii="仿宋_GB2312" w:hAnsi="仿宋_GB2312" w:cs="仿宋_GB2312" w:eastAsia="仿宋_GB2312"/>
                      <w:sz w:val="24"/>
                    </w:rPr>
                    <w:t>，数量：</w:t>
                  </w:r>
                  <w:r>
                    <w:rPr>
                      <w:rFonts w:ascii="仿宋_GB2312" w:hAnsi="仿宋_GB2312" w:cs="仿宋_GB2312" w:eastAsia="仿宋_GB2312"/>
                      <w:sz w:val="24"/>
                    </w:rPr>
                    <w:t>2</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rPr>
                    <w:t>太阳能板尺寸：</w:t>
                  </w:r>
                  <w:r>
                    <w:rPr>
                      <w:rFonts w:ascii="仿宋_GB2312" w:hAnsi="仿宋_GB2312" w:cs="仿宋_GB2312" w:eastAsia="仿宋_GB2312"/>
                      <w:sz w:val="24"/>
                    </w:rPr>
                    <w:t>≥12</w:t>
                  </w:r>
                  <w:r>
                    <w:rPr>
                      <w:rFonts w:ascii="仿宋_GB2312" w:hAnsi="仿宋_GB2312" w:cs="仿宋_GB2312" w:eastAsia="仿宋_GB2312"/>
                      <w:sz w:val="24"/>
                    </w:rPr>
                    <w:t>5</w:t>
                  </w:r>
                  <w:r>
                    <w:rPr>
                      <w:rFonts w:ascii="仿宋_GB2312" w:hAnsi="仿宋_GB2312" w:cs="仿宋_GB2312" w:eastAsia="仿宋_GB2312"/>
                      <w:sz w:val="24"/>
                    </w:rPr>
                    <w:t>0*7</w:t>
                  </w:r>
                  <w:r>
                    <w:rPr>
                      <w:rFonts w:ascii="仿宋_GB2312" w:hAnsi="仿宋_GB2312" w:cs="仿宋_GB2312" w:eastAsia="仿宋_GB2312"/>
                      <w:sz w:val="24"/>
                    </w:rPr>
                    <w:t>5</w:t>
                  </w:r>
                  <w:r>
                    <w:rPr>
                      <w:rFonts w:ascii="仿宋_GB2312" w:hAnsi="仿宋_GB2312" w:cs="仿宋_GB2312" w:eastAsia="仿宋_GB2312"/>
                      <w:sz w:val="24"/>
                    </w:rPr>
                    <w:t>0*30mm</w:t>
                  </w:r>
                  <w:r>
                    <w:rPr>
                      <w:rFonts w:ascii="仿宋_GB2312" w:hAnsi="仿宋_GB2312" w:cs="仿宋_GB2312" w:eastAsia="仿宋_GB2312"/>
                      <w:sz w:val="24"/>
                    </w:rPr>
                    <w:t>，数量：</w:t>
                  </w:r>
                  <w:r>
                    <w:rPr>
                      <w:rFonts w:ascii="仿宋_GB2312" w:hAnsi="仿宋_GB2312" w:cs="仿宋_GB2312" w:eastAsia="仿宋_GB2312"/>
                      <w:sz w:val="24"/>
                    </w:rPr>
                    <w:t>2；</w:t>
                  </w:r>
                  <w:r>
                    <w:br/>
                  </w: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rPr>
                    <w:t>电池类型：胶体蓄电池</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rPr>
                    <w:t>电池电芯数量</w:t>
                  </w:r>
                  <w:r>
                    <w:rPr>
                      <w:rFonts w:ascii="仿宋_GB2312" w:hAnsi="仿宋_GB2312" w:cs="仿宋_GB2312" w:eastAsia="仿宋_GB2312"/>
                      <w:sz w:val="24"/>
                    </w:rPr>
                    <w:t>/容量：≥150AH</w:t>
                  </w:r>
                  <w:r>
                    <w:rPr>
                      <w:rFonts w:ascii="仿宋_GB2312" w:hAnsi="仿宋_GB2312" w:cs="仿宋_GB2312" w:eastAsia="仿宋_GB2312"/>
                      <w:sz w:val="24"/>
                    </w:rPr>
                    <w:t>，数量：</w:t>
                  </w:r>
                  <w:r>
                    <w:rPr>
                      <w:rFonts w:ascii="仿宋_GB2312" w:hAnsi="仿宋_GB2312" w:cs="仿宋_GB2312" w:eastAsia="仿宋_GB2312"/>
                      <w:sz w:val="24"/>
                    </w:rPr>
                    <w:t>2</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rPr>
                    <w:t>工作电压范围：</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29.2V</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rPr>
                    <w:t>电池最大持续工作电流：</w:t>
                  </w:r>
                  <w:r>
                    <w:rPr>
                      <w:rFonts w:ascii="仿宋_GB2312" w:hAnsi="仿宋_GB2312" w:cs="仿宋_GB2312" w:eastAsia="仿宋_GB2312"/>
                      <w:sz w:val="24"/>
                    </w:rPr>
                    <w:t>15A</w:t>
                  </w:r>
                  <w:r>
                    <w:rPr>
                      <w:rFonts w:ascii="仿宋_GB2312" w:hAnsi="仿宋_GB2312" w:cs="仿宋_GB2312" w:eastAsia="仿宋_GB2312"/>
                      <w:sz w:val="24"/>
                    </w:rPr>
                    <w:t>；</w:t>
                  </w:r>
                  <w:r>
                    <w:br/>
                  </w: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rPr>
                    <w:t>电池循环使用次数：</w:t>
                  </w:r>
                  <w:r>
                    <w:rPr>
                      <w:rFonts w:ascii="仿宋_GB2312" w:hAnsi="仿宋_GB2312" w:cs="仿宋_GB2312" w:eastAsia="仿宋_GB2312"/>
                      <w:sz w:val="24"/>
                    </w:rPr>
                    <w:t>≥400</w:t>
                  </w:r>
                  <w:r>
                    <w:rPr>
                      <w:rFonts w:ascii="仿宋_GB2312" w:hAnsi="仿宋_GB2312" w:cs="仿宋_GB2312" w:eastAsia="仿宋_GB2312"/>
                      <w:sz w:val="24"/>
                    </w:rPr>
                    <w:t>次；</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内存卡</w:t>
                  </w:r>
                </w:p>
              </w:tc>
              <w:tc>
                <w:tcPr>
                  <w:tcW w:type="dxa" w:w="35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容量</w:t>
                  </w:r>
                  <w:r>
                    <w:rPr>
                      <w:rFonts w:ascii="仿宋_GB2312" w:hAnsi="仿宋_GB2312" w:cs="仿宋_GB2312" w:eastAsia="仿宋_GB2312"/>
                      <w:sz w:val="24"/>
                    </w:rPr>
                    <w:t>≥512GB</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Class10</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张</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事件联动中心门户定制终端</w:t>
                  </w:r>
                </w:p>
              </w:tc>
              <w:tc>
                <w:tcPr>
                  <w:tcW w:type="dxa" w:w="35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支持统一管理视频监控、报警检测、综合管控等应用，实现安防系统的智能化应用及统一集成化管理；</w:t>
                  </w:r>
                  <w:r>
                    <w:br/>
                  </w:r>
                  <w:r>
                    <w:rPr>
                      <w:rFonts w:ascii="仿宋_GB2312" w:hAnsi="仿宋_GB2312" w:cs="仿宋_GB2312" w:eastAsia="仿宋_GB2312"/>
                      <w:sz w:val="24"/>
                    </w:rPr>
                    <w:t>2.</w:t>
                  </w:r>
                  <w:r>
                    <w:rPr>
                      <w:rFonts w:ascii="仿宋_GB2312" w:hAnsi="仿宋_GB2312" w:cs="仿宋_GB2312" w:eastAsia="仿宋_GB2312"/>
                      <w:sz w:val="24"/>
                    </w:rPr>
                    <w:t>支</w:t>
                  </w:r>
                  <w:r>
                    <w:rPr>
                      <w:rFonts w:ascii="仿宋_GB2312" w:hAnsi="仿宋_GB2312" w:cs="仿宋_GB2312" w:eastAsia="仿宋_GB2312"/>
                      <w:sz w:val="24"/>
                    </w:rPr>
                    <w:t>持对</w:t>
                  </w:r>
                  <w:r>
                    <w:rPr>
                      <w:rFonts w:ascii="仿宋_GB2312" w:hAnsi="仿宋_GB2312" w:cs="仿宋_GB2312" w:eastAsia="仿宋_GB2312"/>
                      <w:sz w:val="24"/>
                    </w:rPr>
                    <w:t>用户密码有效时间段进行设置管理，支持用户</w:t>
                  </w:r>
                  <w:r>
                    <w:rPr>
                      <w:rFonts w:ascii="仿宋_GB2312" w:hAnsi="仿宋_GB2312" w:cs="仿宋_GB2312" w:eastAsia="仿宋_GB2312"/>
                      <w:sz w:val="24"/>
                    </w:rPr>
                    <w:t>IP绑定，指定IP地址用户才能</w:t>
                  </w:r>
                  <w:r>
                    <w:rPr>
                      <w:rFonts w:ascii="仿宋_GB2312" w:hAnsi="仿宋_GB2312" w:cs="仿宋_GB2312" w:eastAsia="仿宋_GB2312"/>
                      <w:sz w:val="24"/>
                    </w:rPr>
                    <w:t>登录</w:t>
                  </w:r>
                  <w:r>
                    <w:rPr>
                      <w:rFonts w:ascii="仿宋_GB2312" w:hAnsi="仿宋_GB2312" w:cs="仿宋_GB2312" w:eastAsia="仿宋_GB2312"/>
                      <w:sz w:val="24"/>
                    </w:rPr>
                    <w:t>平台；支持</w:t>
                  </w:r>
                  <w:r>
                    <w:rPr>
                      <w:rFonts w:ascii="仿宋_GB2312" w:hAnsi="仿宋_GB2312" w:cs="仿宋_GB2312" w:eastAsia="仿宋_GB2312"/>
                      <w:sz w:val="24"/>
                    </w:rPr>
                    <w:t>BS、CS客户端以及IOS、Android移动端应用；</w:t>
                  </w:r>
                  <w:r>
                    <w:br/>
                  </w:r>
                  <w:r>
                    <w:rPr>
                      <w:rFonts w:ascii="仿宋_GB2312" w:hAnsi="仿宋_GB2312" w:cs="仿宋_GB2312" w:eastAsia="仿宋_GB2312"/>
                      <w:sz w:val="24"/>
                    </w:rPr>
                    <w:t>3.</w:t>
                  </w:r>
                  <w:r>
                    <w:rPr>
                      <w:rFonts w:ascii="仿宋_GB2312" w:hAnsi="仿宋_GB2312" w:cs="仿宋_GB2312" w:eastAsia="仿宋_GB2312"/>
                      <w:sz w:val="24"/>
                    </w:rPr>
                    <w:t>支持自动在</w:t>
                  </w:r>
                  <w:r>
                    <w:rPr>
                      <w:rFonts w:ascii="仿宋_GB2312" w:hAnsi="仿宋_GB2312" w:cs="仿宋_GB2312" w:eastAsia="仿宋_GB2312"/>
                      <w:sz w:val="24"/>
                    </w:rPr>
                    <w:t>1/4/6/7/9/16/24画面分隔模式间进行监控点轮巡预览，轮巡时间可设置，支持全屏显示，预览画面支持监控点信息、语音对讲、开关声音、云台与镜头控制、抓图、多图抓拍等；</w:t>
                  </w:r>
                  <w:r>
                    <w:br/>
                  </w:r>
                  <w:r>
                    <w:rPr>
                      <w:rFonts w:ascii="仿宋_GB2312" w:hAnsi="仿宋_GB2312" w:cs="仿宋_GB2312" w:eastAsia="仿宋_GB2312"/>
                      <w:sz w:val="24"/>
                    </w:rPr>
                    <w:t>4.</w:t>
                  </w:r>
                  <w:r>
                    <w:rPr>
                      <w:rFonts w:ascii="仿宋_GB2312" w:hAnsi="仿宋_GB2312" w:cs="仿宋_GB2312" w:eastAsia="仿宋_GB2312"/>
                      <w:sz w:val="24"/>
                    </w:rPr>
                    <w:t>支持业务应用组件化，各组件独立运行维护、独立安装或卸载，支持部署组件（服务）到</w:t>
                  </w:r>
                  <w:r>
                    <w:rPr>
                      <w:rFonts w:ascii="仿宋_GB2312" w:hAnsi="仿宋_GB2312" w:cs="仿宋_GB2312" w:eastAsia="仿宋_GB2312"/>
                      <w:sz w:val="24"/>
                    </w:rPr>
                    <w:t>系统</w:t>
                  </w:r>
                  <w:r>
                    <w:rPr>
                      <w:rFonts w:ascii="仿宋_GB2312" w:hAnsi="仿宋_GB2312" w:cs="仿宋_GB2312" w:eastAsia="仿宋_GB2312"/>
                      <w:sz w:val="24"/>
                    </w:rPr>
                    <w:t>集群，支持集群管理，支持系统分布式、负载均衡等技术，支持多级架构进行系统平台规模扩展，支持开放</w:t>
                  </w:r>
                  <w:r>
                    <w:rPr>
                      <w:rFonts w:ascii="仿宋_GB2312" w:hAnsi="仿宋_GB2312" w:cs="仿宋_GB2312" w:eastAsia="仿宋_GB2312"/>
                      <w:sz w:val="24"/>
                    </w:rPr>
                    <w:t>API接口给第三方系统对接；</w:t>
                  </w:r>
                  <w:r>
                    <w:br/>
                  </w:r>
                  <w:r>
                    <w:rPr>
                      <w:rFonts w:ascii="仿宋_GB2312" w:hAnsi="仿宋_GB2312" w:cs="仿宋_GB2312" w:eastAsia="仿宋_GB2312"/>
                      <w:sz w:val="24"/>
                    </w:rPr>
                    <w:t>5.</w:t>
                  </w:r>
                  <w:r>
                    <w:rPr>
                      <w:rFonts w:ascii="仿宋_GB2312" w:hAnsi="仿宋_GB2312" w:cs="仿宋_GB2312" w:eastAsia="仿宋_GB2312"/>
                      <w:sz w:val="24"/>
                    </w:rPr>
                    <w:t>支持不同色彩展示运行告警状态，支持告警统计、概览、处理，支持告警记录查看、查询，支持告警单条、批量处理；支持系统最近</w:t>
                  </w:r>
                  <w:r>
                    <w:rPr>
                      <w:rFonts w:ascii="仿宋_GB2312" w:hAnsi="仿宋_GB2312" w:cs="仿宋_GB2312" w:eastAsia="仿宋_GB2312"/>
                      <w:sz w:val="24"/>
                    </w:rPr>
                    <w:t>7天每日告警数统计，支持评分量化系统监控指数，显示系统运行状态；</w:t>
                  </w:r>
                  <w:r>
                    <w:br/>
                  </w:r>
                  <w:r>
                    <w:rPr>
                      <w:rFonts w:ascii="仿宋_GB2312" w:hAnsi="仿宋_GB2312" w:cs="仿宋_GB2312" w:eastAsia="仿宋_GB2312"/>
                      <w:sz w:val="24"/>
                    </w:rPr>
                    <w:t>6.</w:t>
                  </w:r>
                  <w:r>
                    <w:rPr>
                      <w:rFonts w:ascii="仿宋_GB2312" w:hAnsi="仿宋_GB2312" w:cs="仿宋_GB2312" w:eastAsia="仿宋_GB2312"/>
                      <w:sz w:val="24"/>
                    </w:rPr>
                    <w:t>支持系统内各节点进行查看、增加、删除、修改，展示、查找；支持对系统内所有服务器进行监控，包括名称、</w:t>
                  </w:r>
                  <w:r>
                    <w:rPr>
                      <w:rFonts w:ascii="仿宋_GB2312" w:hAnsi="仿宋_GB2312" w:cs="仿宋_GB2312" w:eastAsia="仿宋_GB2312"/>
                      <w:sz w:val="24"/>
                    </w:rPr>
                    <w:t xml:space="preserve">IP地址、状态、未处理告警数、CPU使用率、内存使用率、磁盘容量、主机代理版等；支持对系统内所有组件信息进行监控，组件信息包含：组件名称、未处理告警数、所属服务器、最近操作时间、授权状态、维保期限、使用期限等； </w:t>
                  </w:r>
                  <w:r>
                    <w:br/>
                  </w:r>
                  <w:r>
                    <w:rPr>
                      <w:rFonts w:ascii="仿宋_GB2312" w:hAnsi="仿宋_GB2312" w:cs="仿宋_GB2312" w:eastAsia="仿宋_GB2312"/>
                      <w:sz w:val="24"/>
                    </w:rPr>
                    <w:t>7.</w:t>
                  </w:r>
                  <w:r>
                    <w:rPr>
                      <w:rFonts w:ascii="仿宋_GB2312" w:hAnsi="仿宋_GB2312" w:cs="仿宋_GB2312" w:eastAsia="仿宋_GB2312"/>
                      <w:sz w:val="24"/>
                    </w:rPr>
                    <w:t>支持对服务的参数配置进行查询、查看、修改、下发，支持告警策略配置启用、查看、修改、设置，支持集群信息查看、添加、删除，支持授权查看管理、导入、移除授权文件；支持在线授权激活、离线授权激活；</w:t>
                  </w:r>
                  <w:r>
                    <w:br/>
                  </w:r>
                  <w:r>
                    <w:rPr>
                      <w:rFonts w:ascii="仿宋_GB2312" w:hAnsi="仿宋_GB2312" w:cs="仿宋_GB2312" w:eastAsia="仿宋_GB2312"/>
                      <w:sz w:val="24"/>
                    </w:rPr>
                    <w:t>8.</w:t>
                  </w:r>
                  <w:r>
                    <w:rPr>
                      <w:rFonts w:ascii="仿宋_GB2312" w:hAnsi="仿宋_GB2312" w:cs="仿宋_GB2312" w:eastAsia="仿宋_GB2312"/>
                      <w:sz w:val="24"/>
                    </w:rPr>
                    <w:t>支持报警事件分流管理，当处理人超时未处理报警事件时能自动转其他用户处理，支持批量处理报警事件并记录处理意见，处理单个报警事件时可</w:t>
                  </w:r>
                  <w:r>
                    <w:rPr>
                      <w:rFonts w:ascii="仿宋_GB2312" w:hAnsi="仿宋_GB2312" w:cs="仿宋_GB2312" w:eastAsia="仿宋_GB2312"/>
                      <w:sz w:val="24"/>
                    </w:rPr>
                    <w:t>选择</w:t>
                  </w:r>
                  <w:r>
                    <w:rPr>
                      <w:rFonts w:ascii="仿宋_GB2312" w:hAnsi="仿宋_GB2312" w:cs="仿宋_GB2312" w:eastAsia="仿宋_GB2312"/>
                      <w:sz w:val="24"/>
                    </w:rPr>
                    <w:t>预置处理意见实现快速处理，支持转其他用户处理；</w:t>
                  </w:r>
                  <w:r>
                    <w:br/>
                  </w:r>
                  <w:r>
                    <w:rPr>
                      <w:rFonts w:ascii="仿宋_GB2312" w:hAnsi="仿宋_GB2312" w:cs="仿宋_GB2312" w:eastAsia="仿宋_GB2312"/>
                      <w:sz w:val="24"/>
                    </w:rPr>
                    <w:t>9.</w:t>
                  </w:r>
                  <w:r>
                    <w:rPr>
                      <w:rFonts w:ascii="仿宋_GB2312" w:hAnsi="仿宋_GB2312" w:cs="仿宋_GB2312" w:eastAsia="仿宋_GB2312"/>
                      <w:sz w:val="24"/>
                    </w:rPr>
                    <w:t>支持</w:t>
                  </w:r>
                  <w:r>
                    <w:rPr>
                      <w:rFonts w:ascii="仿宋_GB2312" w:hAnsi="仿宋_GB2312" w:cs="仿宋_GB2312" w:eastAsia="仿宋_GB2312"/>
                      <w:sz w:val="24"/>
                    </w:rPr>
                    <w:t>IPv6网络适配，支持IPv6环境下部署、平台访问和业务应用实现。</w:t>
                  </w:r>
                  <w:r>
                    <w:rPr>
                      <w:rFonts w:ascii="仿宋_GB2312" w:hAnsi="仿宋_GB2312" w:cs="仿宋_GB2312" w:eastAsia="仿宋_GB2312"/>
                      <w:sz w:val="24"/>
                    </w:rPr>
                    <w:t>10.系统支撑终端性能：</w:t>
                  </w:r>
                  <w:r>
                    <w:rPr>
                      <w:rFonts w:ascii="仿宋_GB2312" w:hAnsi="仿宋_GB2312" w:cs="仿宋_GB2312" w:eastAsia="仿宋_GB2312"/>
                      <w:sz w:val="24"/>
                    </w:rPr>
                    <w:t>计算单元</w:t>
                  </w:r>
                  <w:r>
                    <w:rPr>
                      <w:rFonts w:ascii="仿宋_GB2312" w:hAnsi="仿宋_GB2312" w:cs="仿宋_GB2312" w:eastAsia="仿宋_GB2312"/>
                      <w:sz w:val="24"/>
                    </w:rPr>
                    <w:t>：核数</w:t>
                  </w:r>
                  <w:r>
                    <w:rPr>
                      <w:rFonts w:ascii="仿宋_GB2312" w:hAnsi="仿宋_GB2312" w:cs="仿宋_GB2312" w:eastAsia="仿宋_GB2312"/>
                      <w:sz w:val="24"/>
                    </w:rPr>
                    <w:t>≥12核，主频≥2.4GHz</w:t>
                  </w:r>
                  <w:r>
                    <w:rPr>
                      <w:rFonts w:ascii="仿宋_GB2312" w:hAnsi="仿宋_GB2312" w:cs="仿宋_GB2312" w:eastAsia="仿宋_GB2312"/>
                      <w:sz w:val="24"/>
                    </w:rPr>
                    <w:t>；内存</w:t>
                  </w:r>
                  <w:r>
                    <w:rPr>
                      <w:rFonts w:ascii="仿宋_GB2312" w:hAnsi="仿宋_GB2312" w:cs="仿宋_GB2312" w:eastAsia="仿宋_GB2312"/>
                      <w:sz w:val="24"/>
                    </w:rPr>
                    <w:t>≥64G DDR5</w:t>
                  </w:r>
                  <w:r>
                    <w:rPr>
                      <w:rFonts w:ascii="仿宋_GB2312" w:hAnsi="仿宋_GB2312" w:cs="仿宋_GB2312" w:eastAsia="仿宋_GB2312"/>
                      <w:sz w:val="24"/>
                    </w:rPr>
                    <w:t>；存储：</w:t>
                  </w:r>
                  <w:r>
                    <w:rPr>
                      <w:rFonts w:ascii="仿宋_GB2312" w:hAnsi="仿宋_GB2312" w:cs="仿宋_GB2312" w:eastAsia="仿宋_GB2312"/>
                      <w:sz w:val="24"/>
                    </w:rPr>
                    <w:t>≥2块1T 10K SAS硬盘</w:t>
                  </w:r>
                  <w:r>
                    <w:rPr>
                      <w:rFonts w:ascii="仿宋_GB2312" w:hAnsi="仿宋_GB2312" w:cs="仿宋_GB2312" w:eastAsia="仿宋_GB2312"/>
                      <w:sz w:val="24"/>
                    </w:rPr>
                    <w:t>；</w:t>
                  </w:r>
                  <w:r>
                    <w:rPr>
                      <w:rFonts w:ascii="仿宋_GB2312" w:hAnsi="仿宋_GB2312" w:cs="仿宋_GB2312" w:eastAsia="仿宋_GB2312"/>
                      <w:sz w:val="24"/>
                    </w:rPr>
                    <w:t>阵列卡：支持</w:t>
                  </w:r>
                  <w:r>
                    <w:rPr>
                      <w:rFonts w:ascii="仿宋_GB2312" w:hAnsi="仿宋_GB2312" w:cs="仿宋_GB2312" w:eastAsia="仿宋_GB2312"/>
                      <w:sz w:val="24"/>
                    </w:rPr>
                    <w:t>RAID 0/1/10</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设备立杆</w:t>
                  </w:r>
                </w:p>
              </w:tc>
              <w:tc>
                <w:tcPr>
                  <w:tcW w:type="dxa" w:w="35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高度</w:t>
                  </w:r>
                  <w:r>
                    <w:rPr>
                      <w:rFonts w:ascii="仿宋_GB2312" w:hAnsi="仿宋_GB2312" w:cs="仿宋_GB2312" w:eastAsia="仿宋_GB2312"/>
                      <w:sz w:val="24"/>
                    </w:rPr>
                    <w:t>：</w:t>
                  </w:r>
                  <w:r>
                    <w:rPr>
                      <w:rFonts w:ascii="仿宋_GB2312" w:hAnsi="仿宋_GB2312" w:cs="仿宋_GB2312" w:eastAsia="仿宋_GB2312"/>
                      <w:sz w:val="24"/>
                    </w:rPr>
                    <w:t>≥5米</w:t>
                  </w:r>
                  <w:r>
                    <w:rPr>
                      <w:rFonts w:ascii="仿宋_GB2312" w:hAnsi="仿宋_GB2312" w:cs="仿宋_GB2312" w:eastAsia="仿宋_GB2312"/>
                      <w:sz w:val="24"/>
                    </w:rPr>
                    <w:t>；</w:t>
                  </w:r>
                  <w:r>
                    <w:rPr>
                      <w:rFonts w:ascii="仿宋_GB2312" w:hAnsi="仿宋_GB2312" w:cs="仿宋_GB2312" w:eastAsia="仿宋_GB2312"/>
                      <w:sz w:val="24"/>
                    </w:rPr>
                    <w:t>杆径</w:t>
                  </w:r>
                  <w:r>
                    <w:rPr>
                      <w:rFonts w:ascii="仿宋_GB2312" w:hAnsi="仿宋_GB2312" w:cs="仿宋_GB2312" w:eastAsia="仿宋_GB2312"/>
                      <w:sz w:val="24"/>
                    </w:rPr>
                    <w:t>≥114mm</w:t>
                  </w:r>
                  <w:r>
                    <w:rPr>
                      <w:rFonts w:ascii="仿宋_GB2312" w:hAnsi="仿宋_GB2312" w:cs="仿宋_GB2312" w:eastAsia="仿宋_GB2312"/>
                      <w:sz w:val="24"/>
                    </w:rPr>
                    <w:t>，</w:t>
                  </w:r>
                  <w:r>
                    <w:rPr>
                      <w:rFonts w:ascii="仿宋_GB2312" w:hAnsi="仿宋_GB2312" w:cs="仿宋_GB2312" w:eastAsia="仿宋_GB2312"/>
                      <w:sz w:val="24"/>
                    </w:rPr>
                    <w:t>地笼</w:t>
                  </w:r>
                  <w:r>
                    <w:rPr>
                      <w:rFonts w:ascii="仿宋_GB2312" w:hAnsi="仿宋_GB2312" w:cs="仿宋_GB2312" w:eastAsia="仿宋_GB2312"/>
                      <w:sz w:val="24"/>
                    </w:rPr>
                    <w:t>≥1个</w:t>
                  </w:r>
                  <w:r>
                    <w:rPr>
                      <w:rFonts w:ascii="仿宋_GB2312" w:hAnsi="仿宋_GB2312" w:cs="仿宋_GB2312" w:eastAsia="仿宋_GB2312"/>
                      <w:sz w:val="24"/>
                    </w:rPr>
                    <w:t>，</w:t>
                  </w:r>
                  <w:r>
                    <w:rPr>
                      <w:rFonts w:ascii="仿宋_GB2312" w:hAnsi="仿宋_GB2312" w:cs="仿宋_GB2312" w:eastAsia="仿宋_GB2312"/>
                      <w:sz w:val="24"/>
                    </w:rPr>
                    <w:t>支臂</w:t>
                  </w:r>
                  <w:r>
                    <w:rPr>
                      <w:rFonts w:ascii="仿宋_GB2312" w:hAnsi="仿宋_GB2312" w:cs="仿宋_GB2312" w:eastAsia="仿宋_GB2312"/>
                      <w:sz w:val="24"/>
                    </w:rPr>
                    <w:t>≥1m</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bl>
          <w:p>
            <w:pPr>
              <w:pStyle w:val="null3"/>
              <w:jc w:val="both"/>
            </w:pPr>
            <w:r>
              <w:rPr>
                <w:rFonts w:ascii="仿宋_GB2312" w:hAnsi="仿宋_GB2312" w:cs="仿宋_GB2312" w:eastAsia="仿宋_GB2312"/>
                <w:sz w:val="24"/>
              </w:rPr>
              <w:t>(3)服务所需设施内容详见表3：生态管护服务基本设施等要求</w:t>
            </w:r>
          </w:p>
          <w:tbl>
            <w:tblPr>
              <w:tblBorders>
                <w:top w:val="none" w:color="000000" w:sz="4"/>
                <w:left w:val="none" w:color="000000" w:sz="4"/>
                <w:bottom w:val="none" w:color="000000" w:sz="4"/>
                <w:right w:val="none" w:color="000000" w:sz="4"/>
                <w:insideH w:val="none"/>
                <w:insideV w:val="none"/>
              </w:tblBorders>
            </w:tblPr>
            <w:tblGrid>
              <w:gridCol w:w="304"/>
              <w:gridCol w:w="740"/>
              <w:gridCol w:w="3581"/>
              <w:gridCol w:w="312"/>
              <w:gridCol w:w="633"/>
            </w:tblGrid>
            <w:tr>
              <w:tc>
                <w:tcPr>
                  <w:tcW w:type="dxa" w:w="3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35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技术（服务）</w:t>
                  </w:r>
                  <w:r>
                    <w:rPr>
                      <w:rFonts w:ascii="仿宋_GB2312" w:hAnsi="仿宋_GB2312" w:cs="仿宋_GB2312" w:eastAsia="仿宋_GB2312"/>
                      <w:sz w:val="24"/>
                      <w:b/>
                    </w:rPr>
                    <w:t>要求</w:t>
                  </w:r>
                </w:p>
              </w:tc>
              <w:tc>
                <w:tcPr>
                  <w:tcW w:type="dxa" w:w="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清除地被植物</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1.对服务范围内进行部分</w:t>
                  </w:r>
                  <w:r>
                    <w:rPr>
                      <w:rFonts w:ascii="仿宋_GB2312" w:hAnsi="仿宋_GB2312" w:cs="仿宋_GB2312" w:eastAsia="仿宋_GB2312"/>
                      <w:sz w:val="24"/>
                    </w:rPr>
                    <w:t>清除地被植物</w:t>
                  </w:r>
                  <w:r>
                    <w:rPr>
                      <w:rFonts w:ascii="仿宋_GB2312" w:hAnsi="仿宋_GB2312" w:cs="仿宋_GB2312" w:eastAsia="仿宋_GB2312"/>
                      <w:sz w:val="24"/>
                    </w:rPr>
                    <w:t>。运距：</w:t>
                  </w:r>
                  <w:r>
                    <w:rPr>
                      <w:rFonts w:ascii="仿宋_GB2312" w:hAnsi="仿宋_GB2312" w:cs="仿宋_GB2312" w:eastAsia="仿宋_GB2312"/>
                      <w:sz w:val="24"/>
                    </w:rPr>
                    <w:t>3km。</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栽植灌木春羽</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1.规格：春羽高度1m</w:t>
                  </w:r>
                  <w:r>
                    <w:rPr>
                      <w:rFonts w:ascii="仿宋_GB2312" w:hAnsi="仿宋_GB2312" w:cs="仿宋_GB2312" w:eastAsia="仿宋_GB2312"/>
                      <w:sz w:val="24"/>
                    </w:rPr>
                    <w:t>—</w:t>
                  </w:r>
                  <w:r>
                    <w:rPr>
                      <w:rFonts w:ascii="仿宋_GB2312" w:hAnsi="仿宋_GB2312" w:cs="仿宋_GB2312" w:eastAsia="仿宋_GB2312"/>
                      <w:sz w:val="24"/>
                    </w:rPr>
                    <w:t>1.2m、冠幅0.8m</w:t>
                  </w:r>
                  <w:r>
                    <w:rPr>
                      <w:rFonts w:ascii="仿宋_GB2312" w:hAnsi="仿宋_GB2312" w:cs="仿宋_GB2312" w:eastAsia="仿宋_GB2312"/>
                      <w:sz w:val="24"/>
                    </w:rPr>
                    <w:t>—</w:t>
                  </w:r>
                  <w:r>
                    <w:rPr>
                      <w:rFonts w:ascii="仿宋_GB2312" w:hAnsi="仿宋_GB2312" w:cs="仿宋_GB2312" w:eastAsia="仿宋_GB2312"/>
                      <w:sz w:val="24"/>
                    </w:rPr>
                    <w:t>1m；养护期：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栽植灌木海桐球</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1.规格：海桐球高度1m</w:t>
                  </w:r>
                  <w:r>
                    <w:rPr>
                      <w:rFonts w:ascii="仿宋_GB2312" w:hAnsi="仿宋_GB2312" w:cs="仿宋_GB2312" w:eastAsia="仿宋_GB2312"/>
                      <w:sz w:val="24"/>
                    </w:rPr>
                    <w:t>—</w:t>
                  </w:r>
                  <w:r>
                    <w:rPr>
                      <w:rFonts w:ascii="仿宋_GB2312" w:hAnsi="仿宋_GB2312" w:cs="仿宋_GB2312" w:eastAsia="仿宋_GB2312"/>
                      <w:sz w:val="24"/>
                    </w:rPr>
                    <w:t>1.2m、冠幅1.2m</w:t>
                  </w:r>
                  <w:r>
                    <w:rPr>
                      <w:rFonts w:ascii="仿宋_GB2312" w:hAnsi="仿宋_GB2312" w:cs="仿宋_GB2312" w:eastAsia="仿宋_GB2312"/>
                      <w:sz w:val="24"/>
                    </w:rPr>
                    <w:t>—</w:t>
                  </w:r>
                  <w:r>
                    <w:rPr>
                      <w:rFonts w:ascii="仿宋_GB2312" w:hAnsi="仿宋_GB2312" w:cs="仿宋_GB2312" w:eastAsia="仿宋_GB2312"/>
                      <w:sz w:val="24"/>
                    </w:rPr>
                    <w:t>1.4m；养护期：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栽植灌木海芋</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海芋</w:t>
                  </w:r>
                  <w:r>
                    <w:rPr>
                      <w:rFonts w:ascii="仿宋_GB2312" w:hAnsi="仿宋_GB2312" w:cs="仿宋_GB2312" w:eastAsia="仿宋_GB2312"/>
                      <w:sz w:val="24"/>
                    </w:rPr>
                    <w:t>高度</w:t>
                  </w:r>
                  <w:r>
                    <w:rPr>
                      <w:rFonts w:ascii="仿宋_GB2312" w:hAnsi="仿宋_GB2312" w:cs="仿宋_GB2312" w:eastAsia="仿宋_GB2312"/>
                      <w:sz w:val="24"/>
                    </w:rPr>
                    <w:t>1m</w:t>
                  </w:r>
                  <w:r>
                    <w:rPr>
                      <w:rFonts w:ascii="仿宋_GB2312" w:hAnsi="仿宋_GB2312" w:cs="仿宋_GB2312" w:eastAsia="仿宋_GB2312"/>
                      <w:sz w:val="24"/>
                    </w:rPr>
                    <w:t>—</w:t>
                  </w:r>
                  <w:r>
                    <w:rPr>
                      <w:rFonts w:ascii="仿宋_GB2312" w:hAnsi="仿宋_GB2312" w:cs="仿宋_GB2312" w:eastAsia="仿宋_GB2312"/>
                      <w:sz w:val="24"/>
                    </w:rPr>
                    <w:t>1.2m、冠幅0.8m</w:t>
                  </w:r>
                  <w:r>
                    <w:rPr>
                      <w:rFonts w:ascii="仿宋_GB2312" w:hAnsi="仿宋_GB2312" w:cs="仿宋_GB2312" w:eastAsia="仿宋_GB2312"/>
                      <w:sz w:val="24"/>
                    </w:rPr>
                    <w:t>—</w:t>
                  </w:r>
                  <w:r>
                    <w:rPr>
                      <w:rFonts w:ascii="仿宋_GB2312" w:hAnsi="仿宋_GB2312" w:cs="仿宋_GB2312" w:eastAsia="仿宋_GB2312"/>
                      <w:sz w:val="24"/>
                    </w:rPr>
                    <w:t>1m；养护期：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栽植灌木金丝桃</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1.规格：金丝桃高度40cm</w:t>
                  </w:r>
                  <w:r>
                    <w:rPr>
                      <w:rFonts w:ascii="仿宋_GB2312" w:hAnsi="仿宋_GB2312" w:cs="仿宋_GB2312" w:eastAsia="仿宋_GB2312"/>
                      <w:sz w:val="24"/>
                    </w:rPr>
                    <w:t>—</w:t>
                  </w:r>
                  <w:r>
                    <w:rPr>
                      <w:rFonts w:ascii="仿宋_GB2312" w:hAnsi="仿宋_GB2312" w:cs="仿宋_GB2312" w:eastAsia="仿宋_GB2312"/>
                      <w:sz w:val="24"/>
                    </w:rPr>
                    <w:t>50cm冠幅20cm</w:t>
                  </w:r>
                  <w:r>
                    <w:rPr>
                      <w:rFonts w:ascii="仿宋_GB2312" w:hAnsi="仿宋_GB2312" w:cs="仿宋_GB2312" w:eastAsia="仿宋_GB2312"/>
                      <w:sz w:val="24"/>
                    </w:rPr>
                    <w:t>—</w:t>
                  </w:r>
                  <w:r>
                    <w:rPr>
                      <w:rFonts w:ascii="仿宋_GB2312" w:hAnsi="仿宋_GB2312" w:cs="仿宋_GB2312" w:eastAsia="仿宋_GB2312"/>
                      <w:sz w:val="24"/>
                    </w:rPr>
                    <w:t>25cm；养护期：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栽植灌木蔓马缨丹</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蔓马缨丹高度</w:t>
                  </w:r>
                  <w:r>
                    <w:rPr>
                      <w:rFonts w:ascii="仿宋_GB2312" w:hAnsi="仿宋_GB2312" w:cs="仿宋_GB2312" w:eastAsia="仿宋_GB2312"/>
                      <w:sz w:val="24"/>
                    </w:rPr>
                    <w:t>25cm</w:t>
                  </w:r>
                  <w:r>
                    <w:rPr>
                      <w:rFonts w:ascii="仿宋_GB2312" w:hAnsi="仿宋_GB2312" w:cs="仿宋_GB2312" w:eastAsia="仿宋_GB2312"/>
                      <w:sz w:val="24"/>
                    </w:rPr>
                    <w:t>—</w:t>
                  </w:r>
                  <w:r>
                    <w:rPr>
                      <w:rFonts w:ascii="仿宋_GB2312" w:hAnsi="仿宋_GB2312" w:cs="仿宋_GB2312" w:eastAsia="仿宋_GB2312"/>
                      <w:sz w:val="24"/>
                    </w:rPr>
                    <w:t>30cm、冠幅25cm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≥36株/㎡。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栽植灌木木春菊</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木春菊高度</w:t>
                  </w:r>
                  <w:r>
                    <w:rPr>
                      <w:rFonts w:ascii="仿宋_GB2312" w:hAnsi="仿宋_GB2312" w:cs="仿宋_GB2312" w:eastAsia="仿宋_GB2312"/>
                      <w:sz w:val="24"/>
                    </w:rPr>
                    <w:t>25cm</w:t>
                  </w:r>
                  <w:r>
                    <w:rPr>
                      <w:rFonts w:ascii="仿宋_GB2312" w:hAnsi="仿宋_GB2312" w:cs="仿宋_GB2312" w:eastAsia="仿宋_GB2312"/>
                      <w:sz w:val="24"/>
                    </w:rPr>
                    <w:t>—</w:t>
                  </w:r>
                  <w:r>
                    <w:rPr>
                      <w:rFonts w:ascii="仿宋_GB2312" w:hAnsi="仿宋_GB2312" w:cs="仿宋_GB2312" w:eastAsia="仿宋_GB2312"/>
                      <w:sz w:val="24"/>
                    </w:rPr>
                    <w:t>30cm、冠幅15cm</w:t>
                  </w:r>
                  <w:r>
                    <w:rPr>
                      <w:rFonts w:ascii="仿宋_GB2312" w:hAnsi="仿宋_GB2312" w:cs="仿宋_GB2312" w:eastAsia="仿宋_GB2312"/>
                      <w:sz w:val="24"/>
                    </w:rPr>
                    <w:t>—</w:t>
                  </w:r>
                  <w:r>
                    <w:rPr>
                      <w:rFonts w:ascii="仿宋_GB2312" w:hAnsi="仿宋_GB2312" w:cs="仿宋_GB2312" w:eastAsia="仿宋_GB2312"/>
                      <w:sz w:val="24"/>
                    </w:rPr>
                    <w:t>20cm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栽植灌木琴丝竹</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琴丝竹高度</w:t>
                  </w:r>
                  <w:r>
                    <w:rPr>
                      <w:rFonts w:ascii="仿宋_GB2312" w:hAnsi="仿宋_GB2312" w:cs="仿宋_GB2312" w:eastAsia="仿宋_GB2312"/>
                      <w:sz w:val="24"/>
                    </w:rPr>
                    <w:t>1.5m</w:t>
                  </w:r>
                  <w:r>
                    <w:rPr>
                      <w:rFonts w:ascii="仿宋_GB2312" w:hAnsi="仿宋_GB2312" w:cs="仿宋_GB2312" w:eastAsia="仿宋_GB2312"/>
                      <w:sz w:val="24"/>
                    </w:rPr>
                    <w:t>—</w:t>
                  </w:r>
                  <w:r>
                    <w:rPr>
                      <w:rFonts w:ascii="仿宋_GB2312" w:hAnsi="仿宋_GB2312" w:cs="仿宋_GB2312" w:eastAsia="仿宋_GB2312"/>
                      <w:sz w:val="24"/>
                    </w:rPr>
                    <w:t>2m、冠幅1.2m</w:t>
                  </w:r>
                  <w:r>
                    <w:rPr>
                      <w:rFonts w:ascii="仿宋_GB2312" w:hAnsi="仿宋_GB2312" w:cs="仿宋_GB2312" w:eastAsia="仿宋_GB2312"/>
                      <w:sz w:val="24"/>
                    </w:rPr>
                    <w:t>—</w:t>
                  </w:r>
                  <w:r>
                    <w:rPr>
                      <w:rFonts w:ascii="仿宋_GB2312" w:hAnsi="仿宋_GB2312" w:cs="仿宋_GB2312" w:eastAsia="仿宋_GB2312"/>
                      <w:sz w:val="24"/>
                    </w:rPr>
                    <w:t>1.5m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每丛</w:t>
                  </w:r>
                  <w:r>
                    <w:rPr>
                      <w:rFonts w:ascii="仿宋_GB2312" w:hAnsi="仿宋_GB2312" w:cs="仿宋_GB2312" w:eastAsia="仿宋_GB2312"/>
                      <w:sz w:val="24"/>
                    </w:rPr>
                    <w:t>≥10杆。</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丛</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栽植灌木三角梅</w:t>
                  </w:r>
                  <w:r>
                    <w:rPr>
                      <w:rFonts w:ascii="仿宋_GB2312" w:hAnsi="仿宋_GB2312" w:cs="仿宋_GB2312" w:eastAsia="仿宋_GB2312"/>
                      <w:sz w:val="24"/>
                    </w:rPr>
                    <w:t>（</w:t>
                  </w:r>
                  <w:r>
                    <w:rPr>
                      <w:rFonts w:ascii="仿宋_GB2312" w:hAnsi="仿宋_GB2312" w:cs="仿宋_GB2312" w:eastAsia="仿宋_GB2312"/>
                      <w:sz w:val="24"/>
                    </w:rPr>
                    <w:t>红色</w:t>
                  </w:r>
                  <w:r>
                    <w:rPr>
                      <w:rFonts w:ascii="仿宋_GB2312" w:hAnsi="仿宋_GB2312" w:cs="仿宋_GB2312" w:eastAsia="仿宋_GB2312"/>
                      <w:sz w:val="24"/>
                    </w:rPr>
                    <w:t>)</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三角梅</w:t>
                  </w:r>
                  <w:r>
                    <w:rPr>
                      <w:rFonts w:ascii="仿宋_GB2312" w:hAnsi="仿宋_GB2312" w:cs="仿宋_GB2312" w:eastAsia="仿宋_GB2312"/>
                      <w:sz w:val="24"/>
                    </w:rPr>
                    <w:t>（</w:t>
                  </w:r>
                  <w:r>
                    <w:rPr>
                      <w:rFonts w:ascii="仿宋_GB2312" w:hAnsi="仿宋_GB2312" w:cs="仿宋_GB2312" w:eastAsia="仿宋_GB2312"/>
                      <w:sz w:val="24"/>
                    </w:rPr>
                    <w:t>红色</w:t>
                  </w:r>
                  <w:r>
                    <w:rPr>
                      <w:rFonts w:ascii="仿宋_GB2312" w:hAnsi="仿宋_GB2312" w:cs="仿宋_GB2312" w:eastAsia="仿宋_GB2312"/>
                      <w:sz w:val="24"/>
                    </w:rPr>
                    <w:t>)高度40cm</w:t>
                  </w:r>
                  <w:r>
                    <w:rPr>
                      <w:rFonts w:ascii="仿宋_GB2312" w:hAnsi="仿宋_GB2312" w:cs="仿宋_GB2312" w:eastAsia="仿宋_GB2312"/>
                      <w:sz w:val="24"/>
                    </w:rPr>
                    <w:t>—</w:t>
                  </w:r>
                  <w:r>
                    <w:rPr>
                      <w:rFonts w:ascii="仿宋_GB2312" w:hAnsi="仿宋_GB2312" w:cs="仿宋_GB2312" w:eastAsia="仿宋_GB2312"/>
                      <w:sz w:val="24"/>
                    </w:rPr>
                    <w:t>50cm、冠幅25cm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≥36株/㎡。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栽植灌木三角梅</w:t>
                  </w:r>
                  <w:r>
                    <w:rPr>
                      <w:rFonts w:ascii="仿宋_GB2312" w:hAnsi="仿宋_GB2312" w:cs="仿宋_GB2312" w:eastAsia="仿宋_GB2312"/>
                      <w:sz w:val="24"/>
                    </w:rPr>
                    <w:t>（</w:t>
                  </w:r>
                  <w:r>
                    <w:rPr>
                      <w:rFonts w:ascii="仿宋_GB2312" w:hAnsi="仿宋_GB2312" w:cs="仿宋_GB2312" w:eastAsia="仿宋_GB2312"/>
                      <w:sz w:val="24"/>
                    </w:rPr>
                    <w:t>紫色</w:t>
                  </w:r>
                  <w:r>
                    <w:rPr>
                      <w:rFonts w:ascii="仿宋_GB2312" w:hAnsi="仿宋_GB2312" w:cs="仿宋_GB2312" w:eastAsia="仿宋_GB2312"/>
                      <w:sz w:val="24"/>
                    </w:rPr>
                    <w:t>)</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三角梅</w:t>
                  </w:r>
                  <w:r>
                    <w:rPr>
                      <w:rFonts w:ascii="仿宋_GB2312" w:hAnsi="仿宋_GB2312" w:cs="仿宋_GB2312" w:eastAsia="仿宋_GB2312"/>
                      <w:sz w:val="24"/>
                    </w:rPr>
                    <w:t>（</w:t>
                  </w:r>
                  <w:r>
                    <w:rPr>
                      <w:rFonts w:ascii="仿宋_GB2312" w:hAnsi="仿宋_GB2312" w:cs="仿宋_GB2312" w:eastAsia="仿宋_GB2312"/>
                      <w:sz w:val="24"/>
                    </w:rPr>
                    <w:t>紫色</w:t>
                  </w:r>
                  <w:r>
                    <w:rPr>
                      <w:rFonts w:ascii="仿宋_GB2312" w:hAnsi="仿宋_GB2312" w:cs="仿宋_GB2312" w:eastAsia="仿宋_GB2312"/>
                      <w:sz w:val="24"/>
                    </w:rPr>
                    <w:t>)高度40cm</w:t>
                  </w:r>
                  <w:r>
                    <w:rPr>
                      <w:rFonts w:ascii="仿宋_GB2312" w:hAnsi="仿宋_GB2312" w:cs="仿宋_GB2312" w:eastAsia="仿宋_GB2312"/>
                      <w:sz w:val="24"/>
                    </w:rPr>
                    <w:t>—</w:t>
                  </w:r>
                  <w:r>
                    <w:rPr>
                      <w:rFonts w:ascii="仿宋_GB2312" w:hAnsi="仿宋_GB2312" w:cs="仿宋_GB2312" w:eastAsia="仿宋_GB2312"/>
                      <w:sz w:val="24"/>
                    </w:rPr>
                    <w:t>50cm、冠幅25cm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≥36株/㎡。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栽植灌木树状三角梅</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1.规格：树状三角梅</w:t>
                  </w:r>
                  <w:r>
                    <w:rPr>
                      <w:rFonts w:ascii="仿宋_GB2312" w:hAnsi="仿宋_GB2312" w:cs="仿宋_GB2312" w:eastAsia="仿宋_GB2312"/>
                      <w:sz w:val="24"/>
                    </w:rPr>
                    <w:t>≥</w:t>
                  </w:r>
                  <w:r>
                    <w:rPr>
                      <w:rFonts w:ascii="仿宋_GB2312" w:hAnsi="仿宋_GB2312" w:cs="仿宋_GB2312" w:eastAsia="仿宋_GB2312"/>
                      <w:sz w:val="24"/>
                    </w:rPr>
                    <w:t>D6cm；高度2m</w:t>
                  </w:r>
                  <w:r>
                    <w:rPr>
                      <w:rFonts w:ascii="仿宋_GB2312" w:hAnsi="仿宋_GB2312" w:cs="仿宋_GB2312" w:eastAsia="仿宋_GB2312"/>
                      <w:sz w:val="24"/>
                    </w:rPr>
                    <w:t>—</w:t>
                  </w:r>
                  <w:r>
                    <w:rPr>
                      <w:rFonts w:ascii="仿宋_GB2312" w:hAnsi="仿宋_GB2312" w:cs="仿宋_GB2312" w:eastAsia="仿宋_GB2312"/>
                      <w:sz w:val="24"/>
                    </w:rPr>
                    <w:t>2.5m、冠幅1.2m</w:t>
                  </w:r>
                  <w:r>
                    <w:rPr>
                      <w:rFonts w:ascii="仿宋_GB2312" w:hAnsi="仿宋_GB2312" w:cs="仿宋_GB2312" w:eastAsia="仿宋_GB2312"/>
                      <w:sz w:val="24"/>
                    </w:rPr>
                    <w:t>—</w:t>
                  </w:r>
                  <w:r>
                    <w:rPr>
                      <w:rFonts w:ascii="仿宋_GB2312" w:hAnsi="仿宋_GB2312" w:cs="仿宋_GB2312" w:eastAsia="仿宋_GB2312"/>
                      <w:sz w:val="24"/>
                    </w:rPr>
                    <w:t>1.5m；养护期：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栽植花卉白花葱兰</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1.规格：白花葱兰</w:t>
                  </w:r>
                  <w:r>
                    <w:rPr>
                      <w:rFonts w:ascii="仿宋_GB2312" w:hAnsi="仿宋_GB2312" w:cs="仿宋_GB2312" w:eastAsia="仿宋_GB2312"/>
                      <w:sz w:val="24"/>
                    </w:rPr>
                    <w:t>高度</w:t>
                  </w:r>
                  <w:r>
                    <w:rPr>
                      <w:rFonts w:ascii="仿宋_GB2312" w:hAnsi="仿宋_GB2312" w:cs="仿宋_GB2312" w:eastAsia="仿宋_GB2312"/>
                      <w:sz w:val="24"/>
                    </w:rPr>
                    <w:t>15cm</w:t>
                  </w:r>
                  <w:r>
                    <w:rPr>
                      <w:rFonts w:ascii="仿宋_GB2312" w:hAnsi="仿宋_GB2312" w:cs="仿宋_GB2312" w:eastAsia="仿宋_GB2312"/>
                      <w:sz w:val="24"/>
                    </w:rPr>
                    <w:t>—</w:t>
                  </w:r>
                  <w:r>
                    <w:rPr>
                      <w:rFonts w:ascii="仿宋_GB2312" w:hAnsi="仿宋_GB2312" w:cs="仿宋_GB2312" w:eastAsia="仿宋_GB2312"/>
                      <w:sz w:val="24"/>
                    </w:rPr>
                    <w:t>20cm、冠幅10cm</w:t>
                  </w:r>
                  <w:r>
                    <w:rPr>
                      <w:rFonts w:ascii="仿宋_GB2312" w:hAnsi="仿宋_GB2312" w:cs="仿宋_GB2312" w:eastAsia="仿宋_GB2312"/>
                      <w:sz w:val="24"/>
                    </w:rPr>
                    <w:t>—</w:t>
                  </w:r>
                  <w:r>
                    <w:rPr>
                      <w:rFonts w:ascii="仿宋_GB2312" w:hAnsi="仿宋_GB2312" w:cs="仿宋_GB2312" w:eastAsia="仿宋_GB2312"/>
                      <w:sz w:val="24"/>
                    </w:rPr>
                    <w:t>15cm；养护期：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81株/㎡</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栽植花卉百子莲</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百子莲高度</w:t>
                  </w:r>
                  <w:r>
                    <w:rPr>
                      <w:rFonts w:ascii="仿宋_GB2312" w:hAnsi="仿宋_GB2312" w:cs="仿宋_GB2312" w:eastAsia="仿宋_GB2312"/>
                      <w:sz w:val="24"/>
                    </w:rPr>
                    <w:t>25cm</w:t>
                  </w:r>
                  <w:r>
                    <w:rPr>
                      <w:rFonts w:ascii="仿宋_GB2312" w:hAnsi="仿宋_GB2312" w:cs="仿宋_GB2312" w:eastAsia="仿宋_GB2312"/>
                      <w:sz w:val="24"/>
                    </w:rPr>
                    <w:t>—</w:t>
                  </w:r>
                  <w:r>
                    <w:rPr>
                      <w:rFonts w:ascii="仿宋_GB2312" w:hAnsi="仿宋_GB2312" w:cs="仿宋_GB2312" w:eastAsia="仿宋_GB2312"/>
                      <w:sz w:val="24"/>
                    </w:rPr>
                    <w:t>30cm、冠幅20cm</w:t>
                  </w:r>
                  <w:r>
                    <w:rPr>
                      <w:rFonts w:ascii="仿宋_GB2312" w:hAnsi="仿宋_GB2312" w:cs="仿宋_GB2312" w:eastAsia="仿宋_GB2312"/>
                      <w:sz w:val="24"/>
                    </w:rPr>
                    <w:t>—</w:t>
                  </w:r>
                  <w:r>
                    <w:rPr>
                      <w:rFonts w:ascii="仿宋_GB2312" w:hAnsi="仿宋_GB2312" w:cs="仿宋_GB2312" w:eastAsia="仿宋_GB2312"/>
                      <w:sz w:val="24"/>
                    </w:rPr>
                    <w:t>25cm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≥36株/㎡。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栽植花卉大花萱草</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大花萱草高度</w:t>
                  </w:r>
                  <w:r>
                    <w:rPr>
                      <w:rFonts w:ascii="仿宋_GB2312" w:hAnsi="仿宋_GB2312" w:cs="仿宋_GB2312" w:eastAsia="仿宋_GB2312"/>
                      <w:sz w:val="24"/>
                    </w:rPr>
                    <w:t>30cm、冠幅20</w:t>
                  </w:r>
                  <w:r>
                    <w:rPr>
                      <w:rFonts w:ascii="仿宋_GB2312" w:hAnsi="仿宋_GB2312" w:cs="仿宋_GB2312" w:eastAsia="仿宋_GB2312"/>
                      <w:sz w:val="24"/>
                    </w:rPr>
                    <w:t>—</w:t>
                  </w:r>
                  <w:r>
                    <w:rPr>
                      <w:rFonts w:ascii="仿宋_GB2312" w:hAnsi="仿宋_GB2312" w:cs="仿宋_GB2312" w:eastAsia="仿宋_GB2312"/>
                      <w:sz w:val="24"/>
                    </w:rPr>
                    <w:t>25cm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栽植花卉大吴风草</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大吴风草高度</w:t>
                  </w:r>
                  <w:r>
                    <w:rPr>
                      <w:rFonts w:ascii="仿宋_GB2312" w:hAnsi="仿宋_GB2312" w:cs="仿宋_GB2312" w:eastAsia="仿宋_GB2312"/>
                      <w:sz w:val="24"/>
                    </w:rPr>
                    <w:t>25cm</w:t>
                  </w:r>
                  <w:r>
                    <w:rPr>
                      <w:rFonts w:ascii="仿宋_GB2312" w:hAnsi="仿宋_GB2312" w:cs="仿宋_GB2312" w:eastAsia="仿宋_GB2312"/>
                      <w:sz w:val="24"/>
                    </w:rPr>
                    <w:t>—</w:t>
                  </w:r>
                  <w:r>
                    <w:rPr>
                      <w:rFonts w:ascii="仿宋_GB2312" w:hAnsi="仿宋_GB2312" w:cs="仿宋_GB2312" w:eastAsia="仿宋_GB2312"/>
                      <w:sz w:val="24"/>
                    </w:rPr>
                    <w:t>30cm、冠幅25cm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≥36株/㎡。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栽植花卉花叶芒</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花叶芒高度</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55cm、冠幅40cm</w:t>
                  </w:r>
                  <w:r>
                    <w:rPr>
                      <w:rFonts w:ascii="仿宋_GB2312" w:hAnsi="仿宋_GB2312" w:cs="仿宋_GB2312" w:eastAsia="仿宋_GB2312"/>
                      <w:sz w:val="24"/>
                    </w:rPr>
                    <w:t>—</w:t>
                  </w:r>
                  <w:r>
                    <w:rPr>
                      <w:rFonts w:ascii="仿宋_GB2312" w:hAnsi="仿宋_GB2312" w:cs="仿宋_GB2312" w:eastAsia="仿宋_GB2312"/>
                      <w:sz w:val="24"/>
                    </w:rPr>
                    <w:t>50cm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栽植花卉花叶玉簪</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花叶玉簪高度</w:t>
                  </w:r>
                  <w:r>
                    <w:rPr>
                      <w:rFonts w:ascii="仿宋_GB2312" w:hAnsi="仿宋_GB2312" w:cs="仿宋_GB2312" w:eastAsia="仿宋_GB2312"/>
                      <w:sz w:val="24"/>
                    </w:rPr>
                    <w:t>20cm</w:t>
                  </w:r>
                  <w:r>
                    <w:rPr>
                      <w:rFonts w:ascii="仿宋_GB2312" w:hAnsi="仿宋_GB2312" w:cs="仿宋_GB2312" w:eastAsia="仿宋_GB2312"/>
                      <w:sz w:val="24"/>
                    </w:rPr>
                    <w:t>—</w:t>
                  </w:r>
                  <w:r>
                    <w:rPr>
                      <w:rFonts w:ascii="仿宋_GB2312" w:hAnsi="仿宋_GB2312" w:cs="仿宋_GB2312" w:eastAsia="仿宋_GB2312"/>
                      <w:sz w:val="24"/>
                    </w:rPr>
                    <w:t>25cm、冠幅20cm</w:t>
                  </w:r>
                  <w:r>
                    <w:rPr>
                      <w:rFonts w:ascii="仿宋_GB2312" w:hAnsi="仿宋_GB2312" w:cs="仿宋_GB2312" w:eastAsia="仿宋_GB2312"/>
                      <w:sz w:val="24"/>
                    </w:rPr>
                    <w:t>—</w:t>
                  </w:r>
                  <w:r>
                    <w:rPr>
                      <w:rFonts w:ascii="仿宋_GB2312" w:hAnsi="仿宋_GB2312" w:cs="仿宋_GB2312" w:eastAsia="仿宋_GB2312"/>
                      <w:sz w:val="24"/>
                    </w:rPr>
                    <w:t>25cm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栽植花卉金边阔叶麦冬</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1.规格：金边阔叶麦冬</w:t>
                  </w:r>
                  <w:r>
                    <w:rPr>
                      <w:rFonts w:ascii="仿宋_GB2312" w:hAnsi="仿宋_GB2312" w:cs="仿宋_GB2312" w:eastAsia="仿宋_GB2312"/>
                      <w:sz w:val="24"/>
                    </w:rPr>
                    <w:t>高度</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15cm、冠幅10cm</w:t>
                  </w:r>
                  <w:r>
                    <w:rPr>
                      <w:rFonts w:ascii="仿宋_GB2312" w:hAnsi="仿宋_GB2312" w:cs="仿宋_GB2312" w:eastAsia="仿宋_GB2312"/>
                      <w:sz w:val="24"/>
                    </w:rPr>
                    <w:t>—</w:t>
                  </w:r>
                  <w:r>
                    <w:rPr>
                      <w:rFonts w:ascii="仿宋_GB2312" w:hAnsi="仿宋_GB2312" w:cs="仿宋_GB2312" w:eastAsia="仿宋_GB2312"/>
                      <w:sz w:val="24"/>
                    </w:rPr>
                    <w:t>15cm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≥64株/㎡。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栽植花卉兰花三七</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兰花三七高度</w:t>
                  </w:r>
                  <w:r>
                    <w:rPr>
                      <w:rFonts w:ascii="仿宋_GB2312" w:hAnsi="仿宋_GB2312" w:cs="仿宋_GB2312" w:eastAsia="仿宋_GB2312"/>
                      <w:sz w:val="24"/>
                    </w:rPr>
                    <w:t>15cm</w:t>
                  </w:r>
                  <w:r>
                    <w:rPr>
                      <w:rFonts w:ascii="仿宋_GB2312" w:hAnsi="仿宋_GB2312" w:cs="仿宋_GB2312" w:eastAsia="仿宋_GB2312"/>
                      <w:sz w:val="24"/>
                    </w:rPr>
                    <w:t>—</w:t>
                  </w:r>
                  <w:r>
                    <w:rPr>
                      <w:rFonts w:ascii="仿宋_GB2312" w:hAnsi="仿宋_GB2312" w:cs="仿宋_GB2312" w:eastAsia="仿宋_GB2312"/>
                      <w:sz w:val="24"/>
                    </w:rPr>
                    <w:t>20cm、冠幅10cm</w:t>
                  </w:r>
                  <w:r>
                    <w:rPr>
                      <w:rFonts w:ascii="仿宋_GB2312" w:hAnsi="仿宋_GB2312" w:cs="仿宋_GB2312" w:eastAsia="仿宋_GB2312"/>
                      <w:sz w:val="24"/>
                    </w:rPr>
                    <w:t>—</w:t>
                  </w:r>
                  <w:r>
                    <w:rPr>
                      <w:rFonts w:ascii="仿宋_GB2312" w:hAnsi="仿宋_GB2312" w:cs="仿宋_GB2312" w:eastAsia="仿宋_GB2312"/>
                      <w:sz w:val="24"/>
                    </w:rPr>
                    <w:t>15cm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≥64株/㎡。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栽植花卉鼠尾草</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鼠尾草高度</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60cm、冠幅20cm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栽植花卉千鸟花</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千鸟花高度</w:t>
                  </w:r>
                  <w:r>
                    <w:rPr>
                      <w:rFonts w:ascii="仿宋_GB2312" w:hAnsi="仿宋_GB2312" w:cs="仿宋_GB2312" w:eastAsia="仿宋_GB2312"/>
                      <w:sz w:val="24"/>
                    </w:rPr>
                    <w:t>30cm</w:t>
                  </w:r>
                  <w:r>
                    <w:rPr>
                      <w:rFonts w:ascii="仿宋_GB2312" w:hAnsi="仿宋_GB2312" w:cs="仿宋_GB2312" w:eastAsia="仿宋_GB2312"/>
                      <w:sz w:val="24"/>
                    </w:rPr>
                    <w:t>—</w:t>
                  </w:r>
                  <w:r>
                    <w:rPr>
                      <w:rFonts w:ascii="仿宋_GB2312" w:hAnsi="仿宋_GB2312" w:cs="仿宋_GB2312" w:eastAsia="仿宋_GB2312"/>
                      <w:sz w:val="24"/>
                    </w:rPr>
                    <w:t>35cm</w:t>
                  </w:r>
                  <w:r>
                    <w:rPr>
                      <w:rFonts w:ascii="仿宋_GB2312" w:hAnsi="仿宋_GB2312" w:cs="仿宋_GB2312" w:eastAsia="仿宋_GB2312"/>
                      <w:sz w:val="24"/>
                    </w:rPr>
                    <w:t>、冠</w:t>
                  </w:r>
                  <w:r>
                    <w:rPr>
                      <w:rFonts w:ascii="仿宋_GB2312" w:hAnsi="仿宋_GB2312" w:cs="仿宋_GB2312" w:eastAsia="仿宋_GB2312"/>
                      <w:sz w:val="24"/>
                    </w:rPr>
                    <w:t>幅</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15cm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≥64株/㎡。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栽植花卉肾蕨</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肾蕨高度</w:t>
                  </w:r>
                  <w:r>
                    <w:rPr>
                      <w:rFonts w:ascii="仿宋_GB2312" w:hAnsi="仿宋_GB2312" w:cs="仿宋_GB2312" w:eastAsia="仿宋_GB2312"/>
                      <w:sz w:val="24"/>
                    </w:rPr>
                    <w:t>30cm</w:t>
                  </w:r>
                  <w:r>
                    <w:rPr>
                      <w:rFonts w:ascii="仿宋_GB2312" w:hAnsi="仿宋_GB2312" w:cs="仿宋_GB2312" w:eastAsia="仿宋_GB2312"/>
                      <w:sz w:val="24"/>
                    </w:rPr>
                    <w:t>—</w:t>
                  </w:r>
                  <w:r>
                    <w:rPr>
                      <w:rFonts w:ascii="仿宋_GB2312" w:hAnsi="仿宋_GB2312" w:cs="仿宋_GB2312" w:eastAsia="仿宋_GB2312"/>
                      <w:sz w:val="24"/>
                    </w:rPr>
                    <w:t>35cm、冠幅20cm</w:t>
                  </w:r>
                  <w:r>
                    <w:rPr>
                      <w:rFonts w:ascii="仿宋_GB2312" w:hAnsi="仿宋_GB2312" w:cs="仿宋_GB2312" w:eastAsia="仿宋_GB2312"/>
                      <w:sz w:val="24"/>
                    </w:rPr>
                    <w:t>—</w:t>
                  </w:r>
                  <w:r>
                    <w:rPr>
                      <w:rFonts w:ascii="仿宋_GB2312" w:hAnsi="仿宋_GB2312" w:cs="仿宋_GB2312" w:eastAsia="仿宋_GB2312"/>
                      <w:sz w:val="24"/>
                    </w:rPr>
                    <w:t>25cm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栽植花卉水生美人蕉</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水生美人蕉高度</w:t>
                  </w:r>
                  <w:r>
                    <w:rPr>
                      <w:rFonts w:ascii="仿宋_GB2312" w:hAnsi="仿宋_GB2312" w:cs="仿宋_GB2312" w:eastAsia="仿宋_GB2312"/>
                      <w:sz w:val="24"/>
                    </w:rPr>
                    <w:t>45cm</w:t>
                  </w:r>
                  <w:r>
                    <w:rPr>
                      <w:rFonts w:ascii="仿宋_GB2312" w:hAnsi="仿宋_GB2312" w:cs="仿宋_GB2312" w:eastAsia="仿宋_GB2312"/>
                      <w:sz w:val="24"/>
                    </w:rPr>
                    <w:t>—</w:t>
                  </w:r>
                  <w:r>
                    <w:rPr>
                      <w:rFonts w:ascii="仿宋_GB2312" w:hAnsi="仿宋_GB2312" w:cs="仿宋_GB2312" w:eastAsia="仿宋_GB2312"/>
                      <w:sz w:val="24"/>
                    </w:rPr>
                    <w:t>50cm、冠幅20cm</w:t>
                  </w:r>
                  <w:r>
                    <w:rPr>
                      <w:rFonts w:ascii="仿宋_GB2312" w:hAnsi="仿宋_GB2312" w:cs="仿宋_GB2312" w:eastAsia="仿宋_GB2312"/>
                      <w:sz w:val="24"/>
                    </w:rPr>
                    <w:t>—</w:t>
                  </w:r>
                  <w:r>
                    <w:rPr>
                      <w:rFonts w:ascii="仿宋_GB2312" w:hAnsi="仿宋_GB2312" w:cs="仿宋_GB2312" w:eastAsia="仿宋_GB2312"/>
                      <w:sz w:val="24"/>
                    </w:rPr>
                    <w:t>30cm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≥25丛/㎡，3-5芽/丛。</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栽植花卉松果菊</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松果菊高度</w:t>
                  </w:r>
                  <w:r>
                    <w:rPr>
                      <w:rFonts w:ascii="仿宋_GB2312" w:hAnsi="仿宋_GB2312" w:cs="仿宋_GB2312" w:eastAsia="仿宋_GB2312"/>
                      <w:sz w:val="24"/>
                    </w:rPr>
                    <w:t>30cm</w:t>
                  </w:r>
                  <w:r>
                    <w:rPr>
                      <w:rFonts w:ascii="仿宋_GB2312" w:hAnsi="仿宋_GB2312" w:cs="仿宋_GB2312" w:eastAsia="仿宋_GB2312"/>
                      <w:sz w:val="24"/>
                    </w:rPr>
                    <w:t>—</w:t>
                  </w:r>
                  <w:r>
                    <w:rPr>
                      <w:rFonts w:ascii="仿宋_GB2312" w:hAnsi="仿宋_GB2312" w:cs="仿宋_GB2312" w:eastAsia="仿宋_GB2312"/>
                      <w:sz w:val="24"/>
                    </w:rPr>
                    <w:t>35cm、冠幅10cm</w:t>
                  </w:r>
                  <w:r>
                    <w:rPr>
                      <w:rFonts w:ascii="仿宋_GB2312" w:hAnsi="仿宋_GB2312" w:cs="仿宋_GB2312" w:eastAsia="仿宋_GB2312"/>
                      <w:sz w:val="24"/>
                    </w:rPr>
                    <w:t>—</w:t>
                  </w:r>
                  <w:r>
                    <w:rPr>
                      <w:rFonts w:ascii="仿宋_GB2312" w:hAnsi="仿宋_GB2312" w:cs="仿宋_GB2312" w:eastAsia="仿宋_GB2312"/>
                      <w:sz w:val="24"/>
                    </w:rPr>
                    <w:t>15cm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≥64株/㎡。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栽植花卉鸢尾</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鸢尾高度</w:t>
                  </w:r>
                  <w:r>
                    <w:rPr>
                      <w:rFonts w:ascii="仿宋_GB2312" w:hAnsi="仿宋_GB2312" w:cs="仿宋_GB2312" w:eastAsia="仿宋_GB2312"/>
                      <w:sz w:val="24"/>
                    </w:rPr>
                    <w:t>40cm</w:t>
                  </w:r>
                  <w:r>
                    <w:rPr>
                      <w:rFonts w:ascii="仿宋_GB2312" w:hAnsi="仿宋_GB2312" w:cs="仿宋_GB2312" w:eastAsia="仿宋_GB2312"/>
                      <w:sz w:val="24"/>
                    </w:rPr>
                    <w:t>—</w:t>
                  </w:r>
                  <w:r>
                    <w:rPr>
                      <w:rFonts w:ascii="仿宋_GB2312" w:hAnsi="仿宋_GB2312" w:cs="仿宋_GB2312" w:eastAsia="仿宋_GB2312"/>
                      <w:sz w:val="24"/>
                    </w:rPr>
                    <w:t>45cm、冠幅15cm</w:t>
                  </w:r>
                  <w:r>
                    <w:rPr>
                      <w:rFonts w:ascii="仿宋_GB2312" w:hAnsi="仿宋_GB2312" w:cs="仿宋_GB2312" w:eastAsia="仿宋_GB2312"/>
                      <w:sz w:val="24"/>
                    </w:rPr>
                    <w:t>—</w:t>
                  </w:r>
                  <w:r>
                    <w:rPr>
                      <w:rFonts w:ascii="仿宋_GB2312" w:hAnsi="仿宋_GB2312" w:cs="仿宋_GB2312" w:eastAsia="仿宋_GB2312"/>
                      <w:sz w:val="24"/>
                    </w:rPr>
                    <w:t>20cm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≥49株/㎡。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栽植花卉细叶芒</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细叶芒高度</w:t>
                  </w:r>
                  <w:r>
                    <w:rPr>
                      <w:rFonts w:ascii="仿宋_GB2312" w:hAnsi="仿宋_GB2312" w:cs="仿宋_GB2312" w:eastAsia="仿宋_GB2312"/>
                      <w:sz w:val="24"/>
                    </w:rPr>
                    <w:t>70cm</w:t>
                  </w:r>
                  <w:r>
                    <w:rPr>
                      <w:rFonts w:ascii="仿宋_GB2312" w:hAnsi="仿宋_GB2312" w:cs="仿宋_GB2312" w:eastAsia="仿宋_GB2312"/>
                      <w:sz w:val="24"/>
                    </w:rPr>
                    <w:t>—</w:t>
                  </w:r>
                  <w:r>
                    <w:rPr>
                      <w:rFonts w:ascii="仿宋_GB2312" w:hAnsi="仿宋_GB2312" w:cs="仿宋_GB2312" w:eastAsia="仿宋_GB2312"/>
                      <w:sz w:val="24"/>
                    </w:rPr>
                    <w:t>80cm、冠幅50cm</w:t>
                  </w:r>
                  <w:r>
                    <w:rPr>
                      <w:rFonts w:ascii="仿宋_GB2312" w:hAnsi="仿宋_GB2312" w:cs="仿宋_GB2312" w:eastAsia="仿宋_GB2312"/>
                      <w:sz w:val="24"/>
                    </w:rPr>
                    <w:t>—</w:t>
                  </w:r>
                  <w:r>
                    <w:rPr>
                      <w:rFonts w:ascii="仿宋_GB2312" w:hAnsi="仿宋_GB2312" w:cs="仿宋_GB2312" w:eastAsia="仿宋_GB2312"/>
                      <w:sz w:val="24"/>
                    </w:rPr>
                    <w:t>60cm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≥9株/㎡。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栽植花卉再力花</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再力花高度</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60cm、冠幅15cm</w:t>
                  </w:r>
                  <w:r>
                    <w:rPr>
                      <w:rFonts w:ascii="仿宋_GB2312" w:hAnsi="仿宋_GB2312" w:cs="仿宋_GB2312" w:eastAsia="仿宋_GB2312"/>
                      <w:sz w:val="24"/>
                    </w:rPr>
                    <w:t>—</w:t>
                  </w:r>
                  <w:r>
                    <w:rPr>
                      <w:rFonts w:ascii="仿宋_GB2312" w:hAnsi="仿宋_GB2312" w:cs="仿宋_GB2312" w:eastAsia="仿宋_GB2312"/>
                      <w:sz w:val="24"/>
                    </w:rPr>
                    <w:t>20cm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≥36丛/㎡，7-8芽/丛。</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栽植花卉紫穗狼尾草</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紫穗狼尾草高度</w:t>
                  </w:r>
                  <w:r>
                    <w:rPr>
                      <w:rFonts w:ascii="仿宋_GB2312" w:hAnsi="仿宋_GB2312" w:cs="仿宋_GB2312" w:eastAsia="仿宋_GB2312"/>
                      <w:sz w:val="24"/>
                    </w:rPr>
                    <w:t>40cm</w:t>
                  </w:r>
                  <w:r>
                    <w:rPr>
                      <w:rFonts w:ascii="仿宋_GB2312" w:hAnsi="仿宋_GB2312" w:cs="仿宋_GB2312" w:eastAsia="仿宋_GB2312"/>
                      <w:sz w:val="24"/>
                    </w:rPr>
                    <w:t>～</w:t>
                  </w:r>
                  <w:r>
                    <w:rPr>
                      <w:rFonts w:ascii="仿宋_GB2312" w:hAnsi="仿宋_GB2312" w:cs="仿宋_GB2312" w:eastAsia="仿宋_GB2312"/>
                      <w:sz w:val="24"/>
                    </w:rPr>
                    <w:t>50cm、冠幅35cm</w:t>
                  </w:r>
                  <w:r>
                    <w:rPr>
                      <w:rFonts w:ascii="仿宋_GB2312" w:hAnsi="仿宋_GB2312" w:cs="仿宋_GB2312" w:eastAsia="仿宋_GB2312"/>
                      <w:sz w:val="24"/>
                    </w:rPr>
                    <w:t>～</w:t>
                  </w:r>
                  <w:r>
                    <w:rPr>
                      <w:rFonts w:ascii="仿宋_GB2312" w:hAnsi="仿宋_GB2312" w:cs="仿宋_GB2312" w:eastAsia="仿宋_GB2312"/>
                      <w:sz w:val="24"/>
                    </w:rPr>
                    <w:t>40cm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r>
                    <w:rPr>
                      <w:rFonts w:ascii="仿宋_GB2312" w:hAnsi="仿宋_GB2312" w:cs="仿宋_GB2312" w:eastAsia="仿宋_GB2312"/>
                      <w:sz w:val="24"/>
                    </w:rPr>
                    <w:t>≥16株/㎡。</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栽植乔木红花碧桃</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红花碧桃地径</w:t>
                  </w:r>
                  <w:r>
                    <w:rPr>
                      <w:rFonts w:ascii="仿宋_GB2312" w:hAnsi="仿宋_GB2312" w:cs="仿宋_GB2312" w:eastAsia="仿宋_GB2312"/>
                      <w:sz w:val="24"/>
                    </w:rPr>
                    <w:t>≥10cm；高度2m</w:t>
                  </w:r>
                  <w:r>
                    <w:rPr>
                      <w:rFonts w:ascii="仿宋_GB2312" w:hAnsi="仿宋_GB2312" w:cs="仿宋_GB2312" w:eastAsia="仿宋_GB2312"/>
                      <w:sz w:val="24"/>
                    </w:rPr>
                    <w:t>～</w:t>
                  </w:r>
                  <w:r>
                    <w:rPr>
                      <w:rFonts w:ascii="仿宋_GB2312" w:hAnsi="仿宋_GB2312" w:cs="仿宋_GB2312" w:eastAsia="仿宋_GB2312"/>
                      <w:sz w:val="24"/>
                    </w:rPr>
                    <w:t>2.5m、冠幅2.5m</w:t>
                  </w:r>
                  <w:r>
                    <w:rPr>
                      <w:rFonts w:ascii="仿宋_GB2312" w:hAnsi="仿宋_GB2312" w:cs="仿宋_GB2312" w:eastAsia="仿宋_GB2312"/>
                      <w:sz w:val="24"/>
                    </w:rPr>
                    <w:t>～</w:t>
                  </w:r>
                  <w:r>
                    <w:rPr>
                      <w:rFonts w:ascii="仿宋_GB2312" w:hAnsi="仿宋_GB2312" w:cs="仿宋_GB2312" w:eastAsia="仿宋_GB2312"/>
                      <w:sz w:val="24"/>
                    </w:rPr>
                    <w:t>3m、分枝点＜0.5m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栽植乔木红叶李</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红叶李地径</w:t>
                  </w:r>
                  <w:r>
                    <w:rPr>
                      <w:rFonts w:ascii="仿宋_GB2312" w:hAnsi="仿宋_GB2312" w:cs="仿宋_GB2312" w:eastAsia="仿宋_GB2312"/>
                      <w:sz w:val="24"/>
                    </w:rPr>
                    <w:t>≥8cm；高度2.5m</w:t>
                  </w:r>
                  <w:r>
                    <w:rPr>
                      <w:rFonts w:ascii="仿宋_GB2312" w:hAnsi="仿宋_GB2312" w:cs="仿宋_GB2312" w:eastAsia="仿宋_GB2312"/>
                      <w:sz w:val="24"/>
                    </w:rPr>
                    <w:t>～</w:t>
                  </w:r>
                  <w:r>
                    <w:rPr>
                      <w:rFonts w:ascii="仿宋_GB2312" w:hAnsi="仿宋_GB2312" w:cs="仿宋_GB2312" w:eastAsia="仿宋_GB2312"/>
                      <w:sz w:val="24"/>
                    </w:rPr>
                    <w:t>3m、冠幅1.5m</w:t>
                  </w:r>
                  <w:r>
                    <w:rPr>
                      <w:rFonts w:ascii="仿宋_GB2312" w:hAnsi="仿宋_GB2312" w:cs="仿宋_GB2312" w:eastAsia="仿宋_GB2312"/>
                      <w:sz w:val="24"/>
                    </w:rPr>
                    <w:t>～</w:t>
                  </w:r>
                  <w:r>
                    <w:rPr>
                      <w:rFonts w:ascii="仿宋_GB2312" w:hAnsi="仿宋_GB2312" w:cs="仿宋_GB2312" w:eastAsia="仿宋_GB2312"/>
                      <w:sz w:val="24"/>
                    </w:rPr>
                    <w:t>2m、分枝点1m</w:t>
                  </w:r>
                  <w:r>
                    <w:rPr>
                      <w:rFonts w:ascii="仿宋_GB2312" w:hAnsi="仿宋_GB2312" w:cs="仿宋_GB2312" w:eastAsia="仿宋_GB2312"/>
                      <w:sz w:val="24"/>
                    </w:rPr>
                    <w:t>～</w:t>
                  </w:r>
                  <w:r>
                    <w:rPr>
                      <w:rFonts w:ascii="仿宋_GB2312" w:hAnsi="仿宋_GB2312" w:cs="仿宋_GB2312" w:eastAsia="仿宋_GB2312"/>
                      <w:sz w:val="24"/>
                    </w:rPr>
                    <w:t>1.5m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栽植乔木黄连木</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黄连木米径</w:t>
                  </w:r>
                  <w:r>
                    <w:rPr>
                      <w:rFonts w:ascii="仿宋_GB2312" w:hAnsi="仿宋_GB2312" w:cs="仿宋_GB2312" w:eastAsia="仿宋_GB2312"/>
                      <w:sz w:val="24"/>
                    </w:rPr>
                    <w:t>20cm</w:t>
                  </w:r>
                  <w:r>
                    <w:rPr>
                      <w:rFonts w:ascii="仿宋_GB2312" w:hAnsi="仿宋_GB2312" w:cs="仿宋_GB2312" w:eastAsia="仿宋_GB2312"/>
                      <w:sz w:val="24"/>
                    </w:rPr>
                    <w:t>～</w:t>
                  </w:r>
                  <w:r>
                    <w:rPr>
                      <w:rFonts w:ascii="仿宋_GB2312" w:hAnsi="仿宋_GB2312" w:cs="仿宋_GB2312" w:eastAsia="仿宋_GB2312"/>
                      <w:sz w:val="24"/>
                    </w:rPr>
                    <w:t>22cm；高度7m</w:t>
                  </w:r>
                  <w:r>
                    <w:rPr>
                      <w:rFonts w:ascii="仿宋_GB2312" w:hAnsi="仿宋_GB2312" w:cs="仿宋_GB2312" w:eastAsia="仿宋_GB2312"/>
                      <w:sz w:val="24"/>
                    </w:rPr>
                    <w:t>～</w:t>
                  </w:r>
                  <w:r>
                    <w:rPr>
                      <w:rFonts w:ascii="仿宋_GB2312" w:hAnsi="仿宋_GB2312" w:cs="仿宋_GB2312" w:eastAsia="仿宋_GB2312"/>
                      <w:sz w:val="24"/>
                    </w:rPr>
                    <w:t>8m、冠幅3.5m</w:t>
                  </w:r>
                  <w:r>
                    <w:rPr>
                      <w:rFonts w:ascii="仿宋_GB2312" w:hAnsi="仿宋_GB2312" w:cs="仿宋_GB2312" w:eastAsia="仿宋_GB2312"/>
                      <w:sz w:val="24"/>
                    </w:rPr>
                    <w:t>～</w:t>
                  </w:r>
                  <w:r>
                    <w:rPr>
                      <w:rFonts w:ascii="仿宋_GB2312" w:hAnsi="仿宋_GB2312" w:cs="仿宋_GB2312" w:eastAsia="仿宋_GB2312"/>
                      <w:sz w:val="24"/>
                    </w:rPr>
                    <w:t>4m、分枝点2.5</w:t>
                  </w:r>
                  <w:r>
                    <w:rPr>
                      <w:rFonts w:ascii="仿宋_GB2312" w:hAnsi="仿宋_GB2312" w:cs="仿宋_GB2312" w:eastAsia="仿宋_GB2312"/>
                      <w:sz w:val="24"/>
                    </w:rPr>
                    <w:t>～</w:t>
                  </w:r>
                  <w:r>
                    <w:rPr>
                      <w:rFonts w:ascii="仿宋_GB2312" w:hAnsi="仿宋_GB2312" w:cs="仿宋_GB2312" w:eastAsia="仿宋_GB2312"/>
                      <w:sz w:val="24"/>
                    </w:rPr>
                    <w:t>3m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栽植乔木鸡爪槭</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鸡爪槭地径</w:t>
                  </w:r>
                  <w:r>
                    <w:rPr>
                      <w:rFonts w:ascii="仿宋_GB2312" w:hAnsi="仿宋_GB2312" w:cs="仿宋_GB2312" w:eastAsia="仿宋_GB2312"/>
                      <w:sz w:val="24"/>
                    </w:rPr>
                    <w:t>≥</w:t>
                  </w:r>
                  <w:r>
                    <w:rPr>
                      <w:rFonts w:ascii="仿宋_GB2312" w:hAnsi="仿宋_GB2312" w:cs="仿宋_GB2312" w:eastAsia="仿宋_GB2312"/>
                      <w:sz w:val="24"/>
                    </w:rPr>
                    <w:t>6cm；高度1.5m</w:t>
                  </w:r>
                  <w:r>
                    <w:rPr>
                      <w:rFonts w:ascii="仿宋_GB2312" w:hAnsi="仿宋_GB2312" w:cs="仿宋_GB2312" w:eastAsia="仿宋_GB2312"/>
                      <w:sz w:val="24"/>
                    </w:rPr>
                    <w:t>～</w:t>
                  </w:r>
                  <w:r>
                    <w:rPr>
                      <w:rFonts w:ascii="仿宋_GB2312" w:hAnsi="仿宋_GB2312" w:cs="仿宋_GB2312" w:eastAsia="仿宋_GB2312"/>
                      <w:sz w:val="24"/>
                    </w:rPr>
                    <w:t>2m、冠幅1m</w:t>
                  </w:r>
                  <w:r>
                    <w:rPr>
                      <w:rFonts w:ascii="仿宋_GB2312" w:hAnsi="仿宋_GB2312" w:cs="仿宋_GB2312" w:eastAsia="仿宋_GB2312"/>
                      <w:sz w:val="24"/>
                    </w:rPr>
                    <w:t>～</w:t>
                  </w:r>
                  <w:r>
                    <w:rPr>
                      <w:rFonts w:ascii="仿宋_GB2312" w:hAnsi="仿宋_GB2312" w:cs="仿宋_GB2312" w:eastAsia="仿宋_GB2312"/>
                      <w:sz w:val="24"/>
                    </w:rPr>
                    <w:t>1.5m、分枝点＜0.5m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栽植乔木蓝花楹</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蓝花楹米径</w:t>
                  </w:r>
                  <w:r>
                    <w:rPr>
                      <w:rFonts w:ascii="仿宋_GB2312" w:hAnsi="仿宋_GB2312" w:cs="仿宋_GB2312" w:eastAsia="仿宋_GB2312"/>
                      <w:sz w:val="24"/>
                    </w:rPr>
                    <w:t>≥</w:t>
                  </w:r>
                  <w:r>
                    <w:rPr>
                      <w:rFonts w:ascii="仿宋_GB2312" w:hAnsi="仿宋_GB2312" w:cs="仿宋_GB2312" w:eastAsia="仿宋_GB2312"/>
                      <w:sz w:val="24"/>
                    </w:rPr>
                    <w:t>15cm；高度6m</w:t>
                  </w:r>
                  <w:r>
                    <w:rPr>
                      <w:rFonts w:ascii="仿宋_GB2312" w:hAnsi="仿宋_GB2312" w:cs="仿宋_GB2312" w:eastAsia="仿宋_GB2312"/>
                      <w:sz w:val="24"/>
                    </w:rPr>
                    <w:t>～</w:t>
                  </w:r>
                  <w:r>
                    <w:rPr>
                      <w:rFonts w:ascii="仿宋_GB2312" w:hAnsi="仿宋_GB2312" w:cs="仿宋_GB2312" w:eastAsia="仿宋_GB2312"/>
                      <w:sz w:val="24"/>
                    </w:rPr>
                    <w:t>7m、冠幅3m</w:t>
                  </w:r>
                  <w:r>
                    <w:rPr>
                      <w:rFonts w:ascii="仿宋_GB2312" w:hAnsi="仿宋_GB2312" w:cs="仿宋_GB2312" w:eastAsia="仿宋_GB2312"/>
                      <w:sz w:val="24"/>
                    </w:rPr>
                    <w:t>～</w:t>
                  </w:r>
                  <w:r>
                    <w:rPr>
                      <w:rFonts w:ascii="仿宋_GB2312" w:hAnsi="仿宋_GB2312" w:cs="仿宋_GB2312" w:eastAsia="仿宋_GB2312"/>
                      <w:sz w:val="24"/>
                    </w:rPr>
                    <w:t>3.5m、分枝点1.5m</w:t>
                  </w:r>
                  <w:r>
                    <w:rPr>
                      <w:rFonts w:ascii="仿宋_GB2312" w:hAnsi="仿宋_GB2312" w:cs="仿宋_GB2312" w:eastAsia="仿宋_GB2312"/>
                      <w:sz w:val="24"/>
                    </w:rPr>
                    <w:t>～</w:t>
                  </w:r>
                  <w:r>
                    <w:rPr>
                      <w:rFonts w:ascii="仿宋_GB2312" w:hAnsi="仿宋_GB2312" w:cs="仿宋_GB2312" w:eastAsia="仿宋_GB2312"/>
                      <w:sz w:val="24"/>
                    </w:rPr>
                    <w:t>1.8m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栽植乔木龙柱碧桃</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龙柱碧桃地径</w:t>
                  </w:r>
                  <w:r>
                    <w:rPr>
                      <w:rFonts w:ascii="仿宋_GB2312" w:hAnsi="仿宋_GB2312" w:cs="仿宋_GB2312" w:eastAsia="仿宋_GB2312"/>
                      <w:sz w:val="24"/>
                    </w:rPr>
                    <w:t>≥</w:t>
                  </w:r>
                  <w:r>
                    <w:rPr>
                      <w:rFonts w:ascii="仿宋_GB2312" w:hAnsi="仿宋_GB2312" w:cs="仿宋_GB2312" w:eastAsia="仿宋_GB2312"/>
                      <w:sz w:val="24"/>
                    </w:rPr>
                    <w:t>10cm；高度2m</w:t>
                  </w:r>
                  <w:r>
                    <w:rPr>
                      <w:rFonts w:ascii="仿宋_GB2312" w:hAnsi="仿宋_GB2312" w:cs="仿宋_GB2312" w:eastAsia="仿宋_GB2312"/>
                      <w:sz w:val="24"/>
                    </w:rPr>
                    <w:t>—</w:t>
                  </w:r>
                  <w:r>
                    <w:rPr>
                      <w:rFonts w:ascii="仿宋_GB2312" w:hAnsi="仿宋_GB2312" w:cs="仿宋_GB2312" w:eastAsia="仿宋_GB2312"/>
                      <w:sz w:val="24"/>
                    </w:rPr>
                    <w:t>2.5m、冠幅1m</w:t>
                  </w:r>
                  <w:r>
                    <w:rPr>
                      <w:rFonts w:ascii="仿宋_GB2312" w:hAnsi="仿宋_GB2312" w:cs="仿宋_GB2312" w:eastAsia="仿宋_GB2312"/>
                      <w:sz w:val="24"/>
                    </w:rPr>
                    <w:t>—</w:t>
                  </w:r>
                  <w:r>
                    <w:rPr>
                      <w:rFonts w:ascii="仿宋_GB2312" w:hAnsi="仿宋_GB2312" w:cs="仿宋_GB2312" w:eastAsia="仿宋_GB2312"/>
                      <w:sz w:val="24"/>
                    </w:rPr>
                    <w:t>1.5m、分枝点＜0.5m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栽植乔木栾树</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栾树米径</w:t>
                  </w:r>
                  <w:r>
                    <w:rPr>
                      <w:rFonts w:ascii="仿宋_GB2312" w:hAnsi="仿宋_GB2312" w:cs="仿宋_GB2312" w:eastAsia="仿宋_GB2312"/>
                      <w:sz w:val="24"/>
                    </w:rPr>
                    <w:t>≥</w:t>
                  </w:r>
                  <w:r>
                    <w:rPr>
                      <w:rFonts w:ascii="仿宋_GB2312" w:hAnsi="仿宋_GB2312" w:cs="仿宋_GB2312" w:eastAsia="仿宋_GB2312"/>
                      <w:sz w:val="24"/>
                    </w:rPr>
                    <w:t>15cm；高度6m</w:t>
                  </w:r>
                  <w:r>
                    <w:rPr>
                      <w:rFonts w:ascii="仿宋_GB2312" w:hAnsi="仿宋_GB2312" w:cs="仿宋_GB2312" w:eastAsia="仿宋_GB2312"/>
                      <w:sz w:val="24"/>
                    </w:rPr>
                    <w:t>—</w:t>
                  </w:r>
                  <w:r>
                    <w:rPr>
                      <w:rFonts w:ascii="仿宋_GB2312" w:hAnsi="仿宋_GB2312" w:cs="仿宋_GB2312" w:eastAsia="仿宋_GB2312"/>
                      <w:sz w:val="24"/>
                    </w:rPr>
                    <w:t>7m冠幅2.5m</w:t>
                  </w:r>
                  <w:r>
                    <w:rPr>
                      <w:rFonts w:ascii="仿宋_GB2312" w:hAnsi="仿宋_GB2312" w:cs="仿宋_GB2312" w:eastAsia="仿宋_GB2312"/>
                      <w:sz w:val="24"/>
                    </w:rPr>
                    <w:t>—</w:t>
                  </w:r>
                  <w:r>
                    <w:rPr>
                      <w:rFonts w:ascii="仿宋_GB2312" w:hAnsi="仿宋_GB2312" w:cs="仿宋_GB2312" w:eastAsia="仿宋_GB2312"/>
                      <w:sz w:val="24"/>
                    </w:rPr>
                    <w:t>3m、分枝点2m</w:t>
                  </w:r>
                  <w:r>
                    <w:rPr>
                      <w:rFonts w:ascii="仿宋_GB2312" w:hAnsi="仿宋_GB2312" w:cs="仿宋_GB2312" w:eastAsia="仿宋_GB2312"/>
                      <w:sz w:val="24"/>
                    </w:rPr>
                    <w:t>—</w:t>
                  </w:r>
                  <w:r>
                    <w:rPr>
                      <w:rFonts w:ascii="仿宋_GB2312" w:hAnsi="仿宋_GB2312" w:cs="仿宋_GB2312" w:eastAsia="仿宋_GB2312"/>
                      <w:sz w:val="24"/>
                    </w:rPr>
                    <w:t>2.2m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栽植乔木晚樱</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1.规格：晚樱</w:t>
                  </w:r>
                  <w:r>
                    <w:rPr>
                      <w:rFonts w:ascii="仿宋_GB2312" w:hAnsi="仿宋_GB2312" w:cs="仿宋_GB2312" w:eastAsia="仿宋_GB2312"/>
                      <w:sz w:val="24"/>
                    </w:rPr>
                    <w:t>米径</w:t>
                  </w:r>
                  <w:r>
                    <w:rPr>
                      <w:rFonts w:ascii="仿宋_GB2312" w:hAnsi="仿宋_GB2312" w:cs="仿宋_GB2312" w:eastAsia="仿宋_GB2312"/>
                      <w:sz w:val="24"/>
                    </w:rPr>
                    <w:t>≥</w:t>
                  </w:r>
                  <w:r>
                    <w:rPr>
                      <w:rFonts w:ascii="仿宋_GB2312" w:hAnsi="仿宋_GB2312" w:cs="仿宋_GB2312" w:eastAsia="仿宋_GB2312"/>
                      <w:sz w:val="24"/>
                    </w:rPr>
                    <w:t>10cm；高度4m</w:t>
                  </w:r>
                  <w:r>
                    <w:rPr>
                      <w:rFonts w:ascii="仿宋_GB2312" w:hAnsi="仿宋_GB2312" w:cs="仿宋_GB2312" w:eastAsia="仿宋_GB2312"/>
                      <w:sz w:val="24"/>
                    </w:rPr>
                    <w:t>—</w:t>
                  </w:r>
                  <w:r>
                    <w:rPr>
                      <w:rFonts w:ascii="仿宋_GB2312" w:hAnsi="仿宋_GB2312" w:cs="仿宋_GB2312" w:eastAsia="仿宋_GB2312"/>
                      <w:sz w:val="24"/>
                    </w:rPr>
                    <w:t>4.5m、冠幅2.5m</w:t>
                  </w:r>
                  <w:r>
                    <w:rPr>
                      <w:rFonts w:ascii="仿宋_GB2312" w:hAnsi="仿宋_GB2312" w:cs="仿宋_GB2312" w:eastAsia="仿宋_GB2312"/>
                      <w:sz w:val="24"/>
                    </w:rPr>
                    <w:t>—</w:t>
                  </w:r>
                  <w:r>
                    <w:rPr>
                      <w:rFonts w:ascii="仿宋_GB2312" w:hAnsi="仿宋_GB2312" w:cs="仿宋_GB2312" w:eastAsia="仿宋_GB2312"/>
                      <w:sz w:val="24"/>
                    </w:rPr>
                    <w:t>3m、分枝点1</w:t>
                  </w:r>
                  <w:r>
                    <w:rPr>
                      <w:rFonts w:ascii="仿宋_GB2312" w:hAnsi="仿宋_GB2312" w:cs="仿宋_GB2312" w:eastAsia="仿宋_GB2312"/>
                      <w:sz w:val="24"/>
                    </w:rPr>
                    <w:t>—</w:t>
                  </w:r>
                  <w:r>
                    <w:rPr>
                      <w:rFonts w:ascii="仿宋_GB2312" w:hAnsi="仿宋_GB2312" w:cs="仿宋_GB2312" w:eastAsia="仿宋_GB2312"/>
                      <w:sz w:val="24"/>
                    </w:rPr>
                    <w:t>1.5m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栽植乔木水杉</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水杉米径</w:t>
                  </w:r>
                  <w:r>
                    <w:rPr>
                      <w:rFonts w:ascii="仿宋_GB2312" w:hAnsi="仿宋_GB2312" w:cs="仿宋_GB2312" w:eastAsia="仿宋_GB2312"/>
                      <w:sz w:val="24"/>
                    </w:rPr>
                    <w:t>≥</w:t>
                  </w:r>
                  <w:r>
                    <w:rPr>
                      <w:rFonts w:ascii="仿宋_GB2312" w:hAnsi="仿宋_GB2312" w:cs="仿宋_GB2312" w:eastAsia="仿宋_GB2312"/>
                      <w:sz w:val="24"/>
                    </w:rPr>
                    <w:t>15cm；高度6m</w:t>
                  </w:r>
                  <w:r>
                    <w:rPr>
                      <w:rFonts w:ascii="仿宋_GB2312" w:hAnsi="仿宋_GB2312" w:cs="仿宋_GB2312" w:eastAsia="仿宋_GB2312"/>
                      <w:sz w:val="24"/>
                    </w:rPr>
                    <w:t>—</w:t>
                  </w:r>
                  <w:r>
                    <w:rPr>
                      <w:rFonts w:ascii="仿宋_GB2312" w:hAnsi="仿宋_GB2312" w:cs="仿宋_GB2312" w:eastAsia="仿宋_GB2312"/>
                      <w:sz w:val="24"/>
                    </w:rPr>
                    <w:t>7m、冠幅1.2m</w:t>
                  </w:r>
                  <w:r>
                    <w:rPr>
                      <w:rFonts w:ascii="仿宋_GB2312" w:hAnsi="仿宋_GB2312" w:cs="仿宋_GB2312" w:eastAsia="仿宋_GB2312"/>
                      <w:sz w:val="24"/>
                    </w:rPr>
                    <w:t>—</w:t>
                  </w:r>
                  <w:r>
                    <w:rPr>
                      <w:rFonts w:ascii="仿宋_GB2312" w:hAnsi="仿宋_GB2312" w:cs="仿宋_GB2312" w:eastAsia="仿宋_GB2312"/>
                      <w:sz w:val="24"/>
                    </w:rPr>
                    <w:t>1.5m、分枝点1.5m</w:t>
                  </w:r>
                  <w:r>
                    <w:rPr>
                      <w:rFonts w:ascii="仿宋_GB2312" w:hAnsi="仿宋_GB2312" w:cs="仿宋_GB2312" w:eastAsia="仿宋_GB2312"/>
                      <w:sz w:val="24"/>
                    </w:rPr>
                    <w:t>—</w:t>
                  </w:r>
                  <w:r>
                    <w:rPr>
                      <w:rFonts w:ascii="仿宋_GB2312" w:hAnsi="仿宋_GB2312" w:cs="仿宋_GB2312" w:eastAsia="仿宋_GB2312"/>
                      <w:sz w:val="24"/>
                    </w:rPr>
                    <w:t>1.8m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栽植乔木小叶香樟</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w:t>
                  </w:r>
                  <w:r>
                    <w:rPr>
                      <w:rFonts w:ascii="仿宋_GB2312" w:hAnsi="仿宋_GB2312" w:cs="仿宋_GB2312" w:eastAsia="仿宋_GB2312"/>
                      <w:sz w:val="24"/>
                    </w:rPr>
                    <w:t>小叶香樟米径</w:t>
                  </w:r>
                  <w:r>
                    <w:rPr>
                      <w:rFonts w:ascii="仿宋_GB2312" w:hAnsi="仿宋_GB2312" w:cs="仿宋_GB2312" w:eastAsia="仿宋_GB2312"/>
                      <w:sz w:val="24"/>
                    </w:rPr>
                    <w:t>≥</w:t>
                  </w:r>
                  <w:r>
                    <w:rPr>
                      <w:rFonts w:ascii="仿宋_GB2312" w:hAnsi="仿宋_GB2312" w:cs="仿宋_GB2312" w:eastAsia="仿宋_GB2312"/>
                      <w:sz w:val="24"/>
                    </w:rPr>
                    <w:t>20cm</w:t>
                  </w:r>
                  <w:r>
                    <w:rPr>
                      <w:rFonts w:ascii="仿宋_GB2312" w:hAnsi="仿宋_GB2312" w:cs="仿宋_GB2312" w:eastAsia="仿宋_GB2312"/>
                      <w:sz w:val="24"/>
                    </w:rPr>
                    <w:t>—</w:t>
                  </w:r>
                  <w:r>
                    <w:rPr>
                      <w:rFonts w:ascii="仿宋_GB2312" w:hAnsi="仿宋_GB2312" w:cs="仿宋_GB2312" w:eastAsia="仿宋_GB2312"/>
                      <w:sz w:val="24"/>
                    </w:rPr>
                    <w:t>22cm；高度6m</w:t>
                  </w:r>
                  <w:r>
                    <w:rPr>
                      <w:rFonts w:ascii="仿宋_GB2312" w:hAnsi="仿宋_GB2312" w:cs="仿宋_GB2312" w:eastAsia="仿宋_GB2312"/>
                      <w:sz w:val="24"/>
                    </w:rPr>
                    <w:t>—</w:t>
                  </w:r>
                  <w:r>
                    <w:rPr>
                      <w:rFonts w:ascii="仿宋_GB2312" w:hAnsi="仿宋_GB2312" w:cs="仿宋_GB2312" w:eastAsia="仿宋_GB2312"/>
                      <w:sz w:val="24"/>
                    </w:rPr>
                    <w:t>7m、冠幅3.5m</w:t>
                  </w:r>
                  <w:r>
                    <w:rPr>
                      <w:rFonts w:ascii="仿宋_GB2312" w:hAnsi="仿宋_GB2312" w:cs="仿宋_GB2312" w:eastAsia="仿宋_GB2312"/>
                      <w:sz w:val="24"/>
                    </w:rPr>
                    <w:t>—</w:t>
                  </w:r>
                  <w:r>
                    <w:rPr>
                      <w:rFonts w:ascii="仿宋_GB2312" w:hAnsi="仿宋_GB2312" w:cs="仿宋_GB2312" w:eastAsia="仿宋_GB2312"/>
                      <w:sz w:val="24"/>
                    </w:rPr>
                    <w:t>4m、分枝点2m</w:t>
                  </w:r>
                  <w:r>
                    <w:rPr>
                      <w:rFonts w:ascii="仿宋_GB2312" w:hAnsi="仿宋_GB2312" w:cs="仿宋_GB2312" w:eastAsia="仿宋_GB2312"/>
                      <w:sz w:val="24"/>
                    </w:rPr>
                    <w:t>—</w:t>
                  </w:r>
                  <w:r>
                    <w:rPr>
                      <w:rFonts w:ascii="仿宋_GB2312" w:hAnsi="仿宋_GB2312" w:cs="仿宋_GB2312" w:eastAsia="仿宋_GB2312"/>
                      <w:sz w:val="24"/>
                    </w:rPr>
                    <w:t>2.2m</w:t>
                  </w:r>
                  <w:r>
                    <w:rPr>
                      <w:rFonts w:ascii="仿宋_GB2312" w:hAnsi="仿宋_GB2312" w:cs="仿宋_GB2312" w:eastAsia="仿宋_GB2312"/>
                      <w:sz w:val="24"/>
                    </w:rPr>
                    <w:t>；养护期：</w:t>
                  </w:r>
                  <w:r>
                    <w:rPr>
                      <w:rFonts w:ascii="仿宋_GB2312" w:hAnsi="仿宋_GB2312" w:cs="仿宋_GB2312" w:eastAsia="仿宋_GB2312"/>
                      <w:sz w:val="24"/>
                    </w:rPr>
                    <w:t>≥12个月</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株</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r>
            <w:tr>
              <w:tc>
                <w:tcPr>
                  <w:tcW w:type="dxa" w:w="3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7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种植土回填</w:t>
                  </w:r>
                </w:p>
              </w:tc>
              <w:tc>
                <w:tcPr>
                  <w:tcW w:type="dxa" w:w="35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1.对服务范围内部分进行</w:t>
                  </w:r>
                  <w:r>
                    <w:rPr>
                      <w:rFonts w:ascii="仿宋_GB2312" w:hAnsi="仿宋_GB2312" w:cs="仿宋_GB2312" w:eastAsia="仿宋_GB2312"/>
                      <w:sz w:val="24"/>
                    </w:rPr>
                    <w:t>种植土回填</w:t>
                  </w:r>
                  <w:r>
                    <w:rPr>
                      <w:rFonts w:ascii="仿宋_GB2312" w:hAnsi="仿宋_GB2312" w:cs="仿宋_GB2312" w:eastAsia="仿宋_GB2312"/>
                      <w:sz w:val="24"/>
                    </w:rPr>
                    <w:t>。</w:t>
                  </w:r>
                </w:p>
              </w:tc>
              <w:tc>
                <w:tcPr>
                  <w:tcW w:type="dxa" w:w="3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6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1371.2</w:t>
                  </w:r>
                </w:p>
              </w:tc>
            </w:tr>
          </w:tbl>
          <w:p>
            <w:pPr>
              <w:pStyle w:val="null3"/>
              <w:jc w:val="both"/>
            </w:pPr>
            <w:r>
              <w:rPr>
                <w:rFonts w:ascii="仿宋_GB2312" w:hAnsi="仿宋_GB2312" w:cs="仿宋_GB2312" w:eastAsia="仿宋_GB2312"/>
                <w:sz w:val="24"/>
              </w:rPr>
              <w:t>5.★提交成果要求</w:t>
            </w:r>
          </w:p>
          <w:p>
            <w:pPr>
              <w:pStyle w:val="null3"/>
              <w:jc w:val="both"/>
            </w:pPr>
            <w:r>
              <w:rPr>
                <w:rFonts w:ascii="仿宋_GB2312" w:hAnsi="仿宋_GB2312" w:cs="仿宋_GB2312" w:eastAsia="仿宋_GB2312"/>
                <w:sz w:val="24"/>
              </w:rPr>
              <w:t xml:space="preserve">  中标（成交）供应商在采购人要求的时限内应提供生态修复服务，并出具相对应项目的生态修复服务报告及采购人要求的其他服务成果文件和工作资料，生态修复服务报告应当包括纸质和电子两种文件（其中，纸质文件</w:t>
            </w:r>
            <w:r>
              <w:rPr>
                <w:rFonts w:ascii="仿宋_GB2312" w:hAnsi="仿宋_GB2312" w:cs="仿宋_GB2312" w:eastAsia="仿宋_GB2312"/>
                <w:sz w:val="24"/>
              </w:rPr>
              <w:t>4份，电子文件1份），格式为WORD、JPG、PDF 、专业软件（正版）完成，包括但不限于以下资料：</w:t>
            </w:r>
          </w:p>
          <w:p>
            <w:pPr>
              <w:pStyle w:val="null3"/>
              <w:jc w:val="both"/>
            </w:pPr>
            <w:r>
              <w:rPr>
                <w:rFonts w:ascii="仿宋_GB2312" w:hAnsi="仿宋_GB2312" w:cs="仿宋_GB2312" w:eastAsia="仿宋_GB2312"/>
                <w:sz w:val="24"/>
              </w:rPr>
              <w:t>(1)生态修复服务安装调试（验收）报告；</w:t>
            </w:r>
          </w:p>
          <w:p>
            <w:pPr>
              <w:pStyle w:val="null3"/>
              <w:jc w:val="both"/>
            </w:pPr>
            <w:r>
              <w:rPr>
                <w:rFonts w:ascii="仿宋_GB2312" w:hAnsi="仿宋_GB2312" w:cs="仿宋_GB2312" w:eastAsia="仿宋_GB2312"/>
                <w:sz w:val="24"/>
              </w:rPr>
              <w:t>(2)形成结果报告的实施方案、过程记录、日志、月报、影像资料、工作底稿（书面纸质文档）等；</w:t>
            </w:r>
          </w:p>
          <w:p>
            <w:pPr>
              <w:pStyle w:val="null3"/>
              <w:jc w:val="both"/>
            </w:pPr>
            <w:r>
              <w:rPr>
                <w:rFonts w:ascii="仿宋_GB2312" w:hAnsi="仿宋_GB2312" w:cs="仿宋_GB2312" w:eastAsia="仿宋_GB2312"/>
                <w:sz w:val="24"/>
              </w:rPr>
              <w:t>(3)法律法规或采购人要求提供的其他资料。</w:t>
            </w:r>
          </w:p>
          <w:p>
            <w:pPr>
              <w:pStyle w:val="null3"/>
              <w:jc w:val="both"/>
            </w:pPr>
            <w:r>
              <w:rPr>
                <w:rFonts w:ascii="仿宋_GB2312" w:hAnsi="仿宋_GB2312" w:cs="仿宋_GB2312" w:eastAsia="仿宋_GB2312"/>
                <w:sz w:val="24"/>
              </w:rPr>
              <w:t>6.★质量标准要求</w:t>
            </w:r>
          </w:p>
          <w:p>
            <w:pPr>
              <w:pStyle w:val="null3"/>
              <w:jc w:val="both"/>
            </w:pPr>
            <w:r>
              <w:rPr>
                <w:rFonts w:ascii="仿宋_GB2312" w:hAnsi="仿宋_GB2312" w:cs="仿宋_GB2312" w:eastAsia="仿宋_GB2312"/>
                <w:sz w:val="24"/>
              </w:rPr>
              <w:t>(1)服务质量标准按国家现行质量标准规范执行；</w:t>
            </w:r>
          </w:p>
          <w:p>
            <w:pPr>
              <w:pStyle w:val="null3"/>
              <w:jc w:val="both"/>
            </w:pPr>
            <w:r>
              <w:rPr>
                <w:rFonts w:ascii="仿宋_GB2312" w:hAnsi="仿宋_GB2312" w:cs="仿宋_GB2312" w:eastAsia="仿宋_GB2312"/>
                <w:sz w:val="24"/>
              </w:rPr>
              <w:t>注：中标（成交）供应商提供的全部服务不仅须满足以上列明的有关规定，还应满足上述未列明的其他有关法律法规、标准、规定、规范性文件要求。有关法律、法规、标准、规定、规范性文件如有更新时，按最新要求执行。</w:t>
            </w:r>
          </w:p>
          <w:p>
            <w:pPr>
              <w:pStyle w:val="null3"/>
              <w:jc w:val="both"/>
            </w:pPr>
            <w:r>
              <w:rPr>
                <w:rFonts w:ascii="仿宋_GB2312" w:hAnsi="仿宋_GB2312" w:cs="仿宋_GB2312" w:eastAsia="仿宋_GB2312"/>
                <w:sz w:val="24"/>
              </w:rPr>
              <w:t>7.整合能力要求</w:t>
            </w:r>
          </w:p>
          <w:p>
            <w:pPr>
              <w:pStyle w:val="null3"/>
              <w:jc w:val="both"/>
            </w:pPr>
            <w:r>
              <w:rPr>
                <w:rFonts w:ascii="仿宋_GB2312" w:hAnsi="仿宋_GB2312" w:cs="仿宋_GB2312" w:eastAsia="仿宋_GB2312"/>
                <w:sz w:val="24"/>
              </w:rPr>
              <w:t>供应商在成交后</w:t>
            </w:r>
            <w:r>
              <w:rPr>
                <w:rFonts w:ascii="仿宋_GB2312" w:hAnsi="仿宋_GB2312" w:cs="仿宋_GB2312" w:eastAsia="仿宋_GB2312"/>
                <w:sz w:val="24"/>
              </w:rPr>
              <w:t>5个工作日内完成相应的服务规划，对本项目所涉及的服务进行整合统筹。</w:t>
            </w:r>
          </w:p>
          <w:p>
            <w:pPr>
              <w:pStyle w:val="null3"/>
              <w:jc w:val="both"/>
            </w:pPr>
            <w:r>
              <w:rPr>
                <w:rFonts w:ascii="仿宋_GB2312" w:hAnsi="仿宋_GB2312" w:cs="仿宋_GB2312" w:eastAsia="仿宋_GB2312"/>
                <w:sz w:val="24"/>
              </w:rPr>
              <w:t>8.★服务管理要求</w:t>
            </w:r>
          </w:p>
          <w:p>
            <w:pPr>
              <w:pStyle w:val="null3"/>
              <w:jc w:val="both"/>
            </w:pPr>
            <w:r>
              <w:rPr>
                <w:rFonts w:ascii="仿宋_GB2312" w:hAnsi="仿宋_GB2312" w:cs="仿宋_GB2312" w:eastAsia="仿宋_GB2312"/>
                <w:sz w:val="24"/>
              </w:rPr>
              <w:t>供应商须承诺签订合同前需向采购人提供人员证明并对相关资质的真实性负责。（单独提供承诺函，格式自拟）</w:t>
            </w:r>
          </w:p>
          <w:p>
            <w:pPr>
              <w:pStyle w:val="null3"/>
              <w:jc w:val="both"/>
            </w:pPr>
            <w:r>
              <w:rPr>
                <w:rFonts w:ascii="仿宋_GB2312" w:hAnsi="仿宋_GB2312" w:cs="仿宋_GB2312" w:eastAsia="仿宋_GB2312"/>
                <w:sz w:val="24"/>
              </w:rPr>
              <w:t>9.服务工作机制要求</w:t>
            </w:r>
          </w:p>
          <w:p>
            <w:pPr>
              <w:pStyle w:val="null3"/>
              <w:jc w:val="both"/>
            </w:pPr>
            <w:r>
              <w:rPr>
                <w:rFonts w:ascii="仿宋_GB2312" w:hAnsi="仿宋_GB2312" w:cs="仿宋_GB2312" w:eastAsia="仿宋_GB2312"/>
                <w:sz w:val="24"/>
              </w:rPr>
              <w:t>建立定期沟通制度：中标（成交）供应商定期（具体按照采购人有关要求执行）将工作情况进行汇报。内容主要包括：工作进度、发现的问题、遇到的困难及需要协调的事项等。</w:t>
            </w:r>
          </w:p>
          <w:p>
            <w:pPr>
              <w:pStyle w:val="null3"/>
              <w:jc w:val="both"/>
            </w:pPr>
            <w:r>
              <w:rPr>
                <w:rFonts w:ascii="仿宋_GB2312" w:hAnsi="仿宋_GB2312" w:cs="仿宋_GB2312" w:eastAsia="仿宋_GB2312"/>
                <w:sz w:val="24"/>
              </w:rPr>
              <w:t>10.★服务团队要求</w:t>
            </w:r>
          </w:p>
          <w:p>
            <w:pPr>
              <w:pStyle w:val="null3"/>
              <w:jc w:val="both"/>
            </w:pPr>
            <w:r>
              <w:rPr>
                <w:rFonts w:ascii="仿宋_GB2312" w:hAnsi="仿宋_GB2312" w:cs="仿宋_GB2312" w:eastAsia="仿宋_GB2312"/>
                <w:sz w:val="24"/>
              </w:rPr>
              <w:t>在合同签订前向采购人提交服务团队的身份信息和联系方式，在本项目运行维护项目服务期间，中标（成交）供应商若需换本项目的服务团队中的人员，应提前征得采购人同意，并将拟更换人员的身份信息、联系方式等资料提交采购人备案，且更换后的人员条件不得低于采购文件要求。</w:t>
            </w:r>
          </w:p>
          <w:p>
            <w:pPr>
              <w:pStyle w:val="null3"/>
              <w:jc w:val="both"/>
            </w:pPr>
            <w:r>
              <w:rPr>
                <w:rFonts w:ascii="仿宋_GB2312" w:hAnsi="仿宋_GB2312" w:cs="仿宋_GB2312" w:eastAsia="仿宋_GB2312"/>
                <w:sz w:val="24"/>
              </w:rPr>
              <w:t>11.服务响应要求</w:t>
            </w:r>
          </w:p>
          <w:p>
            <w:pPr>
              <w:pStyle w:val="null3"/>
              <w:jc w:val="both"/>
            </w:pPr>
            <w:r>
              <w:rPr>
                <w:rFonts w:ascii="仿宋_GB2312" w:hAnsi="仿宋_GB2312" w:cs="仿宋_GB2312" w:eastAsia="仿宋_GB2312"/>
                <w:sz w:val="24"/>
              </w:rPr>
              <w:t>(1)中标（成交）供应商在服务期内须派项目管理机构常驻项目现场开展生态修复服务。</w:t>
            </w:r>
          </w:p>
          <w:p>
            <w:pPr>
              <w:pStyle w:val="null3"/>
              <w:jc w:val="both"/>
            </w:pPr>
            <w:r>
              <w:rPr>
                <w:rFonts w:ascii="仿宋_GB2312" w:hAnsi="仿宋_GB2312" w:cs="仿宋_GB2312" w:eastAsia="仿宋_GB2312"/>
                <w:sz w:val="24"/>
              </w:rPr>
              <w:t>(2)中标（成交）供应商在服务期内接到采购人电话通知后，在30分钟内进行响应，2小时内指派专业人员到达服务任务点。</w:t>
            </w:r>
          </w:p>
          <w:p>
            <w:pPr>
              <w:pStyle w:val="null3"/>
              <w:jc w:val="both"/>
            </w:pPr>
            <w:r>
              <w:rPr>
                <w:rFonts w:ascii="仿宋_GB2312" w:hAnsi="仿宋_GB2312" w:cs="仿宋_GB2312" w:eastAsia="仿宋_GB2312"/>
                <w:sz w:val="24"/>
              </w:rPr>
              <w:t>(3)在生态修复服务实施期间，提供必要的技术咨询服务，协助采购人单位实施过程中出现的问题。</w:t>
            </w:r>
          </w:p>
          <w:p>
            <w:pPr>
              <w:pStyle w:val="null3"/>
              <w:jc w:val="both"/>
            </w:pPr>
            <w:r>
              <w:rPr>
                <w:rFonts w:ascii="仿宋_GB2312" w:hAnsi="仿宋_GB2312" w:cs="仿宋_GB2312" w:eastAsia="仿宋_GB2312"/>
                <w:sz w:val="24"/>
              </w:rPr>
              <w:t>12.★抗风险能力要求</w:t>
            </w:r>
          </w:p>
          <w:p>
            <w:pPr>
              <w:pStyle w:val="null3"/>
              <w:jc w:val="both"/>
            </w:pPr>
            <w:r>
              <w:rPr>
                <w:rFonts w:ascii="仿宋_GB2312" w:hAnsi="仿宋_GB2312" w:cs="仿宋_GB2312" w:eastAsia="仿宋_GB2312"/>
                <w:sz w:val="24"/>
              </w:rPr>
              <w:t>(1)供应商针对本项目生态修复服务及相关工作服务过程中因各种因素引发的纠纷事件，在履约期间需有明确的处置流程，具备一定的责任承担能力；如遇自然灾害等不利因素影响导致服务出现困难，由供应商自行承担风险。</w:t>
            </w:r>
          </w:p>
          <w:p>
            <w:pPr>
              <w:pStyle w:val="null3"/>
              <w:jc w:val="both"/>
            </w:pPr>
            <w:r>
              <w:rPr>
                <w:rFonts w:ascii="仿宋_GB2312" w:hAnsi="仿宋_GB2312" w:cs="仿宋_GB2312" w:eastAsia="仿宋_GB2312"/>
                <w:sz w:val="24"/>
              </w:rPr>
              <w:t>(2)如相关政策进行调整或修改、废除，采购人则根据政策要求进行对应的调整或修改、废除。（如自然灾害、政府相关政策调整或其它影响本项目的因素）</w:t>
            </w:r>
          </w:p>
          <w:p>
            <w:pPr>
              <w:pStyle w:val="null3"/>
              <w:jc w:val="both"/>
            </w:pPr>
            <w:r>
              <w:rPr>
                <w:rFonts w:ascii="仿宋_GB2312" w:hAnsi="仿宋_GB2312" w:cs="仿宋_GB2312" w:eastAsia="仿宋_GB2312"/>
                <w:sz w:val="24"/>
              </w:rPr>
              <w:t>(3)若因政策调整、计划变更或不具备工作条件等非采购人原因导致生态修复服务的相关工作服务无法实施的，采购人有权根据工作需要提前协商解除本合同，但不视作违约；若该项目部分服务无法实施，以实际实施内容支付服务费用。</w:t>
            </w:r>
          </w:p>
          <w:p>
            <w:pPr>
              <w:pStyle w:val="null3"/>
              <w:jc w:val="both"/>
            </w:pPr>
            <w:r>
              <w:rPr>
                <w:rFonts w:ascii="仿宋_GB2312" w:hAnsi="仿宋_GB2312" w:cs="仿宋_GB2312" w:eastAsia="仿宋_GB2312"/>
                <w:sz w:val="24"/>
              </w:rPr>
              <w:t>13.★服务考核标准（实质性要求)</w:t>
            </w:r>
          </w:p>
          <w:p>
            <w:pPr>
              <w:pStyle w:val="null3"/>
              <w:jc w:val="both"/>
            </w:pPr>
            <w:r>
              <w:rPr>
                <w:rFonts w:ascii="仿宋_GB2312" w:hAnsi="仿宋_GB2312" w:cs="仿宋_GB2312" w:eastAsia="仿宋_GB2312"/>
                <w:sz w:val="24"/>
              </w:rPr>
              <w:t>采购人对中标（成交）供应商进行</w:t>
            </w:r>
            <w:r>
              <w:rPr>
                <w:rFonts w:ascii="仿宋_GB2312" w:hAnsi="仿宋_GB2312" w:cs="仿宋_GB2312" w:eastAsia="仿宋_GB2312"/>
                <w:sz w:val="24"/>
              </w:rPr>
              <w:t>≥1次的服务质量考核，考核由采购人拟派出不低于3名的考核小组及不低于供应商2名负责人共同参加。</w:t>
            </w:r>
          </w:p>
          <w:tbl>
            <w:tblPr>
              <w:tblBorders>
                <w:top w:val="none" w:color="000000" w:sz="4"/>
                <w:left w:val="none" w:color="000000" w:sz="4"/>
                <w:bottom w:val="none" w:color="000000" w:sz="4"/>
                <w:right w:val="none" w:color="000000" w:sz="4"/>
                <w:insideH w:val="none"/>
                <w:insideV w:val="none"/>
              </w:tblBorders>
            </w:tblPr>
            <w:tblGrid>
              <w:gridCol w:w="312"/>
              <w:gridCol w:w="535"/>
              <w:gridCol w:w="872"/>
              <w:gridCol w:w="3111"/>
              <w:gridCol w:w="452"/>
              <w:gridCol w:w="304"/>
            </w:tblGrid>
            <w:tr>
              <w:tc>
                <w:tcPr>
                  <w:tcW w:type="dxa" w:w="5586"/>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项目名称：</w:t>
                  </w:r>
                </w:p>
              </w:tc>
            </w:tr>
            <w:tr>
              <w:tc>
                <w:tcPr>
                  <w:tcW w:type="dxa" w:w="171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采购人名称（盖章）：</w:t>
                  </w:r>
                </w:p>
              </w:tc>
              <w:tc>
                <w:tcPr>
                  <w:tcW w:type="dxa" w:w="386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中标（成交）供应商名称（盖章）：</w:t>
                  </w:r>
                </w:p>
              </w:tc>
            </w:tr>
            <w:tr>
              <w:tc>
                <w:tcPr>
                  <w:tcW w:type="dxa" w:w="171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考核小组（签字或者加盖个人名章）：</w:t>
                  </w:r>
                </w:p>
              </w:tc>
              <w:tc>
                <w:tcPr>
                  <w:tcW w:type="dxa" w:w="386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项目负责人（签字或者加盖个人名章）：</w:t>
                  </w:r>
                </w:p>
              </w:tc>
            </w:tr>
            <w:tr>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5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内容</w:t>
                  </w:r>
                </w:p>
              </w:tc>
              <w:tc>
                <w:tcPr>
                  <w:tcW w:type="dxa" w:w="8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考核指标</w:t>
                  </w:r>
                </w:p>
              </w:tc>
              <w:tc>
                <w:tcPr>
                  <w:tcW w:type="dxa" w:w="3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考核标准</w:t>
                  </w:r>
                </w:p>
              </w:tc>
              <w:tc>
                <w:tcPr>
                  <w:tcW w:type="dxa" w:w="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得分</w:t>
                  </w: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备注</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after="120"/>
                    <w:jc w:val="center"/>
                  </w:pPr>
                  <w:r>
                    <w:rPr>
                      <w:rFonts w:ascii="仿宋_GB2312" w:hAnsi="仿宋_GB2312" w:cs="仿宋_GB2312" w:eastAsia="仿宋_GB2312"/>
                      <w:sz w:val="24"/>
                    </w:rPr>
                    <w:t>1</w:t>
                  </w:r>
                </w:p>
              </w:tc>
              <w:tc>
                <w:tcPr>
                  <w:tcW w:type="dxa" w:w="5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after="120"/>
                    <w:jc w:val="center"/>
                  </w:pPr>
                  <w:r>
                    <w:rPr>
                      <w:rFonts w:ascii="仿宋_GB2312" w:hAnsi="仿宋_GB2312" w:cs="仿宋_GB2312" w:eastAsia="仿宋_GB2312"/>
                      <w:sz w:val="24"/>
                    </w:rPr>
                    <w:t>生态修复服务</w:t>
                  </w:r>
                </w:p>
              </w:tc>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after="120"/>
                    <w:jc w:val="center"/>
                  </w:pPr>
                  <w:r>
                    <w:rPr>
                      <w:rFonts w:ascii="仿宋_GB2312" w:hAnsi="仿宋_GB2312" w:cs="仿宋_GB2312" w:eastAsia="仿宋_GB2312"/>
                      <w:sz w:val="24"/>
                    </w:rPr>
                    <w:t>河道清淤疏浚</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1.清淤范围全覆盖指定区域，遗漏1处扣5分；</w:t>
                  </w:r>
                </w:p>
                <w:p>
                  <w:pPr>
                    <w:pStyle w:val="null3"/>
                    <w:jc w:val="left"/>
                  </w:pPr>
                  <w:r>
                    <w:rPr>
                      <w:rFonts w:ascii="仿宋_GB2312" w:hAnsi="仿宋_GB2312" w:cs="仿宋_GB2312" w:eastAsia="仿宋_GB2312"/>
                      <w:sz w:val="24"/>
                    </w:rPr>
                    <w:t>2.清淤后淤积残留厚度≤10cm，每超1cm扣</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淤泥处置</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淤泥脱水、无害化处置合格率</w:t>
                  </w:r>
                  <w:r>
                    <w:rPr>
                      <w:rFonts w:ascii="仿宋_GB2312" w:hAnsi="仿宋_GB2312" w:cs="仿宋_GB2312" w:eastAsia="仿宋_GB2312"/>
                      <w:sz w:val="24"/>
                    </w:rPr>
                    <w:t>100%，无随意堆放、倾倒现象，处置不合格1次扣</w:t>
                  </w:r>
                  <w:r>
                    <w:rPr>
                      <w:rFonts w:ascii="仿宋_GB2312" w:hAnsi="仿宋_GB2312" w:cs="仿宋_GB2312" w:eastAsia="仿宋_GB2312"/>
                      <w:sz w:val="24"/>
                    </w:rPr>
                    <w:t>2</w:t>
                  </w:r>
                  <w:r>
                    <w:rPr>
                      <w:rFonts w:ascii="仿宋_GB2312" w:hAnsi="仿宋_GB2312" w:cs="仿宋_GB2312" w:eastAsia="仿宋_GB2312"/>
                      <w:sz w:val="24"/>
                    </w:rPr>
                    <w:t>分，发现随意倾倒</w:t>
                  </w:r>
                  <w:r>
                    <w:rPr>
                      <w:rFonts w:ascii="仿宋_GB2312" w:hAnsi="仿宋_GB2312" w:cs="仿宋_GB2312" w:eastAsia="仿宋_GB2312"/>
                      <w:sz w:val="24"/>
                    </w:rPr>
                    <w:t>1次扣</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岸线整治</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1.岸坡坡度控制在1:2.5-1:3.0，不符合扣</w:t>
                  </w:r>
                  <w:r>
                    <w:rPr>
                      <w:rFonts w:ascii="仿宋_GB2312" w:hAnsi="仿宋_GB2312" w:cs="仿宋_GB2312" w:eastAsia="仿宋_GB2312"/>
                      <w:sz w:val="24"/>
                    </w:rPr>
                    <w:t>3</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2.岸线平整牢固、水土保持能力达标，存在破损、松动1处扣3分；</w:t>
                  </w:r>
                </w:p>
                <w:p>
                  <w:pPr>
                    <w:pStyle w:val="null3"/>
                    <w:jc w:val="left"/>
                  </w:pPr>
                  <w:r>
                    <w:rPr>
                      <w:rFonts w:ascii="仿宋_GB2312" w:hAnsi="仿宋_GB2312" w:cs="仿宋_GB2312" w:eastAsia="仿宋_GB2312"/>
                      <w:sz w:val="24"/>
                    </w:rPr>
                    <w:t>3.防护栏杆采用防腐材质、牢固耐用，不合格1处扣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场地清理</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1.清理范围全覆盖、深度≥10cm，遗漏1处或深度不足扣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2.清理后无杂物、无残留，有堆积1处扣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3.废弃物分类合规处置，处置不合格1次扣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4.提供清理前、中、后现场照片，缺失1组扣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水生植被恢复</w:t>
                  </w:r>
                  <w:r>
                    <w:rPr>
                      <w:rFonts w:ascii="仿宋_GB2312" w:hAnsi="仿宋_GB2312" w:cs="仿宋_GB2312" w:eastAsia="仿宋_GB2312"/>
                      <w:sz w:val="24"/>
                    </w:rPr>
                    <w:t>（</w:t>
                  </w:r>
                  <w:r>
                    <w:rPr>
                      <w:rFonts w:ascii="仿宋_GB2312" w:hAnsi="仿宋_GB2312" w:cs="仿宋_GB2312" w:eastAsia="仿宋_GB2312"/>
                      <w:sz w:val="24"/>
                    </w:rPr>
                    <w:t>6分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1.植被种类经采购方审核通过、无外来入侵物种，违规1种扣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2.种植规范、密度合理，成活率达标，成活率每低5%扣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3.无病虫害、生长健壮，病虫害发生率≥5%扣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配套设施</w:t>
                  </w:r>
                  <w:r>
                    <w:rPr>
                      <w:rFonts w:ascii="仿宋_GB2312" w:hAnsi="仿宋_GB2312" w:cs="仿宋_GB2312" w:eastAsia="仿宋_GB2312"/>
                      <w:sz w:val="24"/>
                    </w:rPr>
                    <w:t>（</w:t>
                  </w:r>
                  <w:r>
                    <w:rPr>
                      <w:rFonts w:ascii="仿宋_GB2312" w:hAnsi="仿宋_GB2312" w:cs="仿宋_GB2312" w:eastAsia="仿宋_GB2312"/>
                      <w:sz w:val="24"/>
                    </w:rPr>
                    <w:t>3分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下河梯步、</w:t>
                  </w:r>
                  <w:r>
                    <w:rPr>
                      <w:rFonts w:ascii="仿宋_GB2312" w:hAnsi="仿宋_GB2312" w:cs="仿宋_GB2312" w:eastAsia="仿宋_GB2312"/>
                      <w:sz w:val="24"/>
                    </w:rPr>
                    <w:t>栏杆</w:t>
                  </w:r>
                  <w:r>
                    <w:rPr>
                      <w:rFonts w:ascii="仿宋_GB2312" w:hAnsi="仿宋_GB2312" w:cs="仿宋_GB2312" w:eastAsia="仿宋_GB2312"/>
                      <w:sz w:val="24"/>
                    </w:rPr>
                    <w:t>等配套设施安装合格，服务合格率</w:t>
                  </w:r>
                  <w:r>
                    <w:rPr>
                      <w:rFonts w:ascii="仿宋_GB2312" w:hAnsi="仿宋_GB2312" w:cs="仿宋_GB2312" w:eastAsia="仿宋_GB2312"/>
                      <w:sz w:val="24"/>
                    </w:rPr>
                    <w:t>100%，不合格1处扣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生态修复区动态监测服务</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前期勘查</w:t>
                  </w:r>
                  <w:r>
                    <w:rPr>
                      <w:rFonts w:ascii="仿宋_GB2312" w:hAnsi="仿宋_GB2312" w:cs="仿宋_GB2312" w:eastAsia="仿宋_GB2312"/>
                      <w:sz w:val="24"/>
                    </w:rPr>
                    <w:t>（</w:t>
                  </w:r>
                  <w:r>
                    <w:rPr>
                      <w:rFonts w:ascii="仿宋_GB2312" w:hAnsi="仿宋_GB2312" w:cs="仿宋_GB2312" w:eastAsia="仿宋_GB2312"/>
                      <w:sz w:val="24"/>
                    </w:rPr>
                    <w:t>3分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组建专业勘查团队，完成地形测量、地下管线探测、污水排放点定位，明确管网走向，勘查不全面、数据不准确扣</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硬件设施</w:t>
                  </w:r>
                  <w:r>
                    <w:rPr>
                      <w:rFonts w:ascii="仿宋_GB2312" w:hAnsi="仿宋_GB2312" w:cs="仿宋_GB2312" w:eastAsia="仿宋_GB2312"/>
                      <w:sz w:val="24"/>
                    </w:rPr>
                    <w:t>（</w:t>
                  </w:r>
                  <w:r>
                    <w:rPr>
                      <w:rFonts w:ascii="仿宋_GB2312" w:hAnsi="仿宋_GB2312" w:cs="仿宋_GB2312" w:eastAsia="仿宋_GB2312"/>
                      <w:sz w:val="24"/>
                    </w:rPr>
                    <w:t>4分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1.组合式立杆适配现场、耐腐蚀抗老化，基础牢固，存在问题1处扣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2.监测设备符合国家标准、性能稳定，不合格1台扣2分；</w:t>
                  </w:r>
                </w:p>
                <w:p>
                  <w:pPr>
                    <w:pStyle w:val="null3"/>
                    <w:jc w:val="left"/>
                  </w:pPr>
                  <w:r>
                    <w:rPr>
                      <w:rFonts w:ascii="仿宋_GB2312" w:hAnsi="仿宋_GB2312" w:cs="仿宋_GB2312" w:eastAsia="仿宋_GB2312"/>
                      <w:sz w:val="24"/>
                    </w:rPr>
                    <w:t>3.监测无盲区，发现盲区1处扣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监测指标</w:t>
                  </w:r>
                  <w:r>
                    <w:rPr>
                      <w:rFonts w:ascii="仿宋_GB2312" w:hAnsi="仿宋_GB2312" w:cs="仿宋_GB2312" w:eastAsia="仿宋_GB2312"/>
                      <w:sz w:val="24"/>
                    </w:rPr>
                    <w:t>（</w:t>
                  </w:r>
                  <w:r>
                    <w:rPr>
                      <w:rFonts w:ascii="仿宋_GB2312" w:hAnsi="仿宋_GB2312" w:cs="仿宋_GB2312" w:eastAsia="仿宋_GB2312"/>
                      <w:sz w:val="24"/>
                    </w:rPr>
                    <w:t>5分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1.按时采集生态、环境、安全三类指标，缺失1类扣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2.数据传输延迟≤10分钟、采集成功率≥99%，延迟</w:t>
                  </w:r>
                  <w:r>
                    <w:rPr>
                      <w:rFonts w:ascii="仿宋_GB2312" w:hAnsi="仿宋_GB2312" w:cs="仿宋_GB2312" w:eastAsia="仿宋_GB2312"/>
                      <w:sz w:val="24"/>
                    </w:rPr>
                    <w:t>超过</w:t>
                  </w:r>
                  <w:r>
                    <w:rPr>
                      <w:rFonts w:ascii="仿宋_GB2312" w:hAnsi="仿宋_GB2312" w:cs="仿宋_GB2312" w:eastAsia="仿宋_GB2312"/>
                      <w:sz w:val="24"/>
                    </w:rPr>
                    <w:t>1次或成功率每低1%扣2分；</w:t>
                  </w:r>
                </w:p>
                <w:p>
                  <w:pPr>
                    <w:pStyle w:val="null3"/>
                    <w:jc w:val="left"/>
                  </w:pPr>
                  <w:r>
                    <w:rPr>
                      <w:rFonts w:ascii="仿宋_GB2312" w:hAnsi="仿宋_GB2312" w:cs="仿宋_GB2312" w:eastAsia="仿宋_GB2312"/>
                      <w:sz w:val="24"/>
                    </w:rPr>
                    <w:t>3.数据实时上传，未上传1次扣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系统搭建</w:t>
                  </w:r>
                  <w:r>
                    <w:rPr>
                      <w:rFonts w:ascii="仿宋_GB2312" w:hAnsi="仿宋_GB2312" w:cs="仿宋_GB2312" w:eastAsia="仿宋_GB2312"/>
                      <w:sz w:val="24"/>
                    </w:rPr>
                    <w:t>（</w:t>
                  </w:r>
                  <w:r>
                    <w:rPr>
                      <w:rFonts w:ascii="仿宋_GB2312" w:hAnsi="仿宋_GB2312" w:cs="仿宋_GB2312" w:eastAsia="仿宋_GB2312"/>
                      <w:sz w:val="24"/>
                    </w:rPr>
                    <w:t>5分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1.综合管理系统功能完善，支持多端登录、巡护、数据分析、预警等功能，缺失1项功能扣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2.预警响应时间≤30分钟，2小时内提交处置方案，每超1小时扣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3.报表自动生成，未生成1次扣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数据传输与存储</w:t>
                  </w:r>
                  <w:r>
                    <w:rPr>
                      <w:rFonts w:ascii="仿宋_GB2312" w:hAnsi="仿宋_GB2312" w:cs="仿宋_GB2312" w:eastAsia="仿宋_GB2312"/>
                      <w:sz w:val="24"/>
                    </w:rPr>
                    <w:t>（</w:t>
                  </w:r>
                  <w:r>
                    <w:rPr>
                      <w:rFonts w:ascii="仿宋_GB2312" w:hAnsi="仿宋_GB2312" w:cs="仿宋_GB2312" w:eastAsia="仿宋_GB2312"/>
                      <w:sz w:val="24"/>
                    </w:rPr>
                    <w:t>4分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1.无公网区域数据稳定传输，出现中断1次扣</w:t>
                  </w:r>
                  <w:r>
                    <w:rPr>
                      <w:rFonts w:ascii="仿宋_GB2312" w:hAnsi="仿宋_GB2312" w:cs="仿宋_GB2312" w:eastAsia="仿宋_GB2312"/>
                      <w:sz w:val="24"/>
                    </w:rPr>
                    <w:t>1</w:t>
                  </w:r>
                  <w:r>
                    <w:rPr>
                      <w:rFonts w:ascii="仿宋_GB2312" w:hAnsi="仿宋_GB2312" w:cs="仿宋_GB2312" w:eastAsia="仿宋_GB2312"/>
                      <w:sz w:val="24"/>
                    </w:rPr>
                    <w:t>分；</w:t>
                  </w:r>
                  <w:r>
                    <w:rPr>
                      <w:rFonts w:ascii="仿宋_GB2312" w:hAnsi="仿宋_GB2312" w:cs="仿宋_GB2312" w:eastAsia="仿宋_GB2312"/>
                      <w:sz w:val="24"/>
                    </w:rPr>
                    <w:t>2.数据加密存储、备份完整，未达标扣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3.支持远程操控，无法操控1次扣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设备安装与调试</w:t>
                  </w:r>
                  <w:r>
                    <w:rPr>
                      <w:rFonts w:ascii="仿宋_GB2312" w:hAnsi="仿宋_GB2312" w:cs="仿宋_GB2312" w:eastAsia="仿宋_GB2312"/>
                      <w:sz w:val="24"/>
                    </w:rPr>
                    <w:t>（</w:t>
                  </w:r>
                  <w:r>
                    <w:rPr>
                      <w:rFonts w:ascii="仿宋_GB2312" w:hAnsi="仿宋_GB2312" w:cs="仿宋_GB2312" w:eastAsia="仿宋_GB2312"/>
                      <w:sz w:val="24"/>
                    </w:rPr>
                    <w:t>2分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1.设备安装规范、无安全隐患，不合格1处扣</w:t>
                  </w:r>
                  <w:r>
                    <w:rPr>
                      <w:rFonts w:ascii="仿宋_GB2312" w:hAnsi="仿宋_GB2312" w:cs="仿宋_GB2312" w:eastAsia="仿宋_GB2312"/>
                      <w:sz w:val="24"/>
                    </w:rPr>
                    <w:t>1</w:t>
                  </w:r>
                  <w:r>
                    <w:rPr>
                      <w:rFonts w:ascii="仿宋_GB2312" w:hAnsi="仿宋_GB2312" w:cs="仿宋_GB2312" w:eastAsia="仿宋_GB2312"/>
                      <w:sz w:val="24"/>
                    </w:rPr>
                    <w:t>分；</w:t>
                  </w:r>
                  <w:r>
                    <w:rPr>
                      <w:rFonts w:ascii="仿宋_GB2312" w:hAnsi="仿宋_GB2312" w:cs="仿宋_GB2312" w:eastAsia="仿宋_GB2312"/>
                      <w:sz w:val="24"/>
                    </w:rPr>
                    <w:t>2.完成全面调试，调试合格率100%，未调试或不合格扣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操作培训</w:t>
                  </w:r>
                  <w:r>
                    <w:rPr>
                      <w:rFonts w:ascii="仿宋_GB2312" w:hAnsi="仿宋_GB2312" w:cs="仿宋_GB2312" w:eastAsia="仿宋_GB2312"/>
                      <w:sz w:val="24"/>
                    </w:rPr>
                    <w:t>（</w:t>
                  </w:r>
                  <w:r>
                    <w:rPr>
                      <w:rFonts w:ascii="仿宋_GB2312" w:hAnsi="仿宋_GB2312" w:cs="仿宋_GB2312" w:eastAsia="仿宋_GB2312"/>
                      <w:sz w:val="24"/>
                    </w:rPr>
                    <w:t>2分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1.为不少于3名操作人员提供集中培训，未达标扣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2.培训采用理论+实操模式，未达标扣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运行维护服务</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硬件设备运维</w:t>
                  </w:r>
                  <w:r>
                    <w:rPr>
                      <w:rFonts w:ascii="仿宋_GB2312" w:hAnsi="仿宋_GB2312" w:cs="仿宋_GB2312" w:eastAsia="仿宋_GB2312"/>
                      <w:sz w:val="24"/>
                    </w:rPr>
                    <w:t>（</w:t>
                  </w:r>
                  <w:r>
                    <w:rPr>
                      <w:rFonts w:ascii="仿宋_GB2312" w:hAnsi="仿宋_GB2312" w:cs="仿宋_GB2312" w:eastAsia="仿宋_GB2312"/>
                      <w:sz w:val="24"/>
                    </w:rPr>
                    <w:t>4分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1.立杆季度防腐校准、年度沉降检测达标，未按要求开展1次扣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2.监测设备月巡检、半年检测，完好率≥98%，未开展1次或完好率每低1%扣2分；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软件系统运维</w:t>
                  </w:r>
                  <w:r>
                    <w:rPr>
                      <w:rFonts w:ascii="仿宋_GB2312" w:hAnsi="仿宋_GB2312" w:cs="仿宋_GB2312" w:eastAsia="仿宋_GB2312"/>
                      <w:sz w:val="24"/>
                    </w:rPr>
                    <w:t>（</w:t>
                  </w:r>
                  <w:r>
                    <w:rPr>
                      <w:rFonts w:ascii="仿宋_GB2312" w:hAnsi="仿宋_GB2312" w:cs="仿宋_GB2312" w:eastAsia="仿宋_GB2312"/>
                      <w:sz w:val="24"/>
                    </w:rPr>
                    <w:t>5分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1.系统月漏洞修复、季度兼容性适配，未开展1次扣3分；</w:t>
                  </w:r>
                </w:p>
                <w:p>
                  <w:pPr>
                    <w:pStyle w:val="null3"/>
                    <w:jc w:val="left"/>
                  </w:pPr>
                  <w:r>
                    <w:rPr>
                      <w:rFonts w:ascii="仿宋_GB2312" w:hAnsi="仿宋_GB2312" w:cs="仿宋_GB2312" w:eastAsia="仿宋_GB2312"/>
                      <w:sz w:val="24"/>
                    </w:rPr>
                    <w:t>2.数据月核查，准确率≥99%，未核查1次或准确率每低1%扣2分；</w:t>
                  </w:r>
                </w:p>
                <w:p>
                  <w:pPr>
                    <w:pStyle w:val="null3"/>
                    <w:jc w:val="left"/>
                  </w:pPr>
                  <w:r>
                    <w:rPr>
                      <w:rFonts w:ascii="仿宋_GB2312" w:hAnsi="仿宋_GB2312" w:cs="仿宋_GB2312" w:eastAsia="仿宋_GB2312"/>
                      <w:sz w:val="24"/>
                    </w:rPr>
                    <w:t>3.系统无卡顿、闪退，出现1次扣2分。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技术支持</w:t>
                  </w:r>
                  <w:r>
                    <w:rPr>
                      <w:rFonts w:ascii="仿宋_GB2312" w:hAnsi="仿宋_GB2312" w:cs="仿宋_GB2312" w:eastAsia="仿宋_GB2312"/>
                      <w:sz w:val="24"/>
                    </w:rPr>
                    <w:t>（</w:t>
                  </w:r>
                  <w:r>
                    <w:rPr>
                      <w:rFonts w:ascii="仿宋_GB2312" w:hAnsi="仿宋_GB2312" w:cs="仿宋_GB2312" w:eastAsia="仿宋_GB2312"/>
                      <w:sz w:val="24"/>
                    </w:rPr>
                    <w:t>2分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1.设立专用技术支持渠道，及时解答咨询，未及时响应1次扣2分；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应急运维</w:t>
                  </w:r>
                  <w:r>
                    <w:rPr>
                      <w:rFonts w:ascii="仿宋_GB2312" w:hAnsi="仿宋_GB2312" w:cs="仿宋_GB2312" w:eastAsia="仿宋_GB2312"/>
                      <w:sz w:val="24"/>
                    </w:rPr>
                    <w:t>（</w:t>
                  </w:r>
                  <w:r>
                    <w:rPr>
                      <w:rFonts w:ascii="仿宋_GB2312" w:hAnsi="仿宋_GB2312" w:cs="仿宋_GB2312" w:eastAsia="仿宋_GB2312"/>
                      <w:sz w:val="24"/>
                    </w:rPr>
                    <w:t>4分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1.设备、系统重大故障及时处置，未及时处置1次扣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2.汛期半月巡检、暴雨后24小时排查，未开展1次扣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生态管护服务</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植被管护</w:t>
                  </w:r>
                  <w:r>
                    <w:rPr>
                      <w:rFonts w:ascii="仿宋_GB2312" w:hAnsi="仿宋_GB2312" w:cs="仿宋_GB2312" w:eastAsia="仿宋_GB2312"/>
                      <w:sz w:val="24"/>
                    </w:rPr>
                    <w:t>（</w:t>
                  </w:r>
                  <w:r>
                    <w:rPr>
                      <w:rFonts w:ascii="仿宋_GB2312" w:hAnsi="仿宋_GB2312" w:cs="仿宋_GB2312" w:eastAsia="仿宋_GB2312"/>
                      <w:sz w:val="24"/>
                    </w:rPr>
                    <w:t>6分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1.植被种植规范，提交种植记录及验收报告，未达标扣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2.日常养护按要求开展，未开展1次扣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3.病虫害防治覆盖率100%、发生率≤5%，未达标扣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4.植被覆盖率≥85%，补植成活率≥90%，每低5%扣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基础设施管护</w:t>
                  </w:r>
                  <w:r>
                    <w:rPr>
                      <w:rFonts w:ascii="仿宋_GB2312" w:hAnsi="仿宋_GB2312" w:cs="仿宋_GB2312" w:eastAsia="仿宋_GB2312"/>
                      <w:sz w:val="24"/>
                    </w:rPr>
                    <w:t>（</w:t>
                  </w:r>
                  <w:r>
                    <w:rPr>
                      <w:rFonts w:ascii="仿宋_GB2312" w:hAnsi="仿宋_GB2312" w:cs="仿宋_GB2312" w:eastAsia="仿宋_GB2312"/>
                      <w:sz w:val="24"/>
                    </w:rPr>
                    <w:t>4分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1.基础设施季度巡查，未开展1次扣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2.发现问题及时整改，整改合格率100%，未整改1处扣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vMerge/>
                  <w:tcBorders>
                    <w:top w:val="none" w:color="000000" w:sz="4"/>
                    <w:left w:val="single" w:color="000000" w:sz="4"/>
                    <w:bottom w:val="single" w:color="000000" w:sz="4"/>
                    <w:right w:val="single" w:color="000000" w:sz="4"/>
                  </w:tcBorders>
                </w:tcPr>
                <w:p/>
              </w:tc>
              <w:tc>
                <w:tcPr>
                  <w:tcW w:type="dxa" w:w="535"/>
                  <w:vMerge/>
                  <w:tcBorders>
                    <w:top w:val="none" w:color="000000" w:sz="4"/>
                    <w:left w:val="single" w:color="000000" w:sz="4"/>
                    <w:bottom w:val="single" w:color="000000" w:sz="4"/>
                    <w:right w:val="single" w:color="000000" w:sz="4"/>
                  </w:tcBorders>
                </w:tc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植被精细化管护</w:t>
                  </w:r>
                  <w:r>
                    <w:rPr>
                      <w:rFonts w:ascii="仿宋_GB2312" w:hAnsi="仿宋_GB2312" w:cs="仿宋_GB2312" w:eastAsia="仿宋_GB2312"/>
                      <w:sz w:val="24"/>
                    </w:rPr>
                    <w:t>（</w:t>
                  </w:r>
                  <w:r>
                    <w:rPr>
                      <w:rFonts w:ascii="仿宋_GB2312" w:hAnsi="仿宋_GB2312" w:cs="仿宋_GB2312" w:eastAsia="仿宋_GB2312"/>
                      <w:sz w:val="24"/>
                    </w:rPr>
                    <w:t>5分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1.及时优化植被品种，提交调整及补植记录，未优化或记录缺失扣</w:t>
                  </w:r>
                  <w:r>
                    <w:rPr>
                      <w:rFonts w:ascii="仿宋_GB2312" w:hAnsi="仿宋_GB2312" w:cs="仿宋_GB2312" w:eastAsia="仿宋_GB2312"/>
                      <w:sz w:val="24"/>
                    </w:rPr>
                    <w:t>2</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2.珍稀乡土、水生植被专项养护，成活率≥95%，未达标扣3分</w:t>
                  </w:r>
                  <w:r>
                    <w:rPr>
                      <w:rFonts w:ascii="仿宋_GB2312" w:hAnsi="仿宋_GB2312" w:cs="仿宋_GB2312" w:eastAsia="仿宋_GB2312"/>
                      <w:sz w:val="24"/>
                    </w:rPr>
                    <w:t>。</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安全保障要求</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安全管理</w:t>
                  </w:r>
                  <w:r>
                    <w:rPr>
                      <w:rFonts w:ascii="仿宋_GB2312" w:hAnsi="仿宋_GB2312" w:cs="仿宋_GB2312" w:eastAsia="仿宋_GB2312"/>
                      <w:sz w:val="24"/>
                    </w:rPr>
                    <w:t>（</w:t>
                  </w:r>
                  <w:r>
                    <w:rPr>
                      <w:rFonts w:ascii="仿宋_GB2312" w:hAnsi="仿宋_GB2312" w:cs="仿宋_GB2312" w:eastAsia="仿宋_GB2312"/>
                      <w:sz w:val="24"/>
                    </w:rPr>
                    <w:t>7分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1.建立安全管理机构、制定管理制度，未建立扣</w:t>
                  </w:r>
                  <w:r>
                    <w:rPr>
                      <w:rFonts w:ascii="仿宋_GB2312" w:hAnsi="仿宋_GB2312" w:cs="仿宋_GB2312" w:eastAsia="仿宋_GB2312"/>
                      <w:sz w:val="24"/>
                    </w:rPr>
                    <w:t>1</w:t>
                  </w:r>
                  <w:r>
                    <w:rPr>
                      <w:rFonts w:ascii="仿宋_GB2312" w:hAnsi="仿宋_GB2312" w:cs="仿宋_GB2312" w:eastAsia="仿宋_GB2312"/>
                      <w:sz w:val="24"/>
                    </w:rPr>
                    <w:t>分；</w:t>
                  </w:r>
                  <w:r>
                    <w:rPr>
                      <w:rFonts w:ascii="仿宋_GB2312" w:hAnsi="仿宋_GB2312" w:cs="仿宋_GB2312" w:eastAsia="仿宋_GB2312"/>
                      <w:sz w:val="24"/>
                    </w:rPr>
                    <w:t>2.开展安全生产教育，未开展扣</w:t>
                  </w:r>
                  <w:r>
                    <w:rPr>
                      <w:rFonts w:ascii="仿宋_GB2312" w:hAnsi="仿宋_GB2312" w:cs="仿宋_GB2312" w:eastAsia="仿宋_GB2312"/>
                      <w:sz w:val="24"/>
                    </w:rPr>
                    <w:t>1</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3.作业人员配备安全设备及劳保用品，未配备扣</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4.无火灾、安全事故，发生1次扣</w:t>
                  </w:r>
                  <w:r>
                    <w:rPr>
                      <w:rFonts w:ascii="仿宋_GB2312" w:hAnsi="仿宋_GB2312" w:cs="仿宋_GB2312" w:eastAsia="仿宋_GB2312"/>
                      <w:sz w:val="24"/>
                    </w:rPr>
                    <w:t>7</w:t>
                  </w:r>
                  <w:r>
                    <w:rPr>
                      <w:rFonts w:ascii="仿宋_GB2312" w:hAnsi="仿宋_GB2312" w:cs="仿宋_GB2312" w:eastAsia="仿宋_GB2312"/>
                      <w:sz w:val="24"/>
                    </w:rPr>
                    <w:t>分；</w:t>
                  </w:r>
                </w:p>
                <w:p>
                  <w:pPr>
                    <w:pStyle w:val="null3"/>
                    <w:jc w:val="left"/>
                  </w:pPr>
                  <w:r>
                    <w:rPr>
                      <w:rFonts w:ascii="仿宋_GB2312" w:hAnsi="仿宋_GB2312" w:cs="仿宋_GB2312" w:eastAsia="仿宋_GB2312"/>
                      <w:sz w:val="24"/>
                    </w:rPr>
                    <w:t>5.生活垃圾、饮用水符合要求，未达标扣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培训与宣传教育服务</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rPr>
                    <w:t>培训与宣传</w:t>
                  </w:r>
                  <w:r>
                    <w:rPr>
                      <w:rFonts w:ascii="仿宋_GB2312" w:hAnsi="仿宋_GB2312" w:cs="仿宋_GB2312" w:eastAsia="仿宋_GB2312"/>
                      <w:sz w:val="24"/>
                    </w:rPr>
                    <w:t>（</w:t>
                  </w:r>
                  <w:r>
                    <w:rPr>
                      <w:rFonts w:ascii="仿宋_GB2312" w:hAnsi="仿宋_GB2312" w:cs="仿宋_GB2312" w:eastAsia="仿宋_GB2312"/>
                      <w:sz w:val="24"/>
                    </w:rPr>
                    <w:t>3分</w:t>
                  </w:r>
                  <w:r>
                    <w:rPr>
                      <w:rFonts w:ascii="仿宋_GB2312" w:hAnsi="仿宋_GB2312" w:cs="仿宋_GB2312" w:eastAsia="仿宋_GB2312"/>
                      <w:sz w:val="24"/>
                    </w:rPr>
                    <w:t>）</w:t>
                  </w:r>
                </w:p>
              </w:tc>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1.完成采购人业务人员集中培训、宣传，未完成</w:t>
                  </w:r>
                  <w:r>
                    <w:rPr>
                      <w:rFonts w:ascii="仿宋_GB2312" w:hAnsi="仿宋_GB2312" w:cs="仿宋_GB2312" w:eastAsia="仿宋_GB2312"/>
                      <w:sz w:val="24"/>
                    </w:rPr>
                    <w:t>或培训不到位或不完整的</w:t>
                  </w:r>
                  <w:r>
                    <w:rPr>
                      <w:rFonts w:ascii="仿宋_GB2312" w:hAnsi="仿宋_GB2312" w:cs="仿宋_GB2312" w:eastAsia="仿宋_GB2312"/>
                      <w:sz w:val="24"/>
                    </w:rPr>
                    <w:t>扣</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3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总得分</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考核结果应用</w:t>
                  </w:r>
                </w:p>
              </w:tc>
              <w:tc>
                <w:tcPr>
                  <w:tcW w:type="dxa" w:w="4739"/>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1）中标（成交）供应商服务质量考核结果：考核得分≥90分，按合同约定结算该阶段的服务费；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2）中标（成交）供应商服务质量考核结果：90分＞考核得分≥80分，按合同约定的计算方式计算后下浮25%结算该阶段的服务费；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3）中标（成交）供应商服务质量考核结果：80分＞考核得分≥60分，按合同约定的计算方式计算后下浮50%结算该阶段的服务费；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4）中标（成交）供应商服务质量考核结果：考核得分＜60分，考核不合格，采购人有权扣除该阶段的服务费或终止合同；</w:t>
                  </w:r>
                </w:p>
              </w:tc>
            </w:tr>
          </w:tbl>
          <w:p>
            <w:pPr>
              <w:pStyle w:val="null3"/>
              <w:jc w:val="both"/>
            </w:pPr>
            <w:r>
              <w:rPr>
                <w:rFonts w:ascii="仿宋_GB2312" w:hAnsi="仿宋_GB2312" w:cs="仿宋_GB2312" w:eastAsia="仿宋_GB2312"/>
                <w:sz w:val="24"/>
              </w:rPr>
              <w:t>注：服务考核标准为项目实施过程中对成交供应商服务质量和履约情况的考核和把控，不与采购文件中服务内容和服务要求以及供应商响应形成冲突和矛盾。</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（三）★商务要求</w:t>
            </w:r>
          </w:p>
        </w:tc>
        <w:tc>
          <w:tcPr>
            <w:tcW w:type="dxa" w:w="5814"/>
          </w:tcPr>
          <w:p>
            <w:pPr>
              <w:pStyle w:val="null3"/>
              <w:jc w:val="both"/>
            </w:pPr>
            <w:r>
              <w:rPr>
                <w:rFonts w:ascii="仿宋_GB2312" w:hAnsi="仿宋_GB2312" w:cs="仿宋_GB2312" w:eastAsia="仿宋_GB2312"/>
                <w:sz w:val="24"/>
              </w:rPr>
              <w:t>1.合同签订期限：自成交通知书发出之日起30日内。</w:t>
            </w:r>
          </w:p>
          <w:p>
            <w:pPr>
              <w:pStyle w:val="null3"/>
              <w:jc w:val="both"/>
            </w:pPr>
            <w:r>
              <w:rPr>
                <w:rFonts w:ascii="仿宋_GB2312" w:hAnsi="仿宋_GB2312" w:cs="仿宋_GB2312" w:eastAsia="仿宋_GB2312"/>
                <w:sz w:val="24"/>
              </w:rPr>
              <w:t>2.服务地点：南充市高坪区。</w:t>
            </w:r>
          </w:p>
          <w:p>
            <w:pPr>
              <w:pStyle w:val="null3"/>
              <w:jc w:val="both"/>
            </w:pPr>
            <w:r>
              <w:rPr>
                <w:rFonts w:ascii="仿宋_GB2312" w:hAnsi="仿宋_GB2312" w:cs="仿宋_GB2312" w:eastAsia="仿宋_GB2312"/>
                <w:sz w:val="24"/>
              </w:rPr>
              <w:t>3.服务期限：签订合同之日起120日历天内完成生态修复服务、生态修复区动态监测服务及其设施安装及调试服务；运行维护服务、生态管护服务365日历天内完成，并提交服务成果报告。</w:t>
            </w:r>
          </w:p>
          <w:p>
            <w:pPr>
              <w:pStyle w:val="null3"/>
              <w:jc w:val="both"/>
            </w:pPr>
            <w:r>
              <w:rPr>
                <w:rFonts w:ascii="仿宋_GB2312" w:hAnsi="仿宋_GB2312" w:cs="仿宋_GB2312" w:eastAsia="仿宋_GB2312"/>
                <w:sz w:val="24"/>
              </w:rPr>
              <w:t>4.付款方式：</w:t>
            </w:r>
          </w:p>
          <w:p>
            <w:pPr>
              <w:pStyle w:val="null3"/>
              <w:jc w:val="both"/>
            </w:pPr>
            <w:r>
              <w:rPr>
                <w:rFonts w:ascii="仿宋_GB2312" w:hAnsi="仿宋_GB2312" w:cs="仿宋_GB2312" w:eastAsia="仿宋_GB2312"/>
                <w:sz w:val="24"/>
              </w:rPr>
              <w:t>(1)预付款：合同签订生效并具备实施条件，中标（成交）供应商配合办理完采购人规定的相关付款手续，开具国家税务部门认可的增值税发票后，达到付款条件起10日内，支付合同总金额的50.00%。</w:t>
            </w:r>
          </w:p>
          <w:p>
            <w:pPr>
              <w:pStyle w:val="null3"/>
              <w:jc w:val="both"/>
            </w:pPr>
            <w:r>
              <w:rPr>
                <w:rFonts w:ascii="仿宋_GB2312" w:hAnsi="仿宋_GB2312" w:cs="仿宋_GB2312" w:eastAsia="仿宋_GB2312"/>
                <w:sz w:val="24"/>
              </w:rPr>
              <w:t>(2)进度款：完成生态修复服务、生态修复区动态监测服务全部内容，并经采购人初步验收合格后；中标（成交）供应商配合办理完采购人规定的相关付款手续，开具国家税务部门认可的增值税发票后，达到付款条件起15日内，支付合同总金额的45%。</w:t>
            </w:r>
          </w:p>
          <w:p>
            <w:pPr>
              <w:pStyle w:val="null3"/>
              <w:jc w:val="both"/>
            </w:pPr>
            <w:r>
              <w:rPr>
                <w:rFonts w:ascii="仿宋_GB2312" w:hAnsi="仿宋_GB2312" w:cs="仿宋_GB2312" w:eastAsia="仿宋_GB2312"/>
                <w:sz w:val="24"/>
              </w:rPr>
              <w:t>(3)尾款：服务期满，完成运行维护服务、生态管护服务并提交服务成果资料，且经采购人最终验收合格后，中标（成交）供应商配合办理完采购人规定的相关付款手续，开具国家税务部门认可的增值税发票后，达到付款条件起15日内，支付合同总金额的5%。</w:t>
            </w:r>
          </w:p>
          <w:p>
            <w:pPr>
              <w:pStyle w:val="null3"/>
              <w:jc w:val="both"/>
            </w:pPr>
            <w:r>
              <w:rPr>
                <w:rFonts w:ascii="仿宋_GB2312" w:hAnsi="仿宋_GB2312" w:cs="仿宋_GB2312" w:eastAsia="仿宋_GB2312"/>
                <w:sz w:val="24"/>
              </w:rPr>
              <w:t>(4)所有款项均不计利息，若中标（成交）供应商生态修复服务过程中存在扣款将直接在每次支付时扣除。</w:t>
            </w:r>
          </w:p>
          <w:p>
            <w:pPr>
              <w:pStyle w:val="null3"/>
              <w:jc w:val="both"/>
            </w:pPr>
            <w:r>
              <w:rPr>
                <w:rFonts w:ascii="仿宋_GB2312" w:hAnsi="仿宋_GB2312" w:cs="仿宋_GB2312" w:eastAsia="仿宋_GB2312"/>
                <w:sz w:val="24"/>
              </w:rPr>
              <w:t>5.履约、验收要求与标准</w:t>
            </w:r>
          </w:p>
          <w:p>
            <w:pPr>
              <w:pStyle w:val="null3"/>
              <w:jc w:val="both"/>
            </w:pPr>
            <w:r>
              <w:rPr>
                <w:rFonts w:ascii="仿宋_GB2312" w:hAnsi="仿宋_GB2312" w:cs="仿宋_GB2312" w:eastAsia="仿宋_GB2312"/>
                <w:sz w:val="24"/>
              </w:rPr>
              <w:t>(1)按照国家有关规定以及采购人采购文件的质量要求和技术指标、中标（成交）供应商的响应文件及承诺与本合同约定标准进行验收；采购人、中标（成交）供应商双方如对质量要求和技术指标的约定标准有相互抵触或异议的事项，由采购人在采购文件与响应文件中按质量要求和技术指标比较优胜的原则确定该项的约定标准进行验收。</w:t>
            </w:r>
          </w:p>
          <w:p>
            <w:pPr>
              <w:pStyle w:val="null3"/>
              <w:jc w:val="both"/>
            </w:pPr>
            <w:r>
              <w:rPr>
                <w:rFonts w:ascii="仿宋_GB2312" w:hAnsi="仿宋_GB2312" w:cs="仿宋_GB2312" w:eastAsia="仿宋_GB2312"/>
                <w:sz w:val="24"/>
              </w:rPr>
              <w:t>(2)根据生态修复服务过程和成果报告应符合相关要求及国家和地方相关编制规范、要求进行验收。按采购人要求提供服务成果报告和数据报表、报告及其他相关报告信息，服务期满或完成服务报告后，采购人应对服务成果进行详细而全面的检查。</w:t>
            </w:r>
          </w:p>
          <w:p>
            <w:pPr>
              <w:pStyle w:val="null3"/>
              <w:jc w:val="both"/>
            </w:pPr>
            <w:r>
              <w:rPr>
                <w:rFonts w:ascii="仿宋_GB2312" w:hAnsi="仿宋_GB2312" w:cs="仿宋_GB2312" w:eastAsia="仿宋_GB2312"/>
                <w:sz w:val="24"/>
              </w:rPr>
              <w:t>(3)其他未尽事宜应严格按照政府采购相关法律法规、《财政部关于进一步加强政府采购需求和履约验收管理的指导意见》（财库〔2016〕205号）的要求及国家行业主管部门规定的标准、方法和内容组织验收。</w:t>
            </w:r>
          </w:p>
          <w:p>
            <w:pPr>
              <w:pStyle w:val="null3"/>
              <w:jc w:val="both"/>
            </w:pPr>
            <w:r>
              <w:rPr>
                <w:rFonts w:ascii="仿宋_GB2312" w:hAnsi="仿宋_GB2312" w:cs="仿宋_GB2312" w:eastAsia="仿宋_GB2312"/>
                <w:sz w:val="24"/>
              </w:rPr>
              <w:t>(4)在合同执行过程中，如因中标（成交）供应商不能正常履约给采购人造成任何损失的，采购人将保留进一步追溯的权利，由中标（成交）供应商赔偿由此带来的一切损失及费用。</w:t>
            </w:r>
          </w:p>
          <w:p>
            <w:pPr>
              <w:pStyle w:val="null3"/>
              <w:jc w:val="both"/>
            </w:pPr>
            <w:r>
              <w:rPr>
                <w:rFonts w:ascii="仿宋_GB2312" w:hAnsi="仿宋_GB2312" w:cs="仿宋_GB2312" w:eastAsia="仿宋_GB2312"/>
                <w:sz w:val="24"/>
              </w:rPr>
              <w:t>6.违约责任与解决争议的方法</w:t>
            </w:r>
          </w:p>
          <w:p>
            <w:pPr>
              <w:pStyle w:val="null3"/>
              <w:jc w:val="both"/>
            </w:pPr>
            <w:r>
              <w:rPr>
                <w:rFonts w:ascii="仿宋_GB2312" w:hAnsi="仿宋_GB2312" w:cs="仿宋_GB2312" w:eastAsia="仿宋_GB2312"/>
                <w:sz w:val="24"/>
              </w:rPr>
              <w:t>(1)违约责任</w:t>
            </w:r>
          </w:p>
          <w:p>
            <w:pPr>
              <w:pStyle w:val="null3"/>
              <w:jc w:val="both"/>
            </w:pPr>
            <w:r>
              <w:rPr>
                <w:rFonts w:ascii="仿宋_GB2312" w:hAnsi="仿宋_GB2312" w:cs="仿宋_GB2312" w:eastAsia="仿宋_GB2312"/>
                <w:sz w:val="24"/>
              </w:rPr>
              <w:t>①　中标（成交）供应商必须遵守磋商文件规定的项目完成时间，保证在规定的时间内完成本项目并交付采购人验收使用。</w:t>
            </w:r>
          </w:p>
          <w:p>
            <w:pPr>
              <w:pStyle w:val="null3"/>
              <w:jc w:val="both"/>
            </w:pPr>
            <w:r>
              <w:rPr>
                <w:rFonts w:ascii="仿宋_GB2312" w:hAnsi="仿宋_GB2312" w:cs="仿宋_GB2312" w:eastAsia="仿宋_GB2312"/>
                <w:sz w:val="24"/>
              </w:rPr>
              <w:t>②　因一方原因，合同无法履行或继续履行时，应通知对方，办理合同终止手续，并赔偿对方由此造成的经济损失。若不办理合同终止手续，擅自停止履约，违约方应承担违约金，并赔偿对方由此造成的经济损失。</w:t>
            </w:r>
          </w:p>
          <w:p>
            <w:pPr>
              <w:pStyle w:val="null3"/>
              <w:jc w:val="both"/>
            </w:pPr>
            <w:r>
              <w:rPr>
                <w:rFonts w:ascii="仿宋_GB2312" w:hAnsi="仿宋_GB2312" w:cs="仿宋_GB2312" w:eastAsia="仿宋_GB2312"/>
                <w:sz w:val="24"/>
              </w:rPr>
              <w:t>③　如因中标（成交）供应商在履行合同过程中未按时完成本项目，每拖延服务期限1天向采购人支付违约金¥1000.00元（大写金额壹仟元）；当拖延服务期限达到5天的情况发生时，采购人有权视作中标（成交）供应商不能满足磋商文件的服务要求，可以单方解除合同，并没收其履约保证金且作为不诚信单位上报政府采购主管部门将其纳入采购黑名单，同时采购人可依法追究中标（成交）供应商的违约责任。</w:t>
            </w:r>
          </w:p>
          <w:p>
            <w:pPr>
              <w:pStyle w:val="null3"/>
              <w:jc w:val="both"/>
            </w:pPr>
            <w:r>
              <w:rPr>
                <w:rFonts w:ascii="仿宋_GB2312" w:hAnsi="仿宋_GB2312" w:cs="仿宋_GB2312" w:eastAsia="仿宋_GB2312"/>
                <w:sz w:val="24"/>
              </w:rPr>
              <w:t>④　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p>
            <w:pPr>
              <w:pStyle w:val="null3"/>
              <w:jc w:val="both"/>
            </w:pPr>
            <w:r>
              <w:rPr>
                <w:rFonts w:ascii="仿宋_GB2312" w:hAnsi="仿宋_GB2312" w:cs="仿宋_GB2312" w:eastAsia="仿宋_GB2312"/>
                <w:sz w:val="24"/>
              </w:rPr>
              <w:t>⑤　供应商未能达到约定的管理目标，采购人有权要求供应商限期整改，并达到合同约定；逾期未整改的，或整改不符合合同约定的，采购人有权终止合同；造成采购人经济损失的，经双方协商后供应商应给予采购人相应的经济赔偿。</w:t>
            </w:r>
          </w:p>
          <w:p>
            <w:pPr>
              <w:pStyle w:val="null3"/>
              <w:jc w:val="both"/>
            </w:pPr>
            <w:r>
              <w:rPr>
                <w:rFonts w:ascii="仿宋_GB2312" w:hAnsi="仿宋_GB2312" w:cs="仿宋_GB2312" w:eastAsia="仿宋_GB2312"/>
                <w:sz w:val="24"/>
              </w:rPr>
              <w:t>⑥　如因中标（成交）供应商所提供服务的质量缺陷、质量与实际响应内容不符、服务时效等原因导致生态环境受到影响，中标（成交）供应商对此均应承担全部的赔偿责任。（单独提供承诺函，格式自拟)</w:t>
            </w:r>
          </w:p>
          <w:p>
            <w:pPr>
              <w:pStyle w:val="null3"/>
              <w:jc w:val="both"/>
            </w:pPr>
            <w:r>
              <w:rPr>
                <w:rFonts w:ascii="仿宋_GB2312" w:hAnsi="仿宋_GB2312" w:cs="仿宋_GB2312" w:eastAsia="仿宋_GB2312"/>
                <w:sz w:val="24"/>
              </w:rPr>
              <w:t>(2)解决争议的方法：在执行本合同中发生的或与本合同有关的争端，双方应通过友好协商解决。不愿通过协商、调解解决或者协商、调解不成的，可向南充市高坪区人民法院起诉。</w:t>
            </w:r>
          </w:p>
          <w:p>
            <w:pPr>
              <w:pStyle w:val="null3"/>
              <w:jc w:val="both"/>
            </w:pPr>
            <w:r>
              <w:rPr>
                <w:rFonts w:ascii="仿宋_GB2312" w:hAnsi="仿宋_GB2312" w:cs="仿宋_GB2312" w:eastAsia="仿宋_GB2312"/>
                <w:sz w:val="24"/>
              </w:rPr>
              <w:t>7.设备清查：服务期结束后，中标（成交）供应商应将所有设施、设备及数据等移交给采购人，并应确保所有设施、设备完好，所有数据完整。</w:t>
            </w:r>
          </w:p>
          <w:p>
            <w:pPr>
              <w:pStyle w:val="null3"/>
              <w:jc w:val="both"/>
            </w:pPr>
            <w:r>
              <w:rPr>
                <w:rFonts w:ascii="仿宋_GB2312" w:hAnsi="仿宋_GB2312" w:cs="仿宋_GB2312" w:eastAsia="仿宋_GB2312"/>
                <w:sz w:val="24"/>
              </w:rPr>
              <w:t>8.本项目中标（成交）供应商服务内容如涉及3C强制认证，消防3C，水效标识，网络关键设备和网络安全专用产品认证，消毒产品涉水产品等国家强制性要求的（强制节能除外)，供应商在投标（响应）时需单独提供承诺函，所涉及的生产厂家符合相关生产许可、满足相关强制性要求和符合上市销售的合格的全新的产品，在签订采购合同后提供相关认证或备案或注册证书给采购人核查；</w:t>
            </w:r>
          </w:p>
          <w:p>
            <w:pPr>
              <w:pStyle w:val="null3"/>
              <w:jc w:val="both"/>
            </w:pPr>
            <w:r>
              <w:rPr>
                <w:rFonts w:ascii="仿宋_GB2312" w:hAnsi="仿宋_GB2312" w:cs="仿宋_GB2312" w:eastAsia="仿宋_GB2312"/>
                <w:sz w:val="24"/>
              </w:rPr>
              <w:t>9.保密要求：服务人员须对项目中涉及到采购人及服务对象的信息进行保密，未经采购人许可，不得将系统相关信息泄露给第三方，否则，采购人保留追究供应商法律责任的权利；（单独提供承诺函，格式自拟）</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（四）其他要求</w:t>
            </w:r>
          </w:p>
        </w:tc>
        <w:tc>
          <w:tcPr>
            <w:tcW w:type="dxa" w:w="5814"/>
          </w:tcPr>
          <w:p>
            <w:pPr>
              <w:pStyle w:val="null3"/>
              <w:jc w:val="both"/>
            </w:pPr>
            <w:r>
              <w:rPr>
                <w:rFonts w:ascii="仿宋_GB2312" w:hAnsi="仿宋_GB2312" w:cs="仿宋_GB2312" w:eastAsia="仿宋_GB2312"/>
                <w:sz w:val="24"/>
              </w:rPr>
              <w:t>1.其他未尽事宜由双方在采购合同中详细约定。</w:t>
            </w:r>
          </w:p>
          <w:p>
            <w:pPr>
              <w:pStyle w:val="null3"/>
              <w:jc w:val="both"/>
            </w:pPr>
            <w:r>
              <w:rPr>
                <w:rFonts w:ascii="仿宋_GB2312" w:hAnsi="仿宋_GB2312" w:cs="仿宋_GB2312" w:eastAsia="仿宋_GB2312"/>
                <w:sz w:val="24"/>
              </w:rPr>
              <w:t>2.本采购文件中的采购人、招标人、甲方同义；供应商、投标人同义；中标（成交）供应商、中标人、乙方同义。</w:t>
            </w:r>
          </w:p>
          <w:p>
            <w:pPr>
              <w:pStyle w:val="null3"/>
              <w:jc w:val="both"/>
            </w:pPr>
            <w:r>
              <w:rPr>
                <w:rFonts w:ascii="仿宋_GB2312" w:hAnsi="仿宋_GB2312" w:cs="仿宋_GB2312" w:eastAsia="仿宋_GB2312"/>
                <w:sz w:val="24"/>
              </w:rPr>
              <w:t>3.其他评分要求（本项仅为综合评分因素，不作为实质性要求）</w:t>
            </w:r>
          </w:p>
          <w:p>
            <w:pPr>
              <w:pStyle w:val="null3"/>
              <w:jc w:val="both"/>
            </w:pPr>
            <w:r>
              <w:rPr>
                <w:rFonts w:ascii="仿宋_GB2312" w:hAnsi="仿宋_GB2312" w:cs="仿宋_GB2312" w:eastAsia="仿宋_GB2312"/>
                <w:sz w:val="24"/>
              </w:rPr>
              <w:t>(1)供应商须编制项目实施方案，以满足采购项目的服务要求，包含但不限于项目管理方案、质量保证措施方案、项目技术服务方案、应急管理方案、后续服务方案。</w:t>
            </w:r>
          </w:p>
          <w:p>
            <w:pPr>
              <w:pStyle w:val="null3"/>
              <w:jc w:val="both"/>
            </w:pPr>
            <w:r>
              <w:rPr>
                <w:rFonts w:ascii="仿宋_GB2312" w:hAnsi="仿宋_GB2312" w:cs="仿宋_GB2312" w:eastAsia="仿宋_GB2312"/>
                <w:sz w:val="24"/>
              </w:rPr>
              <w:t>(2)供应商具有类似项目履约能力、类似案例，配备固定的作业人员（包含不限于：项目负责人、技术负责人、专业负责人、其他技术服务人员）。</w:t>
            </w:r>
          </w:p>
          <w:p>
            <w:pPr>
              <w:pStyle w:val="null3"/>
              <w:jc w:val="both"/>
            </w:pPr>
            <w:r>
              <w:rPr>
                <w:rFonts w:ascii="仿宋_GB2312" w:hAnsi="仿宋_GB2312" w:cs="仿宋_GB2312" w:eastAsia="仿宋_GB2312"/>
                <w:sz w:val="24"/>
              </w:rPr>
              <w:t>4.★安全管理要求及法律责任</w:t>
            </w:r>
          </w:p>
          <w:p>
            <w:pPr>
              <w:pStyle w:val="null3"/>
              <w:jc w:val="both"/>
            </w:pPr>
            <w:r>
              <w:rPr>
                <w:rFonts w:ascii="仿宋_GB2312" w:hAnsi="仿宋_GB2312" w:cs="仿宋_GB2312" w:eastAsia="仿宋_GB2312"/>
                <w:sz w:val="24"/>
              </w:rPr>
              <w:t>在服务期内，中标（成交）供应商应对工作人员进行安全防护措施教育，并采取相应安全措施，加强安全管理检查，发现问题和隐患及时处理和整改，避免服务过程中发生人身伤亡或其他事故。供应商须在投标（响应）文件中单独提供承诺函，承诺自行承担本项目服务过程中因中标（成交）供应商原因所发生的所有安全事故责任、法律责任和赔偿责任，包括：其所有工作人员劳动用工安全事故、因操作不规范等因素造成的安全责任事故、与本项目相关的其他安全事故。</w:t>
            </w:r>
          </w:p>
          <w:p>
            <w:pPr>
              <w:pStyle w:val="null3"/>
              <w:jc w:val="both"/>
            </w:pPr>
            <w:r>
              <w:rPr>
                <w:rFonts w:ascii="仿宋_GB2312" w:hAnsi="仿宋_GB2312" w:cs="仿宋_GB2312" w:eastAsia="仿宋_GB2312"/>
                <w:sz w:val="24"/>
              </w:rPr>
              <w:t>5.★报价要求及执行方式</w:t>
            </w:r>
          </w:p>
          <w:p>
            <w:pPr>
              <w:pStyle w:val="null3"/>
              <w:jc w:val="both"/>
            </w:pPr>
            <w:r>
              <w:rPr>
                <w:rFonts w:ascii="仿宋_GB2312" w:hAnsi="仿宋_GB2312" w:cs="仿宋_GB2312" w:eastAsia="仿宋_GB2312"/>
                <w:sz w:val="24"/>
              </w:rPr>
              <w:t>(1)本项目按照预算金额及最高限价要求进行报价，以金额的形式表述，最多保留2位小数。</w:t>
            </w:r>
          </w:p>
          <w:p>
            <w:pPr>
              <w:pStyle w:val="null3"/>
              <w:jc w:val="both"/>
            </w:pPr>
            <w:r>
              <w:rPr>
                <w:rFonts w:ascii="仿宋_GB2312" w:hAnsi="仿宋_GB2312" w:cs="仿宋_GB2312" w:eastAsia="仿宋_GB2312"/>
                <w:sz w:val="24"/>
              </w:rPr>
              <w:t>(2)供应商的报价应是完成本项目要求的总价，包含但不限于本项目所涉及的人员劳务、差旅、相关设施投入费用（含设备租赁、设备运输、吊装、安装、调试、设备校准）、检测（验）费、运行维护费、保险、代理服务费、技术培训和指导费、赶工措施费、后续服务费、市场风险、相关资料印制与发放、所有政策风险、利润、税金等实施过程中所产生的全部费用，直至验收合格后的一切费用和采购文件规定的其他费用。供应商自行考察现场实施环境难度以确定报价，报价估算错误引起的风险由供应商自行承担。供应商根据服务方案及采购方需求，实行社会化服务，独立核算，自主投入、自主管理、自主服务、自负盈亏，采购人不再另行支付其他费用。</w:t>
            </w:r>
          </w:p>
          <w:p>
            <w:pPr>
              <w:pStyle w:val="null3"/>
              <w:jc w:val="both"/>
            </w:pPr>
            <w:r>
              <w:rPr>
                <w:rFonts w:ascii="仿宋_GB2312" w:hAnsi="仿宋_GB2312" w:cs="仿宋_GB2312" w:eastAsia="仿宋_GB2312"/>
                <w:sz w:val="24"/>
              </w:rPr>
              <w:t>注：本章采购需求中标注</w:t>
            </w:r>
            <w:r>
              <w:rPr>
                <w:rFonts w:ascii="仿宋_GB2312" w:hAnsi="仿宋_GB2312" w:cs="仿宋_GB2312" w:eastAsia="仿宋_GB2312"/>
                <w:sz w:val="24"/>
              </w:rPr>
              <w:t>“★”号的条款为本次采购项目的实质性要求，供应商不允许有负偏离，否则投标（响应）文件作无效处理。（以上法律、法规、标准、规定、规范性文件，如有最新调整，按最新规定执行）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签订合同之日起120日历天内完成生态修复服务、生态修复区动态监测服务及其设施安装及调试服务；运行维护服务、生态管护服务365日历天内完成，并提交服务成果报告。</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南充市高坪区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国家有关规定以及采购人采购文件的质量要求和技术指标、中标（成交）供应商的响应文件及承诺与本合同约定标准进行验收；采购人、中标（成交）供应商双方如对质量要求和技术指标的约定标准有相互抵触或异议的事项，由采购人在采购文件与响应文件中按质量要求和技术指标比较优胜的原则确定该项的约定标准进行验收。 (2)根据生态修复服务过程和成果报告应符合相关要求及国家和地方相关编制规范、要求进行验收。按采购人要求提供服务成果报告和数据报表、报告及其他相关报告信息，服务期满或完成服务报告后，采购人应对服务成果进行详细而全面的检查。 (3)其他未尽事宜应严格按照政府采购相关法律法规、《财政部关于进一步加强政府采购需求和履约验收管理的指导意见》（财库〔2016〕205号）的要求及国家行业主管部门规定的标准、方法和内容组织验收。 (4)在合同执行过程中，如因中标（成交）供应商不能正常履约给采购人造成任何损失的，采购人将保留进一步追溯的权利，由中标（成交）供应商赔偿由此带来的一切损失及费用。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1、预付款，合同签订生效并具备实施条件，中标（成交）供应商配合办理完采购人规定的相关付款手续，开具国家税务部门认可的增值税发票后，达到付款条件起10日内，支付合同总金额的50.00%</w:t>
            </w:r>
          </w:p>
          <w:p>
            <w:pPr>
              <w:pStyle w:val="null3"/>
              <w:jc w:val="left"/>
            </w:pPr>
            <w:r>
              <w:rPr>
                <w:rFonts w:ascii="仿宋_GB2312" w:hAnsi="仿宋_GB2312" w:cs="仿宋_GB2312" w:eastAsia="仿宋_GB2312"/>
              </w:rPr>
              <w:t>2、进度款，完成生态修复服务、生态修复区动态监测服务全部内容，并经采购人初步验收合格后；中标（成交）供应商配合办理完采购人规定的相关付款手续，开具国家税务部门认可的增值税发票后，达到付款条件起15日内，支付合同总金额的45.00%</w:t>
            </w:r>
          </w:p>
          <w:p>
            <w:pPr>
              <w:pStyle w:val="null3"/>
              <w:jc w:val="left"/>
            </w:pPr>
            <w:r>
              <w:rPr>
                <w:rFonts w:ascii="仿宋_GB2312" w:hAnsi="仿宋_GB2312" w:cs="仿宋_GB2312" w:eastAsia="仿宋_GB2312"/>
              </w:rPr>
              <w:t>3、尾款，服务期满，完成运行维护服务、生态管护服务并提交服务成果资料，且经采购人最终验收合格后，中标（成交）供应商配合办理完采购人规定的相关付款手续，开具国家税务部门认可的增值税发票后，达到付款条件起15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　中标（成交）供应商必须遵守磋商文件规定的项目完成时间，保证在规定的时间内完成本项目并交付采购人验收使用。 ②　因一方原因，合同无法履行或继续履行时，应通知对方，办理合同终止手续，并赔偿对方由此造成的经济损失。若不办理合同终止手续，擅自停止履约，违约方应承担违约金，并赔偿对方由此造成的经济损失。 ③　如因中标（成交）供应商在履行合同过程中未按时完成本项目，每拖延服务期限1天向采购人支付违约金¥1000.00元（大写金额壹仟元）；当拖延服务期限达到5天的情况发生时，采购人有权视作中标（成交）供应商不能满足磋商文件的服务要求，可以单方解除合同，并没收其履约保证金且作为不诚信单位上报政府采购主管部门将其纳入采购黑名单，同时采购人可依法追究中标（成交）供应商的违约责任。 ④　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⑤　供应商未能达到约定的管理目标，采购人有权要求供应商限期整改，并达到合同约定；逾期未整改的，或整改不符合合同约定的，采购人有权终止合同；造成采购人经济损失的，经双方协商后供应商应给予采购人相应的经济赔偿。 ⑥　如因中标（成交）供应商所提供服务的质量缺陷、质量与实际响应内容不符、服务时效等原因导致生态环境受到影响，中标（成交）供应商对此均应承担全部的赔偿责任。（单独提供承诺函，格式自拟) (2)解决争议的方法：在执行本合同中发生的或与本合同有关的争端，双方应通过友好协商解决。不愿通过协商、调解解决或者协商、调解不成的，可向南充市高坪区人民法院起诉。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w:t>
      </w:r>
      <w:r>
        <w:rPr>
          <w:rFonts w:ascii="仿宋_GB2312" w:hAnsi="仿宋_GB2312" w:cs="仿宋_GB2312" w:eastAsia="仿宋_GB2312"/>
        </w:rPr>
        <w:t>“技术参数与性能指标”</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详见合同附件</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副本”；未换证的提供“营业执照副本、税务登记证副本、组织机构代码证副本”。②若为事业法人：提供“统一社会信用代码法人登记证书”；未换证的，提交“事业法人登记证书、组织机构代码证”③若为其他组织：提供“对应主管部门颁发的准许执业证明文件或营业执照”④若为自然人：提供“身份证复印件”⑤非独立法人分支机构参加的，需提供具有独立法人资格的总公司对其分支机构的授权或逐级授权证明材料；并提供“统一社会信用代码营业执照”，未换证的提供“营业执照、税务登记证、组织机构代码证”，以上均提供复印件并进行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①供应商需在项目电子化交易系统中按要求提供具有良好的商业信誉的投标（响应）函并进行签章。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经审计的财务报告复印件（包含审计报告和审计报告中所涉及的财务报表和报表附注）；②也可提供2024年度或2025年度供应商内部的财务报表复印件（至少包含资产负债表）；③也可提供距文件递交截止日一年内银行出具的资信证明（复印件）；④供应商注册时间至文件递交截止日不足一年的，也可提供在工商备案的公司章程（复印件）或承诺函；以上均提供复印件并进行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①供应商需在项目电子化交易系统中按要求提供具有履行合同所必需的设备和专业技术能力的投标（响应）函并进行签章。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可提供2024年1月至今任意3个月缴纳税收和社保资金的证明材料复印件（税收提供税务部门出具的缴税或完税证明或网银转账回执单等有效证明材料复印件；社保资金提供银行电子回单或社保部门出具的已缴费证明等有效证明材料复印件）；②依法免税或不需要缴纳社会保障资金的供应商，应提供相应文件证明其依法免税或不需要缴纳社会保障资金的证明材料；以上均提供复印件并进行签章。③供应商注册时间至文件递交截止日不足三个月的，可提供承诺函。</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①供应商需在项目电子化交易系统中按要求提供参加政府采购活动前三年内，在经营活动中没有重大违法记录的投标（响应）函并进行签章。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①供应商需在项目电子化交易系统中按要求提供不存在与单位负责人为同一人或者存在直接控股、管理关系的其他供应商参与同一合同项下的政府采购活动的行为的投标（响应）函并进行签章。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①供应商需在项目电子化交易系统中按要求提供不属于为本项目提供整体设计、规范编制或者项目管理、监理、检测等服务的供应商的投标（响应）函并进行签章。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符合采购文件的要求</w:t>
            </w:r>
          </w:p>
        </w:tc>
        <w:tc>
          <w:tcPr>
            <w:tcW w:type="dxa" w:w="3322"/>
          </w:tcPr>
          <w:p>
            <w:pPr>
              <w:pStyle w:val="null3"/>
              <w:jc w:val="left"/>
            </w:pPr>
            <w:r>
              <w:rPr>
                <w:rFonts w:ascii="仿宋_GB2312" w:hAnsi="仿宋_GB2312" w:cs="仿宋_GB2312" w:eastAsia="仿宋_GB2312"/>
              </w:rPr>
              <w:t>是否符合采购文件的要求</w:t>
            </w:r>
          </w:p>
        </w:tc>
        <w:tc>
          <w:tcPr>
            <w:tcW w:type="dxa" w:w="1661"/>
          </w:tcPr>
          <w:p>
            <w:pPr>
              <w:pStyle w:val="null3"/>
              <w:jc w:val="left"/>
            </w:pPr>
            <w:r>
              <w:rPr>
                <w:rFonts w:ascii="仿宋_GB2312" w:hAnsi="仿宋_GB2312" w:cs="仿宋_GB2312" w:eastAsia="仿宋_GB2312"/>
              </w:rPr>
              <w:t>中小企业声明函,商务应答表.docx,报价表,响应文件封面,残疾人福利性单位声明函,报价明细表,投标人基本情况表.docx,供应商应提交的相关证明材料,具有健全财务会计制度的证明材料,关于符合本国产品标准的声明函,服务应答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服务内容及要求响应</w:t>
            </w:r>
          </w:p>
        </w:tc>
        <w:tc>
          <w:tcPr>
            <w:tcW w:type="dxa" w:w="2575"/>
          </w:tcPr>
          <w:p>
            <w:pPr>
              <w:pStyle w:val="null3"/>
              <w:jc w:val="left"/>
            </w:pPr>
            <w:r>
              <w:rPr>
                <w:rFonts w:ascii="仿宋_GB2312" w:hAnsi="仿宋_GB2312" w:cs="仿宋_GB2312" w:eastAsia="仿宋_GB2312"/>
              </w:rPr>
              <w:t>1.供应商所提供服务的技术服务内容完全满足采购文件中“（二）技术、服务要求”得3分；非★参数每项中任意一小项有负偏离该项扣1分（共3项），本项分值扣完为止；本项不涉及采购文件规定的实质性要求。（注：每项是指编号为：7.9.11）</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项目负责人</w:t>
            </w:r>
          </w:p>
        </w:tc>
        <w:tc>
          <w:tcPr>
            <w:tcW w:type="dxa" w:w="2575"/>
          </w:tcPr>
          <w:p>
            <w:pPr>
              <w:pStyle w:val="null3"/>
              <w:jc w:val="left"/>
            </w:pPr>
            <w:r>
              <w:rPr>
                <w:rFonts w:ascii="仿宋_GB2312" w:hAnsi="仿宋_GB2312" w:cs="仿宋_GB2312" w:eastAsia="仿宋_GB2312"/>
              </w:rPr>
              <w:t>为本项目配置的项目负责人1名：（满分3分） （1）具有生态类或环境类专业中级技术职称证书得1.5分；具有生态类或环境类专业高级及以上技术职称证书得3分；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技术负责人</w:t>
            </w:r>
          </w:p>
        </w:tc>
        <w:tc>
          <w:tcPr>
            <w:tcW w:type="dxa" w:w="2575"/>
          </w:tcPr>
          <w:p>
            <w:pPr>
              <w:pStyle w:val="null3"/>
              <w:jc w:val="left"/>
            </w:pPr>
            <w:r>
              <w:rPr>
                <w:rFonts w:ascii="仿宋_GB2312" w:hAnsi="仿宋_GB2312" w:cs="仿宋_GB2312" w:eastAsia="仿宋_GB2312"/>
              </w:rPr>
              <w:t>为本项目配置的技术负责人1名：（满分3分） （1）具有生态类或环境类专业中级技术职称证书得1.5分；具有生态类或环境类专业高级及以上技术职称证书得3分；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生态修复服务专业负责人</w:t>
            </w:r>
          </w:p>
        </w:tc>
        <w:tc>
          <w:tcPr>
            <w:tcW w:type="dxa" w:w="2575"/>
          </w:tcPr>
          <w:p>
            <w:pPr>
              <w:pStyle w:val="null3"/>
              <w:jc w:val="left"/>
            </w:pPr>
            <w:r>
              <w:rPr>
                <w:rFonts w:ascii="仿宋_GB2312" w:hAnsi="仿宋_GB2312" w:cs="仿宋_GB2312" w:eastAsia="仿宋_GB2312"/>
              </w:rPr>
              <w:t>为本项目配置的生态修复服务专业负责人1名：（满分3分） （1）具有生态类或环境类专业中级技术职称证书得1.5分；具有生态类或环境类专业高级及以上技术职称证书得3分；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生态修复区动态监测服务专业负责人</w:t>
            </w:r>
          </w:p>
        </w:tc>
        <w:tc>
          <w:tcPr>
            <w:tcW w:type="dxa" w:w="2575"/>
          </w:tcPr>
          <w:p>
            <w:pPr>
              <w:pStyle w:val="null3"/>
              <w:jc w:val="left"/>
            </w:pPr>
            <w:r>
              <w:rPr>
                <w:rFonts w:ascii="仿宋_GB2312" w:hAnsi="仿宋_GB2312" w:cs="仿宋_GB2312" w:eastAsia="仿宋_GB2312"/>
              </w:rPr>
              <w:t>为本项目配置的生态修复区动态监测服务专业负责人1名：（满分3分） （1）具有电子类或信息技术类专业中级技术职称证书得1.5分；具有电子类或信息技术类专业高级及以上技术职称证书得3分；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生态管护服务专业负责人</w:t>
            </w:r>
          </w:p>
        </w:tc>
        <w:tc>
          <w:tcPr>
            <w:tcW w:type="dxa" w:w="2575"/>
          </w:tcPr>
          <w:p>
            <w:pPr>
              <w:pStyle w:val="null3"/>
              <w:jc w:val="left"/>
            </w:pPr>
            <w:r>
              <w:rPr>
                <w:rFonts w:ascii="仿宋_GB2312" w:hAnsi="仿宋_GB2312" w:cs="仿宋_GB2312" w:eastAsia="仿宋_GB2312"/>
              </w:rPr>
              <w:t>为本项目配置的生态管护服务专业负责人1名：（满分3分） （1）具有农学类或林业类专业中级技术职称证书得1.5分；具有农学类或林业类专业高级及以上技术职称证书得3分；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运行维护服务专业负责人</w:t>
            </w:r>
          </w:p>
        </w:tc>
        <w:tc>
          <w:tcPr>
            <w:tcW w:type="dxa" w:w="2575"/>
          </w:tcPr>
          <w:p>
            <w:pPr>
              <w:pStyle w:val="null3"/>
              <w:jc w:val="left"/>
            </w:pPr>
            <w:r>
              <w:rPr>
                <w:rFonts w:ascii="仿宋_GB2312" w:hAnsi="仿宋_GB2312" w:cs="仿宋_GB2312" w:eastAsia="仿宋_GB2312"/>
              </w:rPr>
              <w:t>为本项目配置的运行维护服务专业负责人1名：（满分1.5分） （1）具有电子类或信息技术类专业中级及以上技术职称证书得1.5分；</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培训与宣传教育服务专业负责人</w:t>
            </w:r>
          </w:p>
        </w:tc>
        <w:tc>
          <w:tcPr>
            <w:tcW w:type="dxa" w:w="2575"/>
          </w:tcPr>
          <w:p>
            <w:pPr>
              <w:pStyle w:val="null3"/>
              <w:jc w:val="left"/>
            </w:pPr>
            <w:r>
              <w:rPr>
                <w:rFonts w:ascii="仿宋_GB2312" w:hAnsi="仿宋_GB2312" w:cs="仿宋_GB2312" w:eastAsia="仿宋_GB2312"/>
              </w:rPr>
              <w:t>为本项目配置的培训与宣传教育服务专业负责人1名：（满分1.5分） （1）具有生态类或环境类专业中级及以上技术职称证书得1.5分；</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其他技术服务人员</w:t>
            </w:r>
          </w:p>
        </w:tc>
        <w:tc>
          <w:tcPr>
            <w:tcW w:type="dxa" w:w="2575"/>
          </w:tcPr>
          <w:p>
            <w:pPr>
              <w:pStyle w:val="null3"/>
              <w:jc w:val="left"/>
            </w:pPr>
            <w:r>
              <w:rPr>
                <w:rFonts w:ascii="仿宋_GB2312" w:hAnsi="仿宋_GB2312" w:cs="仿宋_GB2312" w:eastAsia="仿宋_GB2312"/>
              </w:rPr>
              <w:t>其他技术服务人员（满分1分） 除上述负责人以外，供应商为本项目配置的其他技术服务人员中： （1）每提供1名服务人员具有生态类或环境类专业中级技术职称证书得0.25分；每提供1名服务人员具有生态类或环境类专业高级及以上技术职称证书得0.5分；本项最多得1分。 注：上述所有人员（含负责人）不重复计分；上述所有人员均须提供有效的身份证复印件、职称证书（若涉及）复印件、在职证明材料（可提供例如：至少1个月工资发放流水或劳动合同等任意一项可以证明劳动关系的材料）复印件加盖供应商公章。职称专业以类表述的是指职称证书专业名称须包含本项目所要求的相关专业名称即可。</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项目管理机构.docx</w:t>
            </w:r>
          </w:p>
        </w:tc>
      </w:tr>
      <w:tr>
        <w:tc>
          <w:tcPr>
            <w:tcW w:type="dxa" w:w="831"/>
            <w:vMerge/>
          </w:tcPr>
          <w:p/>
        </w:tc>
        <w:tc>
          <w:tcPr>
            <w:tcW w:type="dxa" w:w="1661"/>
          </w:tcPr>
          <w:p>
            <w:pPr>
              <w:pStyle w:val="null3"/>
              <w:jc w:val="left"/>
            </w:pPr>
            <w:r>
              <w:rPr>
                <w:rFonts w:ascii="仿宋_GB2312" w:hAnsi="仿宋_GB2312" w:cs="仿宋_GB2312" w:eastAsia="仿宋_GB2312"/>
              </w:rPr>
              <w:t>类似项目案例</w:t>
            </w:r>
          </w:p>
        </w:tc>
        <w:tc>
          <w:tcPr>
            <w:tcW w:type="dxa" w:w="2575"/>
          </w:tcPr>
          <w:p>
            <w:pPr>
              <w:pStyle w:val="null3"/>
              <w:jc w:val="left"/>
            </w:pPr>
            <w:r>
              <w:rPr>
                <w:rFonts w:ascii="仿宋_GB2312" w:hAnsi="仿宋_GB2312" w:cs="仿宋_GB2312" w:eastAsia="仿宋_GB2312"/>
              </w:rPr>
              <w:t>具有1个类似项目案例得0.5分，每增加一个加0.5分，本项最高得分1分；案例证明须提供中标（成交）通知书或合同协议书或委托书（包含但不限于合同首页、合同签字页）复印件，证明材料资料不全无法确定为类似案例，不予认可。 注：类似项目指：河（湖）生态修复或治理相关项目。</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供应商结合本项目实际情况制定详细的项目管理方案，内容包含但不限于①项目管理制度；②项目管理机构；③项目服务进度计划方案；④服务人员管理方案；⑤项目档案管理的主要内容及建立；⑥保密措施等。根据以上内容进行综合评分，满足以上内容且完全符合项目的得6分，每有一项缺失扣1分，每有一处不满足或有缺陷（不满足或缺陷是指：项目名称或采购主体或项目内容或实施时间错误；项目所涉及的技术标准或技术规范或政策法规错误；方案内容前后矛盾，逻辑错误；阐述不清，表达混乱，内容交叉重复或不连贯，表述有歧义，语言文字错误；内容简略，缺少与标题相对应的实质性内容；缺乏重要环节或关键节点内容或措施，或方案不能满足采购需求；照抄照搬其他方案项目方案或与本采购项目需求存在偏差；非专门面向本采购项目或与本采购项目采购需求无关等以上任意一种情形）的扣0.5分，扣完为止，未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质量保证方案</w:t>
            </w:r>
          </w:p>
        </w:tc>
        <w:tc>
          <w:tcPr>
            <w:tcW w:type="dxa" w:w="2575"/>
          </w:tcPr>
          <w:p>
            <w:pPr>
              <w:pStyle w:val="null3"/>
              <w:jc w:val="left"/>
            </w:pPr>
            <w:r>
              <w:rPr>
                <w:rFonts w:ascii="仿宋_GB2312" w:hAnsi="仿宋_GB2312" w:cs="仿宋_GB2312" w:eastAsia="仿宋_GB2312"/>
              </w:rPr>
              <w:t>供应商结合本项目实际情况制定详细的质量保证方案，内容包含但不限于①项目服务质量目标；②生态修复标准及依据；③生态修复的技术措施；④生态监测报送方案；⑤项目实施的相关设备保障措施等。根据以上内容进行综合评分，满足以上内容且完全符合项目的得10分，每有一项缺失扣2分，每有一处不满足或有缺陷（不满足或缺陷是指：项目名称或采购主体或项目内容或实施时间错误；项目所涉及的技术标准或技术规范或政策法规错误；方案内容前后矛盾，逻辑错误；阐述不清，表达混乱，内容交叉重复或不连贯，表述有歧义，语言文字错误；内容简略，缺少与标题相对应的实质性内容；缺乏重要环节或关键节点内容或措施，或方案不能满足采购需求；照抄照搬其他方案项目方案或与本采购项目需求存在偏差；非专门面向本采购项目或与本采购项目采购需求无关等以上任意一种情形）的扣1分，扣完为止，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项目技术管理方案</w:t>
            </w:r>
          </w:p>
        </w:tc>
        <w:tc>
          <w:tcPr>
            <w:tcW w:type="dxa" w:w="2575"/>
          </w:tcPr>
          <w:p>
            <w:pPr>
              <w:pStyle w:val="null3"/>
              <w:jc w:val="left"/>
            </w:pPr>
            <w:r>
              <w:rPr>
                <w:rFonts w:ascii="仿宋_GB2312" w:hAnsi="仿宋_GB2312" w:cs="仿宋_GB2312" w:eastAsia="仿宋_GB2312"/>
              </w:rPr>
              <w:t>供应商结合本项目实际情况制定详细的项目技术管理方案，内容包含但不限于①对本项目整体现状分析及踏勘（至少包含：对用户需求理解描述，区域环境概况、项目重点难点分析和技术处理措施）；②生态修复服务方案（至少包含生态修复现状分布图、具体修复技术及流程）；③生态修复区动态监测服务方案（至少包含监测管理服务体系建设方案、监测点位布设图、监测方法及频率、监测数据处理及反馈）；④运行维护服务方案（至少包含：具体运维措施、运维区域分区图、运维物资及设备保障、运维档案管理）；⑤生态管护服务（至少包含：设备巡检日常巡查措施、管护隐患排查、植被种植方案）；⑥培训及宣传服务方案（至少包含：分层培训体系、培训课程设计、宣传保障措施）等。根据以上内容进行综合评分，满足以上内容且完全符合项目的得18分，每有一项缺失扣3分，每有一处不满足或有缺陷（不满足或缺陷是指：项目名称或采购主体或项目内容或实施时间错误；项目所涉及的技术标准或技术规范或政策法规错误；方案内容前后矛盾，逻辑错误；阐述不清，表达混乱，内容交叉重复或不连贯，表述有歧义，语言文字错误；内容简略，缺少与标题相对应的实质性内容；缺乏重要环节或关键节点内容或措施，或方案不能满足采购需求；照抄照搬其他方案项目方案或与本采购项目需求存在偏差；非专门面向本采购项目或与本采购项目采购需求无关等以上任意一种情形）的扣1.5分，扣完为止，未提供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应急管理方案</w:t>
            </w:r>
          </w:p>
        </w:tc>
        <w:tc>
          <w:tcPr>
            <w:tcW w:type="dxa" w:w="2575"/>
          </w:tcPr>
          <w:p>
            <w:pPr>
              <w:pStyle w:val="null3"/>
              <w:jc w:val="left"/>
            </w:pPr>
            <w:r>
              <w:rPr>
                <w:rFonts w:ascii="仿宋_GB2312" w:hAnsi="仿宋_GB2312" w:cs="仿宋_GB2312" w:eastAsia="仿宋_GB2312"/>
              </w:rPr>
              <w:t>供应商结合本项目实际情况制定详细的应急管理方案，内容包含但不限于①服务重大缺陷处理措施；②根据项目所涉及服务的详细应急措施；③作业机械及技术服务人员安全突发事件处理措施；④实施环境突发事件应急防控措施；⑤火灾、自然灾害（大风、暴雨）等突发灾害应急预案等，根据以上内容进行综合评分，满足以上内容且完全符合项目的得10分，每有一项缺失扣2分，每有一处不满足或有缺陷（不满足或缺陷是指：项目名称或采购主体或项目内容或实施时间错误；项目所涉及的技术标准或技术规范或政策法规错误；方案内容前后矛盾，逻辑错误；阐述不清，表达混乱，内容交叉重复或不连贯，表述有歧义，语言文字错误；内容简略，缺少与标题相对应的实质性内容；缺乏重要环节或关键节点内容或措施，或方案不能满足采购需求；照抄照搬其他方案项目方案或与本采购项目需求存在偏差；非专门面向本采购项目或与本采购项目采购需求无关等以上任意一种情形）的扣1分，扣完为止，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供应商结合本项目实际情况制定详细的后续服务方案，内容包含但不限于①后续服务机构设置；②后续服务保障措施；③后续服务跟踪回访及成果延伸应用服务等。根据以上内容进行综合评分，满足以上内容且完全符合项目的得3分，每有一项缺失扣1分，每有一处不满足或有缺陷（不满足或缺陷是指：项目名称或采购主体或项目内容或实施时间错误；项目所涉及的技术标准或技术规范或政策法规错误；方案内容前后矛盾，逻辑错误；阐述不清，表达混乱，内容交叉重复或不连贯，表述有歧义，语言文字错误；内容简略，缺少与标题相对应的实质性内容；缺乏重要环节或关键节点内容或措施，或方案不能满足采购需求；照抄照搬其他方案项目方案或与本采购项目需求存在偏差；非专门面向本采购项目或与本采购项目采购需求无关等以上任意一种情形）的扣0.5分，扣完为止，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项目管理机构.docx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综合评分法中的价格分统一采用低价优先法计算，即满足采购文件要求且最低的有效最终报价为基准价，其价格分为满分。其他供应商的价格分统一按照下列公式计算：报价得分=（基准价／有效最终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详见附件：投标人基本情况表.docx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详见附件：项目管理机构.docx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详见附件：南充市高坪区螺溪河(长乐段)生态修复服务项目（服务类）.docx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