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版本号：N513232202600000220260331002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若尔盖县2025年中央财政林业草原专项资金预算（第二批）-草原有害生物防治项目(二次)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N5132322026000002</w:t>
      </w:r>
    </w:p>
    <w:p>
      <w:pPr>
        <w:pStyle w:val="null3"/>
        <w:jc w:val="left"/>
        <w:outlineLvl w:val="2"/>
      </w:pPr>
      <w:r>
        <w:rPr>
          <w:rFonts w:ascii="仿宋_GB2312" w:hAnsi="仿宋_GB2312" w:cs="仿宋_GB2312" w:eastAsia="仿宋_GB2312"/>
          <w:sz w:val="28"/>
          <w:b/>
        </w:rPr>
        <w:t>若尔盖县林业和草原局</w:t>
      </w:r>
    </w:p>
    <w:p>
      <w:pPr>
        <w:pStyle w:val="null3"/>
        <w:jc w:val="center"/>
        <w:outlineLvl w:val="2"/>
      </w:pPr>
      <w:r>
        <w:rPr>
          <w:rFonts w:ascii="仿宋_GB2312" w:hAnsi="仿宋_GB2312" w:cs="仿宋_GB2312" w:eastAsia="仿宋_GB2312"/>
          <w:sz w:val="28"/>
          <w:b/>
        </w:rPr>
        <w:t>四川中川盛禾工程项目管理有限公司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四川中川盛禾工程项目管理有限公司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若尔盖县林业和草原局</w:t>
      </w:r>
      <w:r>
        <w:rPr>
          <w:rFonts w:ascii="仿宋_GB2312" w:hAnsi="仿宋_GB2312" w:cs="仿宋_GB2312" w:eastAsia="仿宋_GB2312"/>
        </w:rPr>
        <w:t xml:space="preserve"> 委托，拟对 </w:t>
      </w:r>
      <w:r>
        <w:rPr>
          <w:rFonts w:ascii="仿宋_GB2312" w:hAnsi="仿宋_GB2312" w:cs="仿宋_GB2312" w:eastAsia="仿宋_GB2312"/>
        </w:rPr>
        <w:t>若尔盖县2025年中央财政林业草原专项资金预算（第二批）-草原有害生物防治项目(二次)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阿坝藏族羌族自治州若尔盖县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N5132322026000002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若尔盖县2025年中央财政林业草原专项资金预算（第二批）-草原有害生物防治项目(二次)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一个包，为若尔盖县2025年中央财政林业草原专项资金预算（第二批）-草原有害生物防治项目，通过实施草原鼠害与草原虫害防治，降低高原鼠兔有效洞口密度，遏制草原退化斑块扩张，促进植被自然恢复，提升项目区草原综合植被盖度与水源涵养能力；有效控制草原毛虫等种群数量，维护草原生物多样性，保障草场健康稳定。全面增强若尔盖县草原有害生物综合防控能力，筑牢黄河上游生态安全屏障。 项目具体实施内容为：一、开展草原鼠害防治50万亩：根据《主要草原有害生物防治指标》（办草字〔2021〕73号）文件要求，鼠害防控应在防控结束后一个月之内进行验收，防治作业效果达到85%以上，高原鼠兔有效洞口由223个/公顷降到180个/公顷以下。二、开展草原虫害防治10万亩：草原虫害防控综合效果达到90%以上，虫害密度控制在防治指标以下，草原毛虫（3~4龄幼虫）虫口密度由33头/m</w:t>
      </w:r>
      <w:r>
        <w:rPr>
          <w:rFonts w:ascii="仿宋_GB2312" w:hAnsi="仿宋_GB2312" w:cs="仿宋_GB2312" w:eastAsia="仿宋_GB2312"/>
          <w:vertAlign w:val="superscript"/>
        </w:rPr>
        <w:t>2</w:t>
      </w:r>
      <w:r>
        <w:rPr>
          <w:rFonts w:ascii="仿宋_GB2312" w:hAnsi="仿宋_GB2312" w:cs="仿宋_GB2312" w:eastAsia="仿宋_GB2312"/>
        </w:rPr>
        <w:t>降到30头/m</w:t>
      </w:r>
      <w:r>
        <w:rPr>
          <w:rFonts w:ascii="仿宋_GB2312" w:hAnsi="仿宋_GB2312" w:cs="仿宋_GB2312" w:eastAsia="仿宋_GB2312"/>
          <w:vertAlign w:val="superscript"/>
        </w:rPr>
        <w:t>2</w:t>
      </w:r>
      <w:r>
        <w:rPr>
          <w:rFonts w:ascii="仿宋_GB2312" w:hAnsi="仿宋_GB2312" w:cs="仿宋_GB2312" w:eastAsia="仿宋_GB2312"/>
        </w:rPr>
        <w:t>以下。</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1、供应商具有农药经营许可证（描述：供应商具有农药经营许可证（提供有效证书复印件并加盖单位公章））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若尔盖县林业和草原局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达扎寺镇麦溪路39号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壮老师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0837-6796387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四川中川盛禾工程项目管理有限公司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成都市武侯区武科西五路38号盈创创意中心2栋503号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18884859129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采购包1：1,330,000.00元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次代理服务费按照成本加合理利润的原则向中标（成交）供应商收取代理服务费，由中标（成交）供应商在领取中标通知书前一次性支付。本项目代理服务费为21280.00元，收款单位：四川中川盛禾工程项目管理有限公司，收款账号：8111001011500937941，开户行：中信银行股份有限公司成都成飞大道支行</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若尔盖县林业和草原局</w:t>
      </w:r>
      <w:r>
        <w:rPr>
          <w:rFonts w:ascii="仿宋_GB2312" w:hAnsi="仿宋_GB2312" w:cs="仿宋_GB2312" w:eastAsia="仿宋_GB2312"/>
        </w:rPr>
        <w:t xml:space="preserve"> 和 </w:t>
      </w:r>
      <w:r>
        <w:rPr>
          <w:rFonts w:ascii="仿宋_GB2312" w:hAnsi="仿宋_GB2312" w:cs="仿宋_GB2312" w:eastAsia="仿宋_GB2312"/>
        </w:rPr>
        <w:t>四川中川盛禾工程项目管理有限公司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若尔盖县林业和草原局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四川中川盛禾工程项目管理有限公司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详见采购文件及供应商响应文件技术要求。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详见采购文件及供应商响应文件商务要求。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符合国家、行业标准、四川省地方标准规定的验收标准。严格按照《财政部关于进一步加强政府采购需求和履约验收管理的指导意见》（财库〔2016〕205 号）及《政府采购需求管理办法》（财库〔2021〕22 号）的要求组织验收，验收应以采购合同、采购文件、响应文件及其补充文件、国家或行业相关 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若尔盖县林业和草原局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四川中川盛禾工程项目管理有限公司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四川中川盛禾工程项目管理有限公司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联系人：壮老师</w:t>
      </w:r>
    </w:p>
    <w:p>
      <w:pPr>
        <w:pStyle w:val="null3"/>
        <w:jc w:val="left"/>
      </w:pPr>
      <w:r>
        <w:rPr>
          <w:rFonts w:ascii="仿宋_GB2312" w:hAnsi="仿宋_GB2312" w:cs="仿宋_GB2312" w:eastAsia="仿宋_GB2312"/>
        </w:rPr>
        <w:t>联系电话：0837-6796387</w:t>
      </w:r>
    </w:p>
    <w:p>
      <w:pPr>
        <w:pStyle w:val="null3"/>
        <w:jc w:val="left"/>
      </w:pPr>
      <w:r>
        <w:rPr>
          <w:rFonts w:ascii="仿宋_GB2312" w:hAnsi="仿宋_GB2312" w:cs="仿宋_GB2312" w:eastAsia="仿宋_GB2312"/>
        </w:rPr>
        <w:t>地址：达扎寺镇麦溪路39号</w:t>
      </w:r>
    </w:p>
    <w:p>
      <w:pPr>
        <w:pStyle w:val="null3"/>
        <w:jc w:val="left"/>
      </w:pPr>
      <w:r>
        <w:rPr>
          <w:rFonts w:ascii="仿宋_GB2312" w:hAnsi="仿宋_GB2312" w:cs="仿宋_GB2312" w:eastAsia="仿宋_GB2312"/>
        </w:rPr>
        <w:t>邮编：624500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联系人：吴先生</w:t>
      </w:r>
    </w:p>
    <w:p>
      <w:pPr>
        <w:pStyle w:val="null3"/>
        <w:jc w:val="left"/>
      </w:pPr>
      <w:r>
        <w:rPr>
          <w:rFonts w:ascii="仿宋_GB2312" w:hAnsi="仿宋_GB2312" w:cs="仿宋_GB2312" w:eastAsia="仿宋_GB2312"/>
        </w:rPr>
        <w:t>联系电话：18884859129</w:t>
      </w:r>
    </w:p>
    <w:p>
      <w:pPr>
        <w:pStyle w:val="null3"/>
        <w:jc w:val="left"/>
      </w:pPr>
      <w:r>
        <w:rPr>
          <w:rFonts w:ascii="仿宋_GB2312" w:hAnsi="仿宋_GB2312" w:cs="仿宋_GB2312" w:eastAsia="仿宋_GB2312"/>
        </w:rPr>
        <w:t>地址：成都市武侯区武科西五路38号盈创创意中心2栋503号</w:t>
      </w:r>
    </w:p>
    <w:p>
      <w:pPr>
        <w:pStyle w:val="null3"/>
        <w:jc w:val="left"/>
      </w:pPr>
      <w:r>
        <w:rPr>
          <w:rFonts w:ascii="仿宋_GB2312" w:hAnsi="仿宋_GB2312" w:cs="仿宋_GB2312" w:eastAsia="仿宋_GB2312"/>
        </w:rPr>
        <w:t>邮编：610046</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1,330,000.00</w:t>
      </w:r>
    </w:p>
    <w:p>
      <w:pPr>
        <w:pStyle w:val="null3"/>
        <w:jc w:val="left"/>
      </w:pPr>
      <w:r>
        <w:rPr>
          <w:rFonts w:ascii="仿宋_GB2312" w:hAnsi="仿宋_GB2312" w:cs="仿宋_GB2312" w:eastAsia="仿宋_GB2312"/>
        </w:rPr>
        <w:t>采购包最高限价（元）: 1,330,000.00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D型肉毒梭菌毒素</w:t>
            </w:r>
          </w:p>
        </w:tc>
        <w:tc>
          <w:tcPr>
            <w:tcW w:type="dxa" w:w="821"/>
          </w:tcPr>
          <w:p>
            <w:pPr>
              <w:pStyle w:val="null3"/>
              <w:jc w:val="right"/>
            </w:pPr>
            <w:r>
              <w:rPr>
                <w:rFonts w:ascii="仿宋_GB2312" w:hAnsi="仿宋_GB2312" w:cs="仿宋_GB2312" w:eastAsia="仿宋_GB2312"/>
              </w:rPr>
              <w:t>100.00（升）</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燕麦饵料</w:t>
            </w:r>
          </w:p>
        </w:tc>
        <w:tc>
          <w:tcPr>
            <w:tcW w:type="dxa" w:w="821"/>
          </w:tcPr>
          <w:p>
            <w:pPr>
              <w:pStyle w:val="null3"/>
              <w:jc w:val="right"/>
            </w:pPr>
            <w:r>
              <w:rPr>
                <w:rFonts w:ascii="仿宋_GB2312" w:hAnsi="仿宋_GB2312" w:cs="仿宋_GB2312" w:eastAsia="仿宋_GB2312"/>
              </w:rPr>
              <w:t>50,122.19（kg）</w:t>
            </w:r>
          </w:p>
        </w:tc>
        <w:tc>
          <w:tcPr>
            <w:tcW w:type="dxa" w:w="821"/>
          </w:tcPr>
          <w:p>
            <w:pPr>
              <w:pStyle w:val="null3"/>
              <w:jc w:val="right"/>
            </w:pPr>
            <w:r>
              <w:rPr>
                <w:rFonts w:ascii="仿宋_GB2312" w:hAnsi="仿宋_GB2312" w:cs="仿宋_GB2312" w:eastAsia="仿宋_GB2312"/>
              </w:rPr>
              <w:t>300,730.00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防护服</w:t>
            </w:r>
          </w:p>
        </w:tc>
        <w:tc>
          <w:tcPr>
            <w:tcW w:type="dxa" w:w="821"/>
          </w:tcPr>
          <w:p>
            <w:pPr>
              <w:pStyle w:val="null3"/>
              <w:jc w:val="right"/>
            </w:pPr>
            <w:r>
              <w:rPr>
                <w:rFonts w:ascii="仿宋_GB2312" w:hAnsi="仿宋_GB2312" w:cs="仿宋_GB2312" w:eastAsia="仿宋_GB2312"/>
              </w:rPr>
              <w:t>1,010.00（套）</w:t>
            </w:r>
          </w:p>
        </w:tc>
        <w:tc>
          <w:tcPr>
            <w:tcW w:type="dxa" w:w="821"/>
          </w:tcPr>
          <w:p>
            <w:pPr>
              <w:pStyle w:val="null3"/>
              <w:jc w:val="right"/>
            </w:pPr>
            <w:r>
              <w:rPr>
                <w:rFonts w:ascii="仿宋_GB2312" w:hAnsi="仿宋_GB2312" w:cs="仿宋_GB2312" w:eastAsia="仿宋_GB2312"/>
              </w:rPr>
              <w:t>20,200.00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手套</w:t>
            </w:r>
          </w:p>
        </w:tc>
        <w:tc>
          <w:tcPr>
            <w:tcW w:type="dxa" w:w="821"/>
          </w:tcPr>
          <w:p>
            <w:pPr>
              <w:pStyle w:val="null3"/>
              <w:jc w:val="right"/>
            </w:pPr>
            <w:r>
              <w:rPr>
                <w:rFonts w:ascii="仿宋_GB2312" w:hAnsi="仿宋_GB2312" w:cs="仿宋_GB2312" w:eastAsia="仿宋_GB2312"/>
              </w:rPr>
              <w:t>4,090.00（双）</w:t>
            </w:r>
          </w:p>
        </w:tc>
        <w:tc>
          <w:tcPr>
            <w:tcW w:type="dxa" w:w="821"/>
          </w:tcPr>
          <w:p>
            <w:pPr>
              <w:pStyle w:val="null3"/>
              <w:jc w:val="right"/>
            </w:pPr>
            <w:r>
              <w:rPr>
                <w:rFonts w:ascii="仿宋_GB2312" w:hAnsi="仿宋_GB2312" w:cs="仿宋_GB2312" w:eastAsia="仿宋_GB2312"/>
              </w:rPr>
              <w:t>4,090.00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口罩</w:t>
            </w:r>
          </w:p>
        </w:tc>
        <w:tc>
          <w:tcPr>
            <w:tcW w:type="dxa" w:w="821"/>
          </w:tcPr>
          <w:p>
            <w:pPr>
              <w:pStyle w:val="null3"/>
              <w:jc w:val="right"/>
            </w:pPr>
            <w:r>
              <w:rPr>
                <w:rFonts w:ascii="仿宋_GB2312" w:hAnsi="仿宋_GB2312" w:cs="仿宋_GB2312" w:eastAsia="仿宋_GB2312"/>
              </w:rPr>
              <w:t>5,000.00（个）</w:t>
            </w:r>
          </w:p>
        </w:tc>
        <w:tc>
          <w:tcPr>
            <w:tcW w:type="dxa" w:w="821"/>
          </w:tcPr>
          <w:p>
            <w:pPr>
              <w:pStyle w:val="null3"/>
              <w:jc w:val="right"/>
            </w:pPr>
            <w:r>
              <w:rPr>
                <w:rFonts w:ascii="仿宋_GB2312" w:hAnsi="仿宋_GB2312" w:cs="仿宋_GB2312" w:eastAsia="仿宋_GB2312"/>
              </w:rPr>
              <w:t>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肥皂</w:t>
            </w:r>
          </w:p>
        </w:tc>
        <w:tc>
          <w:tcPr>
            <w:tcW w:type="dxa" w:w="821"/>
          </w:tcPr>
          <w:p>
            <w:pPr>
              <w:pStyle w:val="null3"/>
              <w:jc w:val="right"/>
            </w:pPr>
            <w:r>
              <w:rPr>
                <w:rFonts w:ascii="仿宋_GB2312" w:hAnsi="仿宋_GB2312" w:cs="仿宋_GB2312" w:eastAsia="仿宋_GB2312"/>
              </w:rPr>
              <w:t>3,000.00（个）</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毛巾</w:t>
            </w:r>
          </w:p>
        </w:tc>
        <w:tc>
          <w:tcPr>
            <w:tcW w:type="dxa" w:w="821"/>
          </w:tcPr>
          <w:p>
            <w:pPr>
              <w:pStyle w:val="null3"/>
              <w:jc w:val="right"/>
            </w:pPr>
            <w:r>
              <w:rPr>
                <w:rFonts w:ascii="仿宋_GB2312" w:hAnsi="仿宋_GB2312" w:cs="仿宋_GB2312" w:eastAsia="仿宋_GB2312"/>
              </w:rPr>
              <w:t>1,000.00（条）</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其他项（鼠害防治投饵）</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苦参碱</w:t>
            </w:r>
          </w:p>
        </w:tc>
        <w:tc>
          <w:tcPr>
            <w:tcW w:type="dxa" w:w="821"/>
          </w:tcPr>
          <w:p>
            <w:pPr>
              <w:pStyle w:val="null3"/>
              <w:jc w:val="right"/>
            </w:pPr>
            <w:r>
              <w:rPr>
                <w:rFonts w:ascii="仿宋_GB2312" w:hAnsi="仿宋_GB2312" w:cs="仿宋_GB2312" w:eastAsia="仿宋_GB2312"/>
              </w:rPr>
              <w:t>2,468.88（升）</w:t>
            </w:r>
          </w:p>
        </w:tc>
        <w:tc>
          <w:tcPr>
            <w:tcW w:type="dxa" w:w="821"/>
          </w:tcPr>
          <w:p>
            <w:pPr>
              <w:pStyle w:val="null3"/>
              <w:jc w:val="right"/>
            </w:pPr>
            <w:r>
              <w:rPr>
                <w:rFonts w:ascii="仿宋_GB2312" w:hAnsi="仿宋_GB2312" w:cs="仿宋_GB2312" w:eastAsia="仿宋_GB2312"/>
              </w:rPr>
              <w:t>160,480.00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其他项（虫害防治喷施药品）</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170,000.00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D型肉毒梭菌毒素</w:t>
            </w:r>
          </w:p>
        </w:tc>
        <w:tc>
          <w:tcPr>
            <w:tcW w:type="dxa" w:w="1138"/>
          </w:tcPr>
          <w:p>
            <w:pPr>
              <w:pStyle w:val="null3"/>
              <w:jc w:val="center"/>
            </w:pPr>
            <w:r>
              <w:rPr>
                <w:rFonts w:ascii="仿宋_GB2312" w:hAnsi="仿宋_GB2312" w:cs="仿宋_GB2312" w:eastAsia="仿宋_GB2312"/>
              </w:rPr>
              <w:t>100.00（升）</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燕麦饵料</w:t>
            </w:r>
          </w:p>
        </w:tc>
        <w:tc>
          <w:tcPr>
            <w:tcW w:type="dxa" w:w="1138"/>
          </w:tcPr>
          <w:p>
            <w:pPr>
              <w:pStyle w:val="null3"/>
              <w:jc w:val="center"/>
            </w:pPr>
            <w:r>
              <w:rPr>
                <w:rFonts w:ascii="仿宋_GB2312" w:hAnsi="仿宋_GB2312" w:cs="仿宋_GB2312" w:eastAsia="仿宋_GB2312"/>
              </w:rPr>
              <w:t>50,122.19（kg）</w:t>
            </w:r>
          </w:p>
        </w:tc>
        <w:tc>
          <w:tcPr>
            <w:tcW w:type="dxa" w:w="1365"/>
          </w:tcPr>
          <w:p>
            <w:pPr>
              <w:pStyle w:val="null3"/>
              <w:jc w:val="center"/>
            </w:pPr>
            <w:r>
              <w:rPr>
                <w:rFonts w:ascii="仿宋_GB2312" w:hAnsi="仿宋_GB2312" w:cs="仿宋_GB2312" w:eastAsia="仿宋_GB2312"/>
              </w:rPr>
              <w:t>300,730.00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防护服</w:t>
            </w:r>
          </w:p>
        </w:tc>
        <w:tc>
          <w:tcPr>
            <w:tcW w:type="dxa" w:w="1138"/>
          </w:tcPr>
          <w:p>
            <w:pPr>
              <w:pStyle w:val="null3"/>
              <w:jc w:val="center"/>
            </w:pPr>
            <w:r>
              <w:rPr>
                <w:rFonts w:ascii="仿宋_GB2312" w:hAnsi="仿宋_GB2312" w:cs="仿宋_GB2312" w:eastAsia="仿宋_GB2312"/>
              </w:rPr>
              <w:t>1,010.00（套）</w:t>
            </w:r>
          </w:p>
        </w:tc>
        <w:tc>
          <w:tcPr>
            <w:tcW w:type="dxa" w:w="1365"/>
          </w:tcPr>
          <w:p>
            <w:pPr>
              <w:pStyle w:val="null3"/>
              <w:jc w:val="center"/>
            </w:pPr>
            <w:r>
              <w:rPr>
                <w:rFonts w:ascii="仿宋_GB2312" w:hAnsi="仿宋_GB2312" w:cs="仿宋_GB2312" w:eastAsia="仿宋_GB2312"/>
              </w:rPr>
              <w:t>20,200.00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手套</w:t>
            </w:r>
          </w:p>
        </w:tc>
        <w:tc>
          <w:tcPr>
            <w:tcW w:type="dxa" w:w="1138"/>
          </w:tcPr>
          <w:p>
            <w:pPr>
              <w:pStyle w:val="null3"/>
              <w:jc w:val="center"/>
            </w:pPr>
            <w:r>
              <w:rPr>
                <w:rFonts w:ascii="仿宋_GB2312" w:hAnsi="仿宋_GB2312" w:cs="仿宋_GB2312" w:eastAsia="仿宋_GB2312"/>
              </w:rPr>
              <w:t>4,090.00（双）</w:t>
            </w:r>
          </w:p>
        </w:tc>
        <w:tc>
          <w:tcPr>
            <w:tcW w:type="dxa" w:w="1365"/>
          </w:tcPr>
          <w:p>
            <w:pPr>
              <w:pStyle w:val="null3"/>
              <w:jc w:val="center"/>
            </w:pPr>
            <w:r>
              <w:rPr>
                <w:rFonts w:ascii="仿宋_GB2312" w:hAnsi="仿宋_GB2312" w:cs="仿宋_GB2312" w:eastAsia="仿宋_GB2312"/>
              </w:rPr>
              <w:t>4,090.00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口罩</w:t>
            </w:r>
          </w:p>
        </w:tc>
        <w:tc>
          <w:tcPr>
            <w:tcW w:type="dxa" w:w="1138"/>
          </w:tcPr>
          <w:p>
            <w:pPr>
              <w:pStyle w:val="null3"/>
              <w:jc w:val="center"/>
            </w:pPr>
            <w:r>
              <w:rPr>
                <w:rFonts w:ascii="仿宋_GB2312" w:hAnsi="仿宋_GB2312" w:cs="仿宋_GB2312" w:eastAsia="仿宋_GB2312"/>
              </w:rPr>
              <w:t>5,000.00（个）</w:t>
            </w:r>
          </w:p>
        </w:tc>
        <w:tc>
          <w:tcPr>
            <w:tcW w:type="dxa" w:w="1365"/>
          </w:tcPr>
          <w:p>
            <w:pPr>
              <w:pStyle w:val="null3"/>
              <w:jc w:val="center"/>
            </w:pPr>
            <w:r>
              <w:rPr>
                <w:rFonts w:ascii="仿宋_GB2312" w:hAnsi="仿宋_GB2312" w:cs="仿宋_GB2312" w:eastAsia="仿宋_GB2312"/>
              </w:rPr>
              <w:t>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肥皂</w:t>
            </w:r>
          </w:p>
        </w:tc>
        <w:tc>
          <w:tcPr>
            <w:tcW w:type="dxa" w:w="1138"/>
          </w:tcPr>
          <w:p>
            <w:pPr>
              <w:pStyle w:val="null3"/>
              <w:jc w:val="center"/>
            </w:pPr>
            <w:r>
              <w:rPr>
                <w:rFonts w:ascii="仿宋_GB2312" w:hAnsi="仿宋_GB2312" w:cs="仿宋_GB2312" w:eastAsia="仿宋_GB2312"/>
              </w:rPr>
              <w:t>3,000.00（个）</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毛巾</w:t>
            </w:r>
          </w:p>
        </w:tc>
        <w:tc>
          <w:tcPr>
            <w:tcW w:type="dxa" w:w="1138"/>
          </w:tcPr>
          <w:p>
            <w:pPr>
              <w:pStyle w:val="null3"/>
              <w:jc w:val="center"/>
            </w:pPr>
            <w:r>
              <w:rPr>
                <w:rFonts w:ascii="仿宋_GB2312" w:hAnsi="仿宋_GB2312" w:cs="仿宋_GB2312" w:eastAsia="仿宋_GB2312"/>
              </w:rPr>
              <w:t>1,000.00（条）</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其他项（鼠害防治投饵）</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苦参碱</w:t>
            </w:r>
          </w:p>
        </w:tc>
        <w:tc>
          <w:tcPr>
            <w:tcW w:type="dxa" w:w="1138"/>
          </w:tcPr>
          <w:p>
            <w:pPr>
              <w:pStyle w:val="null3"/>
              <w:jc w:val="center"/>
            </w:pPr>
            <w:r>
              <w:rPr>
                <w:rFonts w:ascii="仿宋_GB2312" w:hAnsi="仿宋_GB2312" w:cs="仿宋_GB2312" w:eastAsia="仿宋_GB2312"/>
              </w:rPr>
              <w:t>2,468.88（升）</w:t>
            </w:r>
          </w:p>
        </w:tc>
        <w:tc>
          <w:tcPr>
            <w:tcW w:type="dxa" w:w="1365"/>
          </w:tcPr>
          <w:p>
            <w:pPr>
              <w:pStyle w:val="null3"/>
              <w:jc w:val="center"/>
            </w:pPr>
            <w:r>
              <w:rPr>
                <w:rFonts w:ascii="仿宋_GB2312" w:hAnsi="仿宋_GB2312" w:cs="仿宋_GB2312" w:eastAsia="仿宋_GB2312"/>
              </w:rPr>
              <w:t>160,480.00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其他项（虫害防治喷施药品）</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燕麦饵料</w:t>
            </w:r>
          </w:p>
        </w:tc>
        <w:tc>
          <w:tcPr>
            <w:tcW w:type="dxa" w:w="2492"/>
          </w:tcPr>
          <w:p>
            <w:pPr>
              <w:pStyle w:val="null3"/>
              <w:jc w:val="left"/>
            </w:pPr>
            <w:r>
              <w:rPr>
                <w:rFonts w:ascii="仿宋_GB2312" w:hAnsi="仿宋_GB2312" w:cs="仿宋_GB2312" w:eastAsia="仿宋_GB2312"/>
              </w:rPr>
              <w:t>燕麦饵料</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标的名称：D型肉毒梭菌毒素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rPr>
              <w:t>有效成分：</w:t>
            </w:r>
            <w:r>
              <w:rPr>
                <w:rFonts w:ascii="仿宋_GB2312" w:hAnsi="仿宋_GB2312" w:cs="仿宋_GB2312" w:eastAsia="仿宋_GB2312"/>
                <w:sz w:val="24"/>
              </w:rPr>
              <w:t>1500万毒价/毫升；</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剂型：浓饵剂；</w:t>
            </w:r>
          </w:p>
        </w:tc>
      </w:tr>
    </w:tbl>
    <w:p>
      <w:pPr>
        <w:pStyle w:val="null3"/>
        <w:jc w:val="left"/>
      </w:pPr>
      <w:r>
        <w:rPr>
          <w:rFonts w:ascii="仿宋_GB2312" w:hAnsi="仿宋_GB2312" w:cs="仿宋_GB2312" w:eastAsia="仿宋_GB2312"/>
        </w:rPr>
        <w:t>标的名称：燕麦饵料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无霉变燕麦</w:t>
            </w:r>
          </w:p>
        </w:tc>
      </w:tr>
    </w:tbl>
    <w:p>
      <w:pPr>
        <w:pStyle w:val="null3"/>
        <w:jc w:val="left"/>
      </w:pPr>
      <w:r>
        <w:rPr>
          <w:rFonts w:ascii="仿宋_GB2312" w:hAnsi="仿宋_GB2312" w:cs="仿宋_GB2312" w:eastAsia="仿宋_GB2312"/>
        </w:rPr>
        <w:t>标的名称：防护服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 19082-2023</w:t>
            </w:r>
            <w:r>
              <w:rPr>
                <w:rFonts w:ascii="仿宋_GB2312" w:hAnsi="仿宋_GB2312" w:cs="仿宋_GB2312" w:eastAsia="仿宋_GB2312"/>
                <w:sz w:val="24"/>
                <w:color w:val="000000"/>
              </w:rPr>
              <w:t>《医用一次性防护服》</w:t>
            </w:r>
            <w:r>
              <w:rPr>
                <w:rFonts w:ascii="仿宋_GB2312" w:hAnsi="仿宋_GB2312" w:cs="仿宋_GB2312" w:eastAsia="仿宋_GB2312"/>
                <w:sz w:val="24"/>
                <w:color w:val="000000"/>
              </w:rPr>
              <w:t>标准</w:t>
            </w:r>
          </w:p>
        </w:tc>
      </w:tr>
    </w:tbl>
    <w:p>
      <w:pPr>
        <w:pStyle w:val="null3"/>
        <w:jc w:val="left"/>
      </w:pPr>
      <w:r>
        <w:rPr>
          <w:rFonts w:ascii="仿宋_GB2312" w:hAnsi="仿宋_GB2312" w:cs="仿宋_GB2312" w:eastAsia="仿宋_GB2312"/>
        </w:rPr>
        <w:t>标的名称：手套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GB10213一2006《一次性使用医用橡胶检查手套》</w:t>
            </w:r>
            <w:r>
              <w:rPr>
                <w:rFonts w:ascii="仿宋_GB2312" w:hAnsi="仿宋_GB2312" w:cs="仿宋_GB2312" w:eastAsia="仿宋_GB2312"/>
                <w:sz w:val="24"/>
                <w:color w:val="000000"/>
              </w:rPr>
              <w:t>标准</w:t>
            </w:r>
          </w:p>
        </w:tc>
      </w:tr>
    </w:tbl>
    <w:p>
      <w:pPr>
        <w:pStyle w:val="null3"/>
        <w:jc w:val="left"/>
      </w:pPr>
      <w:r>
        <w:rPr>
          <w:rFonts w:ascii="仿宋_GB2312" w:hAnsi="仿宋_GB2312" w:cs="仿宋_GB2312" w:eastAsia="仿宋_GB2312"/>
        </w:rPr>
        <w:t>标的名称：口罩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YY 0469-2023《医用外科口罩》</w:t>
            </w:r>
            <w:r>
              <w:rPr>
                <w:rFonts w:ascii="仿宋_GB2312" w:hAnsi="仿宋_GB2312" w:cs="仿宋_GB2312" w:eastAsia="仿宋_GB2312"/>
                <w:sz w:val="24"/>
                <w:color w:val="000000"/>
              </w:rPr>
              <w:t>标准</w:t>
            </w:r>
          </w:p>
        </w:tc>
      </w:tr>
    </w:tbl>
    <w:p>
      <w:pPr>
        <w:pStyle w:val="null3"/>
        <w:jc w:val="left"/>
      </w:pPr>
      <w:r>
        <w:rPr>
          <w:rFonts w:ascii="仿宋_GB2312" w:hAnsi="仿宋_GB2312" w:cs="仿宋_GB2312" w:eastAsia="仿宋_GB2312"/>
        </w:rPr>
        <w:t>标的名称：肥皂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一般要求</w:t>
            </w:r>
          </w:p>
        </w:tc>
        <w:tc>
          <w:tcPr>
            <w:tcW w:type="dxa" w:w="5814"/>
          </w:tcPr>
          <w:p>
            <w:pPr>
              <w:pStyle w:val="null3"/>
              <w:jc w:val="left"/>
            </w:pPr>
            <w:r>
              <w:rPr>
                <w:rFonts w:ascii="仿宋_GB2312" w:hAnsi="仿宋_GB2312" w:cs="仿宋_GB2312" w:eastAsia="仿宋_GB2312"/>
              </w:rPr>
              <w:t>符合</w:t>
            </w:r>
            <w:r>
              <w:rPr>
                <w:rFonts w:ascii="仿宋_GB2312" w:hAnsi="仿宋_GB2312" w:cs="仿宋_GB2312" w:eastAsia="仿宋_GB2312"/>
                <w:sz w:val="24"/>
                <w:color w:val="000000"/>
              </w:rPr>
              <w:t>QB/T 1913 Ⅱ型</w:t>
            </w:r>
          </w:p>
        </w:tc>
      </w:tr>
    </w:tbl>
    <w:p>
      <w:pPr>
        <w:pStyle w:val="null3"/>
        <w:jc w:val="left"/>
      </w:pPr>
      <w:r>
        <w:rPr>
          <w:rFonts w:ascii="仿宋_GB2312" w:hAnsi="仿宋_GB2312" w:cs="仿宋_GB2312" w:eastAsia="仿宋_GB2312"/>
        </w:rPr>
        <w:t>标的名称：毛巾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一般要求</w:t>
            </w:r>
          </w:p>
        </w:tc>
        <w:tc>
          <w:tcPr>
            <w:tcW w:type="dxa" w:w="5814"/>
          </w:tcPr>
          <w:p>
            <w:pPr>
              <w:pStyle w:val="null3"/>
              <w:jc w:val="left"/>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 xml:space="preserve">100% </w:t>
            </w:r>
            <w:r>
              <w:rPr>
                <w:rFonts w:ascii="仿宋_GB2312" w:hAnsi="仿宋_GB2312" w:cs="仿宋_GB2312" w:eastAsia="仿宋_GB2312"/>
                <w:sz w:val="24"/>
                <w:color w:val="000000"/>
              </w:rPr>
              <w:t>棉</w:t>
            </w:r>
          </w:p>
          <w:p>
            <w:pPr>
              <w:pStyle w:val="null3"/>
              <w:jc w:val="both"/>
            </w:pPr>
            <w:r>
              <w:rPr>
                <w:rFonts w:ascii="仿宋_GB2312" w:hAnsi="仿宋_GB2312" w:cs="仿宋_GB2312" w:eastAsia="仿宋_GB2312"/>
                <w:sz w:val="24"/>
                <w:color w:val="000000"/>
              </w:rPr>
              <w:t>尺寸：</w:t>
            </w:r>
            <w:r>
              <w:rPr>
                <w:rFonts w:ascii="仿宋_GB2312" w:hAnsi="仿宋_GB2312" w:cs="仿宋_GB2312" w:eastAsia="仿宋_GB2312"/>
                <w:sz w:val="24"/>
                <w:color w:val="000000"/>
              </w:rPr>
              <w:t>34*73cm（±2cm ）</w:t>
            </w:r>
          </w:p>
        </w:tc>
      </w:tr>
    </w:tbl>
    <w:p>
      <w:pPr>
        <w:pStyle w:val="null3"/>
        <w:jc w:val="left"/>
      </w:pPr>
      <w:r>
        <w:rPr>
          <w:rFonts w:ascii="仿宋_GB2312" w:hAnsi="仿宋_GB2312" w:cs="仿宋_GB2312" w:eastAsia="仿宋_GB2312"/>
        </w:rPr>
        <w:t>标的名称：其他项（鼠害防治投饵）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both"/>
            </w:pPr>
            <w:r>
              <w:rPr>
                <w:rFonts w:ascii="仿宋_GB2312" w:hAnsi="仿宋_GB2312" w:cs="仿宋_GB2312" w:eastAsia="仿宋_GB2312"/>
                <w:sz w:val="24"/>
              </w:rPr>
              <w:t>★开展草原鼠害防治工作，防治总面积50万亩。</w:t>
            </w:r>
          </w:p>
        </w:tc>
      </w:tr>
    </w:tbl>
    <w:p>
      <w:pPr>
        <w:pStyle w:val="null3"/>
        <w:jc w:val="left"/>
      </w:pPr>
      <w:r>
        <w:rPr>
          <w:rFonts w:ascii="仿宋_GB2312" w:hAnsi="仿宋_GB2312" w:cs="仿宋_GB2312" w:eastAsia="仿宋_GB2312"/>
        </w:rPr>
        <w:t>标的名称：苦参碱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left"/>
            </w:pPr>
            <w:r>
              <w:rPr>
                <w:rFonts w:ascii="仿宋_GB2312" w:hAnsi="仿宋_GB2312" w:cs="仿宋_GB2312" w:eastAsia="仿宋_GB2312"/>
                <w:sz w:val="24"/>
              </w:rPr>
              <w:t>★有效成分含量：1%；</w:t>
            </w:r>
          </w:p>
          <w:p>
            <w:pPr>
              <w:pStyle w:val="null3"/>
              <w:jc w:val="both"/>
            </w:pPr>
            <w:r>
              <w:rPr>
                <w:rFonts w:ascii="仿宋_GB2312" w:hAnsi="仿宋_GB2312" w:cs="仿宋_GB2312" w:eastAsia="仿宋_GB2312"/>
                <w:sz w:val="24"/>
              </w:rPr>
              <w:t>★剂型：可溶性液剂；</w:t>
            </w:r>
          </w:p>
        </w:tc>
      </w:tr>
    </w:tbl>
    <w:p>
      <w:pPr>
        <w:pStyle w:val="null3"/>
        <w:jc w:val="left"/>
      </w:pPr>
      <w:r>
        <w:rPr>
          <w:rFonts w:ascii="仿宋_GB2312" w:hAnsi="仿宋_GB2312" w:cs="仿宋_GB2312" w:eastAsia="仿宋_GB2312"/>
        </w:rPr>
        <w:t>标的名称：其他项（虫害防治喷施药品）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left"/>
            </w:pPr>
            <w:r>
              <w:rPr>
                <w:rFonts w:ascii="仿宋_GB2312" w:hAnsi="仿宋_GB2312" w:cs="仿宋_GB2312" w:eastAsia="仿宋_GB2312"/>
                <w:sz w:val="24"/>
              </w:rPr>
              <w:t>★开展草原虫害防治工作，防治总面积10万亩。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（三）其他要求</w:t>
            </w:r>
          </w:p>
        </w:tc>
        <w:tc>
          <w:tcPr>
            <w:tcW w:type="dxa" w:w="5814"/>
          </w:tcPr>
          <w:p>
            <w:pPr>
              <w:pStyle w:val="null3"/>
              <w:spacing w:after="120"/>
              <w:jc w:val="both"/>
            </w:pPr>
            <w:r>
              <w:rPr>
                <w:rFonts w:ascii="仿宋_GB2312" w:hAnsi="仿宋_GB2312" w:cs="仿宋_GB2312" w:eastAsia="仿宋_GB2312"/>
                <w:sz w:val="24"/>
                <w:b/>
              </w:rPr>
              <w:t xml:space="preserve"> 1.草原鼠害防治（</w:t>
            </w:r>
            <w:r>
              <w:rPr>
                <w:rFonts w:ascii="仿宋_GB2312" w:hAnsi="仿宋_GB2312" w:cs="仿宋_GB2312" w:eastAsia="仿宋_GB2312"/>
                <w:sz w:val="24"/>
                <w:b/>
              </w:rPr>
              <w:t>50</w:t>
            </w:r>
            <w:r>
              <w:rPr>
                <w:rFonts w:ascii="仿宋_GB2312" w:hAnsi="仿宋_GB2312" w:cs="仿宋_GB2312" w:eastAsia="仿宋_GB2312"/>
                <w:sz w:val="24"/>
                <w:b/>
              </w:rPr>
              <w:t>万亩</w:t>
            </w:r>
            <w:r>
              <w:rPr>
                <w:rFonts w:ascii="仿宋_GB2312" w:hAnsi="仿宋_GB2312" w:cs="仿宋_GB2312" w:eastAsia="仿宋_GB2312"/>
                <w:sz w:val="24"/>
                <w:b/>
              </w:rPr>
              <w:t>）</w:t>
            </w:r>
          </w:p>
          <w:p>
            <w:pPr>
              <w:pStyle w:val="null3"/>
              <w:spacing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实施要求：施药前，县级草原主管部门须与防治区所涉的乡（镇）政府、村委会、农牧民逐级签订草原鼠害防治安全责任书，明确禁牧区域、时间、安全注意事项及各方责任。</w:t>
            </w:r>
          </w:p>
          <w:p>
            <w:pPr>
              <w:pStyle w:val="null3"/>
              <w:spacing w:after="120"/>
              <w:ind w:firstLine="480"/>
              <w:jc w:val="both"/>
            </w:pPr>
            <w:r>
              <w:rPr>
                <w:rFonts w:ascii="仿宋_GB2312" w:hAnsi="仿宋_GB2312" w:cs="仿宋_GB2312" w:eastAsia="仿宋_GB2312"/>
                <w:sz w:val="24"/>
              </w:rPr>
              <w:t>禁牧公告：施药后禁牧时间为</w:t>
            </w:r>
            <w:r>
              <w:rPr>
                <w:rFonts w:ascii="仿宋_GB2312" w:hAnsi="仿宋_GB2312" w:cs="仿宋_GB2312" w:eastAsia="仿宋_GB2312"/>
                <w:sz w:val="24"/>
              </w:rPr>
              <w:t>15</w:t>
            </w:r>
            <w:r>
              <w:rPr>
                <w:rFonts w:ascii="仿宋_GB2312" w:hAnsi="仿宋_GB2312" w:cs="仿宋_GB2312" w:eastAsia="仿宋_GB2312"/>
                <w:sz w:val="24"/>
              </w:rPr>
              <w:t>天。需在施药区设立醒目的禁牧警示标志，并公开告示</w:t>
            </w:r>
            <w:r>
              <w:rPr>
                <w:rFonts w:ascii="仿宋_GB2312" w:hAnsi="仿宋_GB2312" w:cs="仿宋_GB2312" w:eastAsia="仿宋_GB2312"/>
                <w:sz w:val="24"/>
              </w:rPr>
              <w:t>（标志牌（</w:t>
            </w:r>
            <w:r>
              <w:rPr>
                <w:rFonts w:ascii="仿宋_GB2312" w:hAnsi="仿宋_GB2312" w:cs="仿宋_GB2312" w:eastAsia="仿宋_GB2312"/>
                <w:sz w:val="24"/>
              </w:rPr>
              <w:t>5</w:t>
            </w:r>
            <w:r>
              <w:rPr>
                <w:rFonts w:ascii="仿宋_GB2312" w:hAnsi="仿宋_GB2312" w:cs="仿宋_GB2312" w:eastAsia="仿宋_GB2312"/>
                <w:sz w:val="24"/>
              </w:rPr>
              <w:t>个）规格</w:t>
            </w:r>
            <w:r>
              <w:rPr>
                <w:rFonts w:ascii="仿宋_GB2312" w:hAnsi="仿宋_GB2312" w:cs="仿宋_GB2312" w:eastAsia="仿宋_GB2312"/>
                <w:sz w:val="24"/>
              </w:rPr>
              <w:t>≥60cm×80cm</w:t>
            </w:r>
            <w:r>
              <w:rPr>
                <w:rFonts w:ascii="仿宋_GB2312" w:hAnsi="仿宋_GB2312" w:cs="仿宋_GB2312" w:eastAsia="仿宋_GB2312"/>
                <w:sz w:val="24"/>
              </w:rPr>
              <w:t>，材质：</w:t>
            </w:r>
            <w:r>
              <w:rPr>
                <w:rFonts w:ascii="仿宋_GB2312" w:hAnsi="仿宋_GB2312" w:cs="仿宋_GB2312" w:eastAsia="仿宋_GB2312"/>
                <w:sz w:val="24"/>
              </w:rPr>
              <w:t>kT</w:t>
            </w:r>
            <w:r>
              <w:rPr>
                <w:rFonts w:ascii="仿宋_GB2312" w:hAnsi="仿宋_GB2312" w:cs="仿宋_GB2312" w:eastAsia="仿宋_GB2312"/>
                <w:sz w:val="24"/>
              </w:rPr>
              <w:t>版，厚度</w:t>
            </w:r>
            <w:r>
              <w:rPr>
                <w:rFonts w:ascii="仿宋_GB2312" w:hAnsi="仿宋_GB2312" w:cs="仿宋_GB2312" w:eastAsia="仿宋_GB2312"/>
                <w:sz w:val="24"/>
              </w:rPr>
              <w:t>≥10cm</w:t>
            </w:r>
            <w:r>
              <w:rPr>
                <w:rFonts w:ascii="仿宋_GB2312" w:hAnsi="仿宋_GB2312" w:cs="仿宋_GB2312" w:eastAsia="仿宋_GB2312"/>
                <w:sz w:val="24"/>
              </w:rPr>
              <w:t>）</w:t>
            </w:r>
            <w:r>
              <w:rPr>
                <w:rFonts w:ascii="仿宋_GB2312" w:hAnsi="仿宋_GB2312" w:cs="仿宋_GB2312" w:eastAsia="仿宋_GB2312"/>
                <w:sz w:val="24"/>
              </w:rPr>
              <w:t>，标志牌应固定在已有网围栏上，其高度根据现场实际情况确定</w:t>
            </w:r>
            <w:r>
              <w:rPr>
                <w:rFonts w:ascii="仿宋_GB2312" w:hAnsi="仿宋_GB2312" w:cs="仿宋_GB2312" w:eastAsia="仿宋_GB2312"/>
                <w:sz w:val="24"/>
              </w:rPr>
              <w:t>。</w:t>
            </w:r>
          </w:p>
          <w:p>
            <w:pPr>
              <w:pStyle w:val="null3"/>
              <w:spacing w:after="120"/>
              <w:ind w:firstLine="480"/>
              <w:jc w:val="both"/>
            </w:pPr>
            <w:r>
              <w:rPr>
                <w:rFonts w:ascii="仿宋_GB2312" w:hAnsi="仿宋_GB2312" w:cs="仿宋_GB2312" w:eastAsia="仿宋_GB2312"/>
                <w:sz w:val="24"/>
              </w:rPr>
              <w:t>人员培训与防护：对投药人员进行专项培训，内容包括药物毒理、防护消毒、中毒救治及禁牧要求。操作人员须配备口罩、手套、防护服、肥皂等防护用品，现场备有中毒急救药品和设备。</w:t>
            </w:r>
          </w:p>
          <w:p>
            <w:pPr>
              <w:pStyle w:val="null3"/>
              <w:spacing w:after="120"/>
              <w:ind w:firstLine="24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）毒饵配制</w:t>
            </w:r>
          </w:p>
          <w:p>
            <w:pPr>
              <w:pStyle w:val="null3"/>
              <w:spacing w:after="120"/>
              <w:ind w:firstLine="480"/>
              <w:jc w:val="both"/>
            </w:pPr>
            <w:r>
              <w:rPr>
                <w:rFonts w:ascii="仿宋_GB2312" w:hAnsi="仿宋_GB2312" w:cs="仿宋_GB2312" w:eastAsia="仿宋_GB2312"/>
                <w:sz w:val="24"/>
              </w:rPr>
              <w:t>配制环境：配制地点应远离水源、粮库、食堂和牲畜棚圈，防止污染。</w:t>
            </w:r>
          </w:p>
          <w:p>
            <w:pPr>
              <w:pStyle w:val="null3"/>
              <w:spacing w:after="120"/>
              <w:ind w:firstLine="480"/>
              <w:jc w:val="both"/>
            </w:pPr>
            <w:r>
              <w:rPr>
                <w:rFonts w:ascii="仿宋_GB2312" w:hAnsi="仿宋_GB2312" w:cs="仿宋_GB2312" w:eastAsia="仿宋_GB2312"/>
                <w:sz w:val="24"/>
              </w:rPr>
              <w:t>配制流程：</w:t>
            </w:r>
          </w:p>
          <w:p>
            <w:pPr>
              <w:pStyle w:val="null3"/>
              <w:spacing w:after="120"/>
              <w:ind w:firstLine="480"/>
              <w:jc w:val="both"/>
            </w:pPr>
            <w:r>
              <w:rPr>
                <w:rFonts w:ascii="仿宋_GB2312" w:hAnsi="仿宋_GB2312" w:cs="仿宋_GB2312" w:eastAsia="仿宋_GB2312"/>
                <w:sz w:val="24"/>
              </w:rPr>
              <w:t>①添加警戒色：在配制时必须添加醒目且无毒的警戒色（如亮红或亮蓝色），使毒饵与普通饵料显著区分，警示人畜。</w:t>
            </w:r>
          </w:p>
          <w:p>
            <w:pPr>
              <w:pStyle w:val="null3"/>
              <w:spacing w:after="120"/>
              <w:ind w:firstLine="480"/>
              <w:jc w:val="both"/>
            </w:pPr>
            <w:r>
              <w:rPr>
                <w:rFonts w:ascii="仿宋_GB2312" w:hAnsi="仿宋_GB2312" w:cs="仿宋_GB2312" w:eastAsia="仿宋_GB2312"/>
                <w:sz w:val="24"/>
              </w:rPr>
              <w:t>②规范配制：按农药标签中使用技术要求进行配制。稀释用水应用</w:t>
            </w:r>
            <w:r>
              <w:rPr>
                <w:rFonts w:ascii="仿宋_GB2312" w:hAnsi="仿宋_GB2312" w:cs="仿宋_GB2312" w:eastAsia="仿宋_GB2312"/>
                <w:sz w:val="24"/>
              </w:rPr>
              <w:t>pH3.5~pH6.8</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C~10</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的偏酸性冷水（如河水、自来水），禁用碱性水、热水或开水。</w:t>
            </w:r>
          </w:p>
          <w:p>
            <w:pPr>
              <w:pStyle w:val="null3"/>
              <w:spacing w:after="120"/>
              <w:ind w:firstLine="480"/>
              <w:jc w:val="both"/>
            </w:pPr>
            <w:r>
              <w:rPr>
                <w:rFonts w:ascii="仿宋_GB2312" w:hAnsi="仿宋_GB2312" w:cs="仿宋_GB2312" w:eastAsia="仿宋_GB2312"/>
                <w:sz w:val="24"/>
              </w:rPr>
              <w:t>③搅拌：将药液与饵料充分搅拌，确保每粒饵料都沾有药液。</w:t>
            </w:r>
          </w:p>
          <w:p>
            <w:pPr>
              <w:pStyle w:val="null3"/>
              <w:spacing w:after="120"/>
              <w:ind w:firstLine="480"/>
              <w:jc w:val="both"/>
            </w:pPr>
            <w:r>
              <w:rPr>
                <w:rFonts w:ascii="仿宋_GB2312" w:hAnsi="仿宋_GB2312" w:cs="仿宋_GB2312" w:eastAsia="仿宋_GB2312"/>
                <w:sz w:val="24"/>
              </w:rPr>
              <w:t>④堆闷：配制好的饵料放置</w:t>
            </w:r>
            <w:r>
              <w:rPr>
                <w:rFonts w:ascii="仿宋_GB2312" w:hAnsi="仿宋_GB2312" w:cs="仿宋_GB2312" w:eastAsia="仿宋_GB2312"/>
                <w:sz w:val="24"/>
              </w:rPr>
              <w:t>1</w:t>
            </w:r>
            <w:r>
              <w:rPr>
                <w:rFonts w:ascii="仿宋_GB2312" w:hAnsi="仿宋_GB2312" w:cs="仿宋_GB2312" w:eastAsia="仿宋_GB2312"/>
                <w:sz w:val="24"/>
              </w:rPr>
              <w:t>小时（放置过程中要搅拌</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次），使药液充分被饵料吸收，在放置和闷置过程中要有防冻措施，闷置</w:t>
            </w:r>
            <w:r>
              <w:rPr>
                <w:rFonts w:ascii="仿宋_GB2312" w:hAnsi="仿宋_GB2312" w:cs="仿宋_GB2312" w:eastAsia="仿宋_GB2312"/>
                <w:sz w:val="24"/>
              </w:rPr>
              <w:t>12</w:t>
            </w:r>
            <w:r>
              <w:rPr>
                <w:rFonts w:ascii="仿宋_GB2312" w:hAnsi="仿宋_GB2312" w:cs="仿宋_GB2312" w:eastAsia="仿宋_GB2312"/>
                <w:sz w:val="24"/>
              </w:rPr>
              <w:t>小时或过夜后方可使用。</w:t>
            </w:r>
          </w:p>
          <w:p>
            <w:pPr>
              <w:pStyle w:val="null3"/>
              <w:spacing w:after="120"/>
              <w:ind w:firstLine="480"/>
              <w:jc w:val="both"/>
            </w:pPr>
            <w:r>
              <w:rPr>
                <w:rFonts w:ascii="仿宋_GB2312" w:hAnsi="仿宋_GB2312" w:cs="仿宋_GB2312" w:eastAsia="仿宋_GB2312"/>
                <w:sz w:val="24"/>
              </w:rPr>
              <w:t>配制原则：现配现用，没有投放完毕须在</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C~5</w:t>
            </w:r>
            <w:r>
              <w:rPr>
                <w:rFonts w:ascii="仿宋_GB2312" w:hAnsi="仿宋_GB2312" w:cs="仿宋_GB2312" w:eastAsia="仿宋_GB2312"/>
                <w:sz w:val="24"/>
              </w:rPr>
              <w:t>°</w:t>
            </w:r>
            <w:r>
              <w:rPr>
                <w:rFonts w:ascii="仿宋_GB2312" w:hAnsi="仿宋_GB2312" w:cs="仿宋_GB2312" w:eastAsia="仿宋_GB2312"/>
                <w:sz w:val="24"/>
              </w:rPr>
              <w:t>C</w:t>
            </w:r>
            <w:r>
              <w:rPr>
                <w:rFonts w:ascii="仿宋_GB2312" w:hAnsi="仿宋_GB2312" w:cs="仿宋_GB2312" w:eastAsia="仿宋_GB2312"/>
                <w:sz w:val="24"/>
              </w:rPr>
              <w:t>下保存，不得超过</w:t>
            </w:r>
            <w:r>
              <w:rPr>
                <w:rFonts w:ascii="仿宋_GB2312" w:hAnsi="仿宋_GB2312" w:cs="仿宋_GB2312" w:eastAsia="仿宋_GB2312"/>
                <w:sz w:val="24"/>
              </w:rPr>
              <w:t>2</w:t>
            </w:r>
            <w:r>
              <w:rPr>
                <w:rFonts w:ascii="仿宋_GB2312" w:hAnsi="仿宋_GB2312" w:cs="仿宋_GB2312" w:eastAsia="仿宋_GB2312"/>
                <w:sz w:val="24"/>
              </w:rPr>
              <w:t>天。</w:t>
            </w:r>
          </w:p>
          <w:p>
            <w:pPr>
              <w:pStyle w:val="null3"/>
              <w:spacing w:after="120"/>
              <w:ind w:firstLine="24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）投饵</w:t>
            </w:r>
          </w:p>
          <w:p>
            <w:pPr>
              <w:pStyle w:val="null3"/>
              <w:spacing w:after="120"/>
              <w:ind w:firstLine="480"/>
              <w:jc w:val="both"/>
            </w:pPr>
            <w:r>
              <w:rPr>
                <w:rFonts w:ascii="仿宋_GB2312" w:hAnsi="仿宋_GB2312" w:cs="仿宋_GB2312" w:eastAsia="仿宋_GB2312"/>
                <w:sz w:val="24"/>
              </w:rPr>
              <w:t>投饵一般每洞</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粒为宜，最好用统一的小勺作为投饵工具，轻度危害鼠害草场毒饵用量</w:t>
            </w:r>
            <w:r>
              <w:rPr>
                <w:rFonts w:ascii="仿宋_GB2312" w:hAnsi="仿宋_GB2312" w:cs="仿宋_GB2312" w:eastAsia="仿宋_GB2312"/>
                <w:sz w:val="24"/>
              </w:rPr>
              <w:t>70g/</w:t>
            </w:r>
            <w:r>
              <w:rPr>
                <w:rFonts w:ascii="仿宋_GB2312" w:hAnsi="仿宋_GB2312" w:cs="仿宋_GB2312" w:eastAsia="仿宋_GB2312"/>
                <w:sz w:val="24"/>
              </w:rPr>
              <w:t>亩，中度危害鼠害草场毒饵用量</w:t>
            </w:r>
            <w:r>
              <w:rPr>
                <w:rFonts w:ascii="仿宋_GB2312" w:hAnsi="仿宋_GB2312" w:cs="仿宋_GB2312" w:eastAsia="仿宋_GB2312"/>
                <w:sz w:val="24"/>
              </w:rPr>
              <w:t>85.5g/</w:t>
            </w:r>
            <w:r>
              <w:rPr>
                <w:rFonts w:ascii="仿宋_GB2312" w:hAnsi="仿宋_GB2312" w:cs="仿宋_GB2312" w:eastAsia="仿宋_GB2312"/>
                <w:sz w:val="24"/>
              </w:rPr>
              <w:t>亩，重度危害鼠害草场毒饵用量</w:t>
            </w:r>
            <w:r>
              <w:rPr>
                <w:rFonts w:ascii="仿宋_GB2312" w:hAnsi="仿宋_GB2312" w:cs="仿宋_GB2312" w:eastAsia="仿宋_GB2312"/>
                <w:sz w:val="24"/>
              </w:rPr>
              <w:t>106g/</w:t>
            </w:r>
            <w:r>
              <w:rPr>
                <w:rFonts w:ascii="仿宋_GB2312" w:hAnsi="仿宋_GB2312" w:cs="仿宋_GB2312" w:eastAsia="仿宋_GB2312"/>
                <w:sz w:val="24"/>
              </w:rPr>
              <w:t>亩；</w:t>
            </w:r>
          </w:p>
          <w:p>
            <w:pPr>
              <w:pStyle w:val="null3"/>
              <w:spacing w:after="120"/>
              <w:ind w:firstLine="480"/>
              <w:jc w:val="both"/>
            </w:pPr>
            <w:r>
              <w:rPr>
                <w:rFonts w:ascii="仿宋_GB2312" w:hAnsi="仿宋_GB2312" w:cs="仿宋_GB2312" w:eastAsia="仿宋_GB2312"/>
                <w:sz w:val="24"/>
              </w:rPr>
              <w:t>饵料应投放在距鼠洞</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10cm</w:t>
            </w:r>
            <w:r>
              <w:rPr>
                <w:rFonts w:ascii="仿宋_GB2312" w:hAnsi="仿宋_GB2312" w:cs="仿宋_GB2312" w:eastAsia="仿宋_GB2312"/>
                <w:sz w:val="24"/>
              </w:rPr>
              <w:t>有草的地面或硬土上，不要投在洞内；</w:t>
            </w:r>
          </w:p>
          <w:p>
            <w:pPr>
              <w:pStyle w:val="null3"/>
              <w:spacing w:after="120"/>
              <w:ind w:firstLine="480"/>
              <w:jc w:val="both"/>
            </w:pPr>
            <w:r>
              <w:rPr>
                <w:rFonts w:ascii="仿宋_GB2312" w:hAnsi="仿宋_GB2312" w:cs="仿宋_GB2312" w:eastAsia="仿宋_GB2312"/>
                <w:sz w:val="24"/>
              </w:rPr>
              <w:t>投饵时应将毒饵撒开，不要成堆，防止牛、羊取食；</w:t>
            </w:r>
          </w:p>
          <w:p>
            <w:pPr>
              <w:pStyle w:val="null3"/>
              <w:spacing w:after="120"/>
              <w:ind w:firstLine="480"/>
              <w:jc w:val="both"/>
            </w:pPr>
            <w:r>
              <w:rPr>
                <w:rFonts w:ascii="仿宋_GB2312" w:hAnsi="仿宋_GB2312" w:cs="仿宋_GB2312" w:eastAsia="仿宋_GB2312"/>
                <w:sz w:val="24"/>
              </w:rPr>
              <w:t>潮湿的地方或有水的地方不宜投饵（毒饵遇水可降低毒性）。</w:t>
            </w:r>
          </w:p>
          <w:p>
            <w:pPr>
              <w:pStyle w:val="null3"/>
              <w:spacing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）鼠尸处理</w:t>
            </w:r>
          </w:p>
          <w:p>
            <w:pPr>
              <w:pStyle w:val="null3"/>
              <w:spacing w:after="120"/>
              <w:ind w:firstLine="480"/>
              <w:jc w:val="both"/>
            </w:pPr>
            <w:r>
              <w:rPr>
                <w:rFonts w:ascii="仿宋_GB2312" w:hAnsi="仿宋_GB2312" w:cs="仿宋_GB2312" w:eastAsia="仿宋_GB2312"/>
                <w:sz w:val="24"/>
              </w:rPr>
              <w:t>投饵后发现死鼠应及时收集，挖</w:t>
            </w:r>
            <w:r>
              <w:rPr>
                <w:rFonts w:ascii="仿宋_GB2312" w:hAnsi="仿宋_GB2312" w:cs="仿宋_GB2312" w:eastAsia="仿宋_GB2312"/>
                <w:sz w:val="24"/>
              </w:rPr>
              <w:t>≥1</w:t>
            </w:r>
            <w:r>
              <w:rPr>
                <w:rFonts w:ascii="仿宋_GB2312" w:hAnsi="仿宋_GB2312" w:cs="仿宋_GB2312" w:eastAsia="仿宋_GB2312"/>
                <w:sz w:val="24"/>
              </w:rPr>
              <w:t>m</w:t>
            </w:r>
            <w:r>
              <w:rPr>
                <w:rFonts w:ascii="仿宋_GB2312" w:hAnsi="仿宋_GB2312" w:cs="仿宋_GB2312" w:eastAsia="仿宋_GB2312"/>
                <w:sz w:val="24"/>
              </w:rPr>
              <w:t>深坑填埋，防止食肉类动物将其挖出，避免造成二次中毒。掩埋地点应远离居民区和水源地，处理鼠尸时应穿戴防护服，避免人体直接接触。</w:t>
            </w:r>
          </w:p>
          <w:p>
            <w:pPr>
              <w:pStyle w:val="null3"/>
              <w:spacing w:after="120"/>
              <w:ind w:firstLine="24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）防治时间</w:t>
            </w:r>
          </w:p>
          <w:p>
            <w:pPr>
              <w:pStyle w:val="null3"/>
              <w:spacing w:after="120"/>
              <w:ind w:firstLine="480"/>
              <w:jc w:val="both"/>
            </w:pPr>
            <w:r>
              <w:rPr>
                <w:rFonts w:ascii="仿宋_GB2312" w:hAnsi="仿宋_GB2312" w:cs="仿宋_GB2312" w:eastAsia="仿宋_GB2312"/>
                <w:sz w:val="24"/>
              </w:rPr>
              <w:t>3</w:t>
            </w:r>
            <w:r>
              <w:rPr>
                <w:rFonts w:ascii="仿宋_GB2312" w:hAnsi="仿宋_GB2312" w:cs="仿宋_GB2312" w:eastAsia="仿宋_GB2312"/>
                <w:sz w:val="24"/>
              </w:rPr>
              <w:t>月下旬</w:t>
            </w:r>
            <w:r>
              <w:rPr>
                <w:rFonts w:ascii="仿宋_GB2312" w:hAnsi="仿宋_GB2312" w:cs="仿宋_GB2312" w:eastAsia="仿宋_GB2312"/>
                <w:sz w:val="24"/>
              </w:rPr>
              <w:t>-4</w:t>
            </w:r>
            <w:r>
              <w:rPr>
                <w:rFonts w:ascii="仿宋_GB2312" w:hAnsi="仿宋_GB2312" w:cs="仿宋_GB2312" w:eastAsia="仿宋_GB2312"/>
                <w:sz w:val="24"/>
              </w:rPr>
              <w:t>月下旬，鼠类繁殖前及食物缺乏时。</w:t>
            </w:r>
          </w:p>
          <w:p>
            <w:pPr>
              <w:pStyle w:val="null3"/>
              <w:spacing w:after="120"/>
              <w:ind w:firstLine="24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）防控效果监测</w:t>
            </w:r>
          </w:p>
          <w:p>
            <w:pPr>
              <w:pStyle w:val="null3"/>
              <w:spacing w:after="120"/>
              <w:ind w:firstLine="480"/>
              <w:jc w:val="both"/>
            </w:pPr>
            <w:r>
              <w:rPr>
                <w:rFonts w:ascii="仿宋_GB2312" w:hAnsi="仿宋_GB2312" w:cs="仿宋_GB2312" w:eastAsia="仿宋_GB2312"/>
                <w:sz w:val="24"/>
              </w:rPr>
              <w:t>害鼠死亡高峰期为施饵后</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天，所以灭鼠效果检查可在施饵后第</w:t>
            </w:r>
            <w:r>
              <w:rPr>
                <w:rFonts w:ascii="仿宋_GB2312" w:hAnsi="仿宋_GB2312" w:cs="仿宋_GB2312" w:eastAsia="仿宋_GB2312"/>
                <w:sz w:val="24"/>
              </w:rPr>
              <w:t>8</w:t>
            </w:r>
            <w:r>
              <w:rPr>
                <w:rFonts w:ascii="仿宋_GB2312" w:hAnsi="仿宋_GB2312" w:cs="仿宋_GB2312" w:eastAsia="仿宋_GB2312"/>
                <w:sz w:val="24"/>
              </w:rPr>
              <w:t>天进行。具体办法参照《草原害鼠预测预报调查技术规程（试行）》对项目区鼠害防治效果进行定期监测。</w:t>
            </w:r>
          </w:p>
          <w:p>
            <w:pPr>
              <w:pStyle w:val="null3"/>
              <w:spacing w:after="120"/>
              <w:ind w:firstLine="480"/>
              <w:jc w:val="both"/>
            </w:pPr>
            <w:r>
              <w:rPr>
                <w:rFonts w:ascii="仿宋_GB2312" w:hAnsi="仿宋_GB2312" w:cs="仿宋_GB2312" w:eastAsia="仿宋_GB2312"/>
                <w:sz w:val="24"/>
              </w:rPr>
              <w:t>根据《主要草原有害生物防治指标》（办草字〔</w:t>
            </w:r>
            <w:r>
              <w:rPr>
                <w:rFonts w:ascii="仿宋_GB2312" w:hAnsi="仿宋_GB2312" w:cs="仿宋_GB2312" w:eastAsia="仿宋_GB2312"/>
                <w:sz w:val="24"/>
              </w:rPr>
              <w:t>2021</w:t>
            </w:r>
            <w:r>
              <w:rPr>
                <w:rFonts w:ascii="仿宋_GB2312" w:hAnsi="仿宋_GB2312" w:cs="仿宋_GB2312" w:eastAsia="仿宋_GB2312"/>
                <w:sz w:val="24"/>
              </w:rPr>
              <w:t>〕</w:t>
            </w:r>
            <w:r>
              <w:rPr>
                <w:rFonts w:ascii="仿宋_GB2312" w:hAnsi="仿宋_GB2312" w:cs="仿宋_GB2312" w:eastAsia="仿宋_GB2312"/>
                <w:sz w:val="24"/>
              </w:rPr>
              <w:t>73</w:t>
            </w:r>
            <w:r>
              <w:rPr>
                <w:rFonts w:ascii="仿宋_GB2312" w:hAnsi="仿宋_GB2312" w:cs="仿宋_GB2312" w:eastAsia="仿宋_GB2312"/>
                <w:sz w:val="24"/>
              </w:rPr>
              <w:t>号）文件要求，防治作业效果达</w:t>
            </w:r>
            <w:r>
              <w:rPr>
                <w:rFonts w:ascii="仿宋_GB2312" w:hAnsi="仿宋_GB2312" w:cs="仿宋_GB2312" w:eastAsia="仿宋_GB2312"/>
                <w:sz w:val="24"/>
              </w:rPr>
              <w:t>85%</w:t>
            </w:r>
            <w:r>
              <w:rPr>
                <w:rFonts w:ascii="仿宋_GB2312" w:hAnsi="仿宋_GB2312" w:cs="仿宋_GB2312" w:eastAsia="仿宋_GB2312"/>
                <w:sz w:val="24"/>
              </w:rPr>
              <w:t>以上，高原鼠兔有效洞口小于</w:t>
            </w:r>
            <w:r>
              <w:rPr>
                <w:rFonts w:ascii="仿宋_GB2312" w:hAnsi="仿宋_GB2312" w:cs="仿宋_GB2312" w:eastAsia="仿宋_GB2312"/>
                <w:sz w:val="24"/>
              </w:rPr>
              <w:t>180</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公顷。未达到防治效果要求的区域需进行补防。</w:t>
            </w:r>
          </w:p>
          <w:p>
            <w:pPr>
              <w:pStyle w:val="null3"/>
              <w:spacing w:after="120"/>
              <w:jc w:val="both"/>
            </w:pPr>
            <w:r>
              <w:rPr>
                <w:rFonts w:ascii="仿宋_GB2312" w:hAnsi="仿宋_GB2312" w:cs="仿宋_GB2312" w:eastAsia="仿宋_GB2312"/>
                <w:sz w:val="24"/>
                <w:b/>
              </w:rPr>
              <w:t xml:space="preserve"> </w:t>
            </w:r>
            <w:r>
              <w:rPr>
                <w:rFonts w:ascii="仿宋_GB2312" w:hAnsi="仿宋_GB2312" w:cs="仿宋_GB2312" w:eastAsia="仿宋_GB2312"/>
                <w:sz w:val="24"/>
              </w:rPr>
              <w:t>★</w:t>
            </w:r>
            <w:r>
              <w:rPr>
                <w:rFonts w:ascii="仿宋_GB2312" w:hAnsi="仿宋_GB2312" w:cs="仿宋_GB2312" w:eastAsia="仿宋_GB2312"/>
                <w:sz w:val="24"/>
                <w:b/>
              </w:rPr>
              <w:t xml:space="preserve"> 2.草原虫害防治（</w:t>
            </w:r>
            <w:r>
              <w:rPr>
                <w:rFonts w:ascii="仿宋_GB2312" w:hAnsi="仿宋_GB2312" w:cs="仿宋_GB2312" w:eastAsia="仿宋_GB2312"/>
                <w:sz w:val="24"/>
                <w:b/>
              </w:rPr>
              <w:t>10</w:t>
            </w:r>
            <w:r>
              <w:rPr>
                <w:rFonts w:ascii="仿宋_GB2312" w:hAnsi="仿宋_GB2312" w:cs="仿宋_GB2312" w:eastAsia="仿宋_GB2312"/>
                <w:sz w:val="24"/>
                <w:b/>
              </w:rPr>
              <w:t>万亩</w:t>
            </w:r>
            <w:r>
              <w:rPr>
                <w:rFonts w:ascii="仿宋_GB2312" w:hAnsi="仿宋_GB2312" w:cs="仿宋_GB2312" w:eastAsia="仿宋_GB2312"/>
                <w:sz w:val="24"/>
                <w:b/>
              </w:rPr>
              <w:t>）</w:t>
            </w:r>
          </w:p>
          <w:p>
            <w:pPr>
              <w:pStyle w:val="null3"/>
              <w:spacing w:after="120"/>
              <w:ind w:firstLine="480"/>
              <w:jc w:val="both"/>
            </w:pPr>
            <w:r>
              <w:rPr>
                <w:rFonts w:ascii="仿宋_GB2312" w:hAnsi="仿宋_GB2312" w:cs="仿宋_GB2312" w:eastAsia="仿宋_GB2312"/>
                <w:sz w:val="24"/>
              </w:rPr>
              <w:t>采用</w:t>
            </w:r>
            <w:r>
              <w:rPr>
                <w:rFonts w:ascii="仿宋_GB2312" w:hAnsi="仿宋_GB2312" w:cs="仿宋_GB2312" w:eastAsia="仿宋_GB2312"/>
                <w:sz w:val="24"/>
              </w:rPr>
              <w:t>1%的苦参碱进行草原毛虫防治，</w:t>
            </w:r>
            <w:r>
              <w:rPr>
                <w:rFonts w:ascii="仿宋_GB2312" w:hAnsi="仿宋_GB2312" w:cs="仿宋_GB2312" w:eastAsia="仿宋_GB2312"/>
                <w:sz w:val="24"/>
              </w:rPr>
              <w:t>轻度危害区域</w:t>
            </w:r>
            <w:r>
              <w:rPr>
                <w:rFonts w:ascii="仿宋_GB2312" w:hAnsi="仿宋_GB2312" w:cs="仿宋_GB2312" w:eastAsia="仿宋_GB2312"/>
                <w:sz w:val="24"/>
              </w:rPr>
              <w:t>药品用量</w:t>
            </w:r>
            <w:r>
              <w:rPr>
                <w:rFonts w:ascii="仿宋_GB2312" w:hAnsi="仿宋_GB2312" w:cs="仿宋_GB2312" w:eastAsia="仿宋_GB2312"/>
                <w:sz w:val="24"/>
              </w:rPr>
              <w:t>2</w:t>
            </w:r>
            <w:r>
              <w:rPr>
                <w:rFonts w:ascii="仿宋_GB2312" w:hAnsi="仿宋_GB2312" w:cs="仿宋_GB2312" w:eastAsia="仿宋_GB2312"/>
                <w:sz w:val="24"/>
              </w:rPr>
              <w:t>3.1</w:t>
            </w:r>
            <w:r>
              <w:rPr>
                <w:rFonts w:ascii="仿宋_GB2312" w:hAnsi="仿宋_GB2312" w:cs="仿宋_GB2312" w:eastAsia="仿宋_GB2312"/>
                <w:sz w:val="24"/>
              </w:rPr>
              <w:t>ml/亩，</w:t>
            </w:r>
            <w:r>
              <w:rPr>
                <w:rFonts w:ascii="仿宋_GB2312" w:hAnsi="仿宋_GB2312" w:cs="仿宋_GB2312" w:eastAsia="仿宋_GB2312"/>
                <w:sz w:val="24"/>
              </w:rPr>
              <w:t>中</w:t>
            </w:r>
            <w:r>
              <w:rPr>
                <w:rFonts w:ascii="仿宋_GB2312" w:hAnsi="仿宋_GB2312" w:cs="仿宋_GB2312" w:eastAsia="仿宋_GB2312"/>
                <w:sz w:val="24"/>
              </w:rPr>
              <w:t>度危害区域药品用量</w:t>
            </w: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.1ml/亩，项目区面积</w:t>
            </w:r>
            <w:r>
              <w:rPr>
                <w:rFonts w:ascii="仿宋_GB2312" w:hAnsi="仿宋_GB2312" w:cs="仿宋_GB2312" w:eastAsia="仿宋_GB2312"/>
                <w:sz w:val="24"/>
              </w:rPr>
              <w:t>10</w:t>
            </w:r>
            <w:r>
              <w:rPr>
                <w:rFonts w:ascii="仿宋_GB2312" w:hAnsi="仿宋_GB2312" w:cs="仿宋_GB2312" w:eastAsia="仿宋_GB2312"/>
                <w:sz w:val="24"/>
              </w:rPr>
              <w:t>万亩，共需</w:t>
            </w:r>
            <w:r>
              <w:rPr>
                <w:rFonts w:ascii="仿宋_GB2312" w:hAnsi="仿宋_GB2312" w:cs="仿宋_GB2312" w:eastAsia="仿宋_GB2312"/>
                <w:sz w:val="24"/>
              </w:rPr>
              <w:t>1%的苦参碱</w:t>
            </w:r>
            <w:r>
              <w:rPr>
                <w:rFonts w:ascii="仿宋_GB2312" w:hAnsi="仿宋_GB2312" w:cs="仿宋_GB2312" w:eastAsia="仿宋_GB2312"/>
                <w:sz w:val="24"/>
              </w:rPr>
              <w:t>2468.875</w:t>
            </w:r>
            <w:r>
              <w:rPr>
                <w:rFonts w:ascii="仿宋_GB2312" w:hAnsi="仿宋_GB2312" w:cs="仿宋_GB2312" w:eastAsia="仿宋_GB2312"/>
                <w:sz w:val="24"/>
              </w:rPr>
              <w:t>升，采用</w:t>
            </w:r>
            <w:r>
              <w:rPr>
                <w:rFonts w:ascii="仿宋_GB2312" w:hAnsi="仿宋_GB2312" w:cs="仿宋_GB2312" w:eastAsia="仿宋_GB2312"/>
                <w:sz w:val="24"/>
              </w:rPr>
              <w:t>农用无人机</w:t>
            </w:r>
            <w:r>
              <w:rPr>
                <w:rFonts w:ascii="仿宋_GB2312" w:hAnsi="仿宋_GB2312" w:cs="仿宋_GB2312" w:eastAsia="仿宋_GB2312"/>
                <w:sz w:val="24"/>
              </w:rPr>
              <w:t>均匀喷洒于</w:t>
            </w:r>
            <w:r>
              <w:rPr>
                <w:rFonts w:ascii="仿宋_GB2312" w:hAnsi="仿宋_GB2312" w:cs="仿宋_GB2312" w:eastAsia="仿宋_GB2312"/>
                <w:sz w:val="24"/>
              </w:rPr>
              <w:t>牧草</w:t>
            </w:r>
            <w:r>
              <w:rPr>
                <w:rFonts w:ascii="仿宋_GB2312" w:hAnsi="仿宋_GB2312" w:cs="仿宋_GB2312" w:eastAsia="仿宋_GB2312"/>
                <w:sz w:val="24"/>
              </w:rPr>
              <w:t>叶面。</w:t>
            </w:r>
          </w:p>
          <w:p>
            <w:pPr>
              <w:pStyle w:val="null3"/>
              <w:spacing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药品喷施</w:t>
            </w:r>
          </w:p>
          <w:p>
            <w:pPr>
              <w:pStyle w:val="null3"/>
              <w:spacing w:after="120"/>
              <w:ind w:firstLine="480"/>
              <w:jc w:val="both"/>
            </w:pPr>
            <w:r>
              <w:rPr>
                <w:rFonts w:ascii="仿宋_GB2312" w:hAnsi="仿宋_GB2312" w:cs="仿宋_GB2312" w:eastAsia="仿宋_GB2312"/>
                <w:sz w:val="24"/>
              </w:rPr>
              <w:t xml:space="preserve">① </w:t>
            </w:r>
            <w:r>
              <w:rPr>
                <w:rFonts w:ascii="仿宋_GB2312" w:hAnsi="仿宋_GB2312" w:cs="仿宋_GB2312" w:eastAsia="仿宋_GB2312"/>
                <w:sz w:val="24"/>
              </w:rPr>
              <w:t>确定作业区域：</w:t>
            </w:r>
            <w:r>
              <w:rPr>
                <w:rFonts w:ascii="仿宋_GB2312" w:hAnsi="仿宋_GB2312" w:cs="仿宋_GB2312" w:eastAsia="仿宋_GB2312"/>
                <w:sz w:val="24"/>
              </w:rPr>
              <w:t>依据《草原有害生物灾害分级》（</w:t>
            </w:r>
            <w:r>
              <w:rPr>
                <w:rFonts w:ascii="仿宋_GB2312" w:hAnsi="仿宋_GB2312" w:cs="仿宋_GB2312" w:eastAsia="仿宋_GB2312"/>
                <w:sz w:val="24"/>
              </w:rPr>
              <w:t>DB51/T3248-2025）</w:t>
            </w:r>
            <w:r>
              <w:rPr>
                <w:rFonts w:ascii="仿宋_GB2312" w:hAnsi="仿宋_GB2312" w:cs="仿宋_GB2312" w:eastAsia="仿宋_GB2312"/>
                <w:sz w:val="24"/>
              </w:rPr>
              <w:t>按照预测预报要求调查后，将虫口密度达到防治指标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30头/m</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的区域确定为喷药作业区。</w:t>
            </w:r>
          </w:p>
          <w:p>
            <w:pPr>
              <w:pStyle w:val="null3"/>
              <w:spacing w:after="120"/>
              <w:ind w:firstLine="480"/>
              <w:jc w:val="both"/>
            </w:pPr>
            <w:r>
              <w:rPr>
                <w:rFonts w:ascii="仿宋_GB2312" w:hAnsi="仿宋_GB2312" w:cs="仿宋_GB2312" w:eastAsia="仿宋_GB2312"/>
                <w:sz w:val="24"/>
              </w:rPr>
              <w:t>②</w:t>
            </w:r>
            <w:r>
              <w:rPr>
                <w:rFonts w:ascii="仿宋_GB2312" w:hAnsi="仿宋_GB2312" w:cs="仿宋_GB2312" w:eastAsia="仿宋_GB2312"/>
                <w:sz w:val="24"/>
              </w:rPr>
              <w:t>施药浓度</w:t>
            </w:r>
          </w:p>
          <w:p>
            <w:pPr>
              <w:pStyle w:val="null3"/>
              <w:spacing w:after="120"/>
              <w:ind w:firstLine="480"/>
              <w:jc w:val="both"/>
            </w:pPr>
            <w:r>
              <w:rPr>
                <w:rFonts w:ascii="仿宋_GB2312" w:hAnsi="仿宋_GB2312" w:cs="仿宋_GB2312" w:eastAsia="仿宋_GB2312"/>
                <w:sz w:val="24"/>
              </w:rPr>
              <w:t>轻度危害区域：将药品稀释</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2</w:t>
            </w:r>
            <w:r>
              <w:rPr>
                <w:rFonts w:ascii="仿宋_GB2312" w:hAnsi="仿宋_GB2312" w:cs="仿宋_GB2312" w:eastAsia="仿宋_GB2312"/>
                <w:sz w:val="24"/>
              </w:rPr>
              <w:t>5倍后进行叶面喷施，即2</w:t>
            </w:r>
            <w:r>
              <w:rPr>
                <w:rFonts w:ascii="仿宋_GB2312" w:hAnsi="仿宋_GB2312" w:cs="仿宋_GB2312" w:eastAsia="仿宋_GB2312"/>
                <w:sz w:val="24"/>
              </w:rPr>
              <w:t>3.1</w:t>
            </w:r>
            <w:r>
              <w:rPr>
                <w:rFonts w:ascii="仿宋_GB2312" w:hAnsi="仿宋_GB2312" w:cs="仿宋_GB2312" w:eastAsia="仿宋_GB2312"/>
                <w:sz w:val="24"/>
              </w:rPr>
              <w:t>ml药品添加</w:t>
            </w:r>
            <w:r>
              <w:rPr>
                <w:rFonts w:ascii="仿宋_GB2312" w:hAnsi="仿宋_GB2312" w:cs="仿宋_GB2312" w:eastAsia="仿宋_GB2312"/>
                <w:sz w:val="24"/>
              </w:rPr>
              <w:t>0.5</w:t>
            </w:r>
            <w:r>
              <w:rPr>
                <w:rFonts w:ascii="仿宋_GB2312" w:hAnsi="仿宋_GB2312" w:cs="仿宋_GB2312" w:eastAsia="仿宋_GB2312"/>
                <w:sz w:val="24"/>
              </w:rPr>
              <w:t>公斤水进行稀释。</w:t>
            </w:r>
          </w:p>
          <w:p>
            <w:pPr>
              <w:pStyle w:val="null3"/>
              <w:spacing w:after="120"/>
              <w:ind w:firstLine="480"/>
              <w:jc w:val="both"/>
            </w:pPr>
            <w:r>
              <w:rPr>
                <w:rFonts w:ascii="仿宋_GB2312" w:hAnsi="仿宋_GB2312" w:cs="仿宋_GB2312" w:eastAsia="仿宋_GB2312"/>
                <w:sz w:val="24"/>
              </w:rPr>
              <w:t>中</w:t>
            </w:r>
            <w:r>
              <w:rPr>
                <w:rFonts w:ascii="仿宋_GB2312" w:hAnsi="仿宋_GB2312" w:cs="仿宋_GB2312" w:eastAsia="仿宋_GB2312"/>
                <w:sz w:val="24"/>
              </w:rPr>
              <w:t>度危害区域：将药品稀释</w:t>
            </w:r>
            <w:r>
              <w:rPr>
                <w:rFonts w:ascii="仿宋_GB2312" w:hAnsi="仿宋_GB2312" w:cs="仿宋_GB2312" w:eastAsia="仿宋_GB2312"/>
                <w:sz w:val="24"/>
              </w:rPr>
              <w:t>20~25倍后进行叶面喷施，即2</w:t>
            </w:r>
            <w:r>
              <w:rPr>
                <w:rFonts w:ascii="仿宋_GB2312" w:hAnsi="仿宋_GB2312" w:cs="仿宋_GB2312" w:eastAsia="仿宋_GB2312"/>
                <w:sz w:val="24"/>
              </w:rPr>
              <w:t>8.1</w:t>
            </w:r>
            <w:r>
              <w:rPr>
                <w:rFonts w:ascii="仿宋_GB2312" w:hAnsi="仿宋_GB2312" w:cs="仿宋_GB2312" w:eastAsia="仿宋_GB2312"/>
                <w:sz w:val="24"/>
              </w:rPr>
              <w:t>ml药品添加0.</w:t>
            </w:r>
            <w:r>
              <w:rPr>
                <w:rFonts w:ascii="仿宋_GB2312" w:hAnsi="仿宋_GB2312" w:cs="仿宋_GB2312" w:eastAsia="仿宋_GB2312"/>
                <w:sz w:val="24"/>
              </w:rPr>
              <w:t>6</w:t>
            </w:r>
            <w:r>
              <w:rPr>
                <w:rFonts w:ascii="仿宋_GB2312" w:hAnsi="仿宋_GB2312" w:cs="仿宋_GB2312" w:eastAsia="仿宋_GB2312"/>
                <w:sz w:val="24"/>
              </w:rPr>
              <w:t>公斤水进行稀释。</w:t>
            </w:r>
          </w:p>
          <w:p>
            <w:pPr>
              <w:pStyle w:val="null3"/>
              <w:spacing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药品配置</w:t>
            </w:r>
          </w:p>
          <w:p>
            <w:pPr>
              <w:pStyle w:val="null3"/>
              <w:spacing w:after="120"/>
              <w:ind w:firstLine="480"/>
              <w:jc w:val="both"/>
            </w:pPr>
            <w:r>
              <w:rPr>
                <w:rFonts w:ascii="仿宋_GB2312" w:hAnsi="仿宋_GB2312" w:cs="仿宋_GB2312" w:eastAsia="仿宋_GB2312"/>
                <w:sz w:val="24"/>
              </w:rPr>
              <w:t>配制原则：现配现用，不得超过</w:t>
            </w:r>
            <w:r>
              <w:rPr>
                <w:rFonts w:ascii="仿宋_GB2312" w:hAnsi="仿宋_GB2312" w:cs="仿宋_GB2312" w:eastAsia="仿宋_GB2312"/>
                <w:sz w:val="24"/>
              </w:rPr>
              <w:t>2天。</w:t>
            </w:r>
          </w:p>
          <w:p>
            <w:pPr>
              <w:pStyle w:val="null3"/>
              <w:spacing w:after="120"/>
              <w:ind w:firstLine="480"/>
              <w:jc w:val="both"/>
            </w:pPr>
            <w:r>
              <w:rPr>
                <w:rFonts w:ascii="仿宋_GB2312" w:hAnsi="仿宋_GB2312" w:cs="仿宋_GB2312" w:eastAsia="仿宋_GB2312"/>
                <w:sz w:val="24"/>
              </w:rPr>
              <w:t>配制用水：稀释原药应用</w:t>
            </w:r>
            <w:r>
              <w:rPr>
                <w:rFonts w:ascii="仿宋_GB2312" w:hAnsi="仿宋_GB2312" w:cs="仿宋_GB2312" w:eastAsia="仿宋_GB2312"/>
                <w:sz w:val="24"/>
              </w:rPr>
              <w:t>pH3.5~pH6.8，0</w:t>
            </w:r>
            <w:r>
              <w:rPr>
                <w:rFonts w:ascii="仿宋_GB2312" w:hAnsi="仿宋_GB2312" w:cs="仿宋_GB2312" w:eastAsia="仿宋_GB2312"/>
                <w:sz w:val="24"/>
              </w:rPr>
              <w:t>°</w:t>
            </w:r>
            <w:r>
              <w:rPr>
                <w:rFonts w:ascii="仿宋_GB2312" w:hAnsi="仿宋_GB2312" w:cs="仿宋_GB2312" w:eastAsia="仿宋_GB2312"/>
                <w:sz w:val="24"/>
              </w:rPr>
              <w:t>C~10</w:t>
            </w:r>
            <w:r>
              <w:rPr>
                <w:rFonts w:ascii="仿宋_GB2312" w:hAnsi="仿宋_GB2312" w:cs="仿宋_GB2312" w:eastAsia="仿宋_GB2312"/>
                <w:sz w:val="24"/>
              </w:rPr>
              <w:t>°</w:t>
            </w:r>
            <w:r>
              <w:rPr>
                <w:rFonts w:ascii="仿宋_GB2312" w:hAnsi="仿宋_GB2312" w:cs="仿宋_GB2312" w:eastAsia="仿宋_GB2312"/>
                <w:sz w:val="24"/>
              </w:rPr>
              <w:t>C的偏酸性冷水。一般用河水、自来水，禁用碱性水、热水或开水。</w:t>
            </w:r>
          </w:p>
          <w:p>
            <w:pPr>
              <w:pStyle w:val="null3"/>
              <w:spacing w:after="120"/>
              <w:ind w:firstLine="480"/>
              <w:jc w:val="both"/>
            </w:pPr>
            <w:r>
              <w:rPr>
                <w:rFonts w:ascii="仿宋_GB2312" w:hAnsi="仿宋_GB2312" w:cs="仿宋_GB2312" w:eastAsia="仿宋_GB2312"/>
                <w:sz w:val="24"/>
              </w:rPr>
              <w:t>稀释：根据施药浓度按要求量取配制用水，将原药加入水中稀释为药液。</w:t>
            </w:r>
          </w:p>
          <w:p>
            <w:pPr>
              <w:pStyle w:val="null3"/>
              <w:spacing w:after="120"/>
              <w:ind w:firstLine="480"/>
              <w:jc w:val="both"/>
            </w:pPr>
            <w:r>
              <w:rPr>
                <w:rFonts w:ascii="仿宋_GB2312" w:hAnsi="仿宋_GB2312" w:cs="仿宋_GB2312" w:eastAsia="仿宋_GB2312"/>
                <w:sz w:val="24"/>
              </w:rPr>
              <w:t>搅拌：将药液加入清水充分搅拌，确保药品均匀稀释。</w:t>
            </w:r>
          </w:p>
          <w:p>
            <w:pPr>
              <w:pStyle w:val="null3"/>
              <w:spacing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3）防治时间：虫害防治三龄前幼虫。</w:t>
            </w:r>
          </w:p>
          <w:p>
            <w:pPr>
              <w:pStyle w:val="null3"/>
              <w:spacing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施药方法</w:t>
            </w:r>
          </w:p>
          <w:p>
            <w:pPr>
              <w:pStyle w:val="null3"/>
              <w:spacing w:after="120"/>
              <w:ind w:firstLine="480"/>
              <w:jc w:val="both"/>
            </w:pPr>
            <w:r>
              <w:rPr>
                <w:rFonts w:ascii="仿宋_GB2312" w:hAnsi="仿宋_GB2312" w:cs="仿宋_GB2312" w:eastAsia="仿宋_GB2312"/>
                <w:sz w:val="24"/>
              </w:rPr>
              <w:t>①</w:t>
            </w:r>
            <w:r>
              <w:rPr>
                <w:rFonts w:ascii="仿宋_GB2312" w:hAnsi="仿宋_GB2312" w:cs="仿宋_GB2312" w:eastAsia="仿宋_GB2312"/>
                <w:sz w:val="24"/>
              </w:rPr>
              <w:t>实施依据</w:t>
            </w:r>
          </w:p>
          <w:p>
            <w:pPr>
              <w:pStyle w:val="null3"/>
              <w:spacing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植保无人飞机安全使用技术规程</w:t>
            </w:r>
            <w:r>
              <w:rPr>
                <w:rFonts w:ascii="仿宋_GB2312" w:hAnsi="仿宋_GB2312" w:cs="仿宋_GB2312" w:eastAsia="仿宋_GB2312"/>
                <w:sz w:val="24"/>
              </w:rPr>
              <w:t>》（</w:t>
            </w:r>
            <w:r>
              <w:rPr>
                <w:rFonts w:ascii="仿宋_GB2312" w:hAnsi="仿宋_GB2312" w:cs="仿宋_GB2312" w:eastAsia="仿宋_GB2312"/>
                <w:sz w:val="24"/>
              </w:rPr>
              <w:t>NY</w:t>
            </w:r>
            <w:r>
              <w:rPr>
                <w:rFonts w:ascii="仿宋_GB2312" w:hAnsi="仿宋_GB2312" w:cs="仿宋_GB2312" w:eastAsia="仿宋_GB2312"/>
                <w:sz w:val="24"/>
              </w:rPr>
              <w:t xml:space="preserve">/T </w:t>
            </w:r>
            <w:r>
              <w:rPr>
                <w:rFonts w:ascii="仿宋_GB2312" w:hAnsi="仿宋_GB2312" w:cs="仿宋_GB2312" w:eastAsia="仿宋_GB2312"/>
                <w:sz w:val="24"/>
              </w:rPr>
              <w:t>4259</w:t>
            </w:r>
            <w:r>
              <w:rPr>
                <w:rFonts w:ascii="仿宋_GB2312" w:hAnsi="仿宋_GB2312" w:cs="仿宋_GB2312" w:eastAsia="仿宋_GB2312"/>
                <w:sz w:val="24"/>
              </w:rPr>
              <w:t>-</w:t>
            </w:r>
            <w:r>
              <w:rPr>
                <w:rFonts w:ascii="仿宋_GB2312" w:hAnsi="仿宋_GB2312" w:cs="仿宋_GB2312" w:eastAsia="仿宋_GB2312"/>
                <w:sz w:val="24"/>
              </w:rPr>
              <w:t>2022</w:t>
            </w:r>
            <w:r>
              <w:rPr>
                <w:rFonts w:ascii="仿宋_GB2312" w:hAnsi="仿宋_GB2312" w:cs="仿宋_GB2312" w:eastAsia="仿宋_GB2312"/>
                <w:sz w:val="24"/>
              </w:rPr>
              <w:t>）；</w:t>
            </w:r>
          </w:p>
          <w:p>
            <w:pPr>
              <w:pStyle w:val="null3"/>
              <w:spacing w:after="120"/>
              <w:ind w:firstLine="480"/>
              <w:jc w:val="both"/>
            </w:pPr>
            <w:r>
              <w:rPr>
                <w:rFonts w:ascii="仿宋_GB2312" w:hAnsi="仿宋_GB2312" w:cs="仿宋_GB2312" w:eastAsia="仿宋_GB2312"/>
                <w:sz w:val="24"/>
              </w:rPr>
              <w:t>无人机喷洒作业应在适宜的气象条件下进行，环境温度</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-45</w:t>
            </w:r>
            <w:r>
              <w:rPr>
                <w:rFonts w:ascii="仿宋_GB2312" w:hAnsi="仿宋_GB2312" w:cs="仿宋_GB2312" w:eastAsia="仿宋_GB2312"/>
                <w:sz w:val="24"/>
              </w:rPr>
              <w:t>℃</w:t>
            </w:r>
            <w:r>
              <w:rPr>
                <w:rFonts w:ascii="仿宋_GB2312" w:hAnsi="仿宋_GB2312" w:cs="仿宋_GB2312" w:eastAsia="仿宋_GB2312"/>
                <w:sz w:val="24"/>
              </w:rPr>
              <w:t>，风速不大于5m/s，雨、大雾等恶劣天气，应停止作业。</w:t>
            </w:r>
          </w:p>
          <w:p>
            <w:pPr>
              <w:pStyle w:val="null3"/>
              <w:spacing w:after="120"/>
              <w:ind w:firstLine="480"/>
              <w:jc w:val="both"/>
            </w:pPr>
            <w:r>
              <w:rPr>
                <w:rFonts w:ascii="仿宋_GB2312" w:hAnsi="仿宋_GB2312" w:cs="仿宋_GB2312" w:eastAsia="仿宋_GB2312"/>
                <w:sz w:val="24"/>
              </w:rPr>
              <w:t>③</w:t>
            </w:r>
            <w:r>
              <w:rPr>
                <w:rFonts w:ascii="仿宋_GB2312" w:hAnsi="仿宋_GB2312" w:cs="仿宋_GB2312" w:eastAsia="仿宋_GB2312"/>
                <w:sz w:val="24"/>
              </w:rPr>
              <w:t>作业前准备</w:t>
            </w:r>
          </w:p>
          <w:p>
            <w:pPr>
              <w:pStyle w:val="null3"/>
              <w:spacing w:after="120"/>
              <w:ind w:firstLine="480"/>
              <w:jc w:val="both"/>
            </w:pPr>
            <w:r>
              <w:rPr>
                <w:rFonts w:ascii="仿宋_GB2312" w:hAnsi="仿宋_GB2312" w:cs="仿宋_GB2312" w:eastAsia="仿宋_GB2312"/>
                <w:sz w:val="24"/>
              </w:rPr>
              <w:t>选择</w:t>
            </w:r>
            <w:r>
              <w:rPr>
                <w:rFonts w:ascii="仿宋_GB2312" w:hAnsi="仿宋_GB2312" w:cs="仿宋_GB2312" w:eastAsia="仿宋_GB2312"/>
                <w:sz w:val="24"/>
              </w:rPr>
              <w:t>农用无人机</w:t>
            </w:r>
            <w:r>
              <w:rPr>
                <w:rFonts w:ascii="仿宋_GB2312" w:hAnsi="仿宋_GB2312" w:cs="仿宋_GB2312" w:eastAsia="仿宋_GB2312"/>
                <w:sz w:val="24"/>
              </w:rPr>
              <w:t>，作业前检查飞行器飞行速度、宽度及喷洒量设置，检查飞行器能否正常工作。</w:t>
            </w:r>
          </w:p>
          <w:p>
            <w:pPr>
              <w:pStyle w:val="null3"/>
              <w:spacing w:after="120"/>
              <w:ind w:firstLine="480"/>
              <w:jc w:val="both"/>
            </w:pPr>
            <w:r>
              <w:rPr>
                <w:rFonts w:ascii="仿宋_GB2312" w:hAnsi="仿宋_GB2312" w:cs="仿宋_GB2312" w:eastAsia="仿宋_GB2312"/>
                <w:sz w:val="24"/>
              </w:rPr>
              <w:t>④</w:t>
            </w:r>
            <w:r>
              <w:rPr>
                <w:rFonts w:ascii="仿宋_GB2312" w:hAnsi="仿宋_GB2312" w:cs="仿宋_GB2312" w:eastAsia="仿宋_GB2312"/>
                <w:sz w:val="24"/>
              </w:rPr>
              <w:t>无人机作业参数</w:t>
            </w:r>
          </w:p>
          <w:p>
            <w:pPr>
              <w:pStyle w:val="null3"/>
              <w:spacing w:after="120"/>
              <w:ind w:firstLine="480"/>
              <w:jc w:val="both"/>
            </w:pPr>
            <w:r>
              <w:rPr>
                <w:rFonts w:ascii="仿宋_GB2312" w:hAnsi="仿宋_GB2312" w:cs="仿宋_GB2312" w:eastAsia="仿宋_GB2312"/>
                <w:sz w:val="24"/>
              </w:rPr>
              <w:t>1）</w:t>
            </w:r>
            <w:r>
              <w:rPr>
                <w:rFonts w:ascii="仿宋_GB2312" w:hAnsi="仿宋_GB2312" w:cs="仿宋_GB2312" w:eastAsia="仿宋_GB2312"/>
                <w:sz w:val="24"/>
              </w:rPr>
              <w:t>飞行速度：</w:t>
            </w:r>
            <w:r>
              <w:rPr>
                <w:rFonts w:ascii="仿宋_GB2312" w:hAnsi="仿宋_GB2312" w:cs="仿宋_GB2312" w:eastAsia="仿宋_GB2312"/>
                <w:sz w:val="24"/>
              </w:rPr>
              <w:t>4m/s-</w:t>
            </w:r>
            <w:r>
              <w:rPr>
                <w:rFonts w:ascii="仿宋_GB2312" w:hAnsi="仿宋_GB2312" w:cs="仿宋_GB2312" w:eastAsia="仿宋_GB2312"/>
                <w:sz w:val="24"/>
              </w:rPr>
              <w:t>6</w:t>
            </w:r>
            <w:r>
              <w:rPr>
                <w:rFonts w:ascii="仿宋_GB2312" w:hAnsi="仿宋_GB2312" w:cs="仿宋_GB2312" w:eastAsia="仿宋_GB2312"/>
                <w:sz w:val="24"/>
              </w:rPr>
              <w:t>m/s匀速飞行。</w:t>
            </w:r>
          </w:p>
          <w:p>
            <w:pPr>
              <w:pStyle w:val="null3"/>
              <w:spacing w:after="120"/>
              <w:ind w:firstLine="480"/>
              <w:jc w:val="both"/>
            </w:pPr>
            <w:r>
              <w:rPr>
                <w:rFonts w:ascii="仿宋_GB2312" w:hAnsi="仿宋_GB2312" w:cs="仿宋_GB2312" w:eastAsia="仿宋_GB2312"/>
                <w:sz w:val="24"/>
              </w:rPr>
              <w:t>2）</w:t>
            </w:r>
            <w:r>
              <w:rPr>
                <w:rFonts w:ascii="仿宋_GB2312" w:hAnsi="仿宋_GB2312" w:cs="仿宋_GB2312" w:eastAsia="仿宋_GB2312"/>
                <w:sz w:val="24"/>
              </w:rPr>
              <w:t>飞行高度：作物上方</w:t>
            </w:r>
            <w:r>
              <w:rPr>
                <w:rFonts w:ascii="仿宋_GB2312" w:hAnsi="仿宋_GB2312" w:cs="仿宋_GB2312" w:eastAsia="仿宋_GB2312"/>
                <w:sz w:val="24"/>
              </w:rPr>
              <w:t>1.5</w:t>
            </w:r>
            <w:r>
              <w:rPr>
                <w:rFonts w:ascii="仿宋_GB2312" w:hAnsi="仿宋_GB2312" w:cs="仿宋_GB2312" w:eastAsia="仿宋_GB2312"/>
                <w:sz w:val="24"/>
              </w:rPr>
              <w:t>m-3m，禁止超高空飞行以保证药液沉降效果。</w:t>
            </w:r>
          </w:p>
          <w:p>
            <w:pPr>
              <w:pStyle w:val="null3"/>
              <w:spacing w:after="120"/>
              <w:ind w:firstLine="480"/>
              <w:jc w:val="both"/>
            </w:pPr>
            <w:r>
              <w:rPr>
                <w:rFonts w:ascii="仿宋_GB2312" w:hAnsi="仿宋_GB2312" w:cs="仿宋_GB2312" w:eastAsia="仿宋_GB2312"/>
                <w:sz w:val="24"/>
              </w:rPr>
              <w:t>3）</w:t>
            </w:r>
            <w:r>
              <w:rPr>
                <w:rFonts w:ascii="仿宋_GB2312" w:hAnsi="仿宋_GB2312" w:cs="仿宋_GB2312" w:eastAsia="仿宋_GB2312"/>
                <w:sz w:val="24"/>
              </w:rPr>
              <w:t>作业喷幅：</w:t>
            </w:r>
            <w:r>
              <w:rPr>
                <w:rFonts w:ascii="仿宋_GB2312" w:hAnsi="仿宋_GB2312" w:cs="仿宋_GB2312" w:eastAsia="仿宋_GB2312"/>
                <w:sz w:val="24"/>
              </w:rPr>
              <w:t>4m-</w:t>
            </w:r>
            <w:r>
              <w:rPr>
                <w:rFonts w:ascii="仿宋_GB2312" w:hAnsi="仿宋_GB2312" w:cs="仿宋_GB2312" w:eastAsia="仿宋_GB2312"/>
                <w:sz w:val="24"/>
              </w:rPr>
              <w:t>9</w:t>
            </w:r>
            <w:r>
              <w:rPr>
                <w:rFonts w:ascii="仿宋_GB2312" w:hAnsi="仿宋_GB2312" w:cs="仿宋_GB2312" w:eastAsia="仿宋_GB2312"/>
                <w:sz w:val="24"/>
              </w:rPr>
              <w:t>m。</w:t>
            </w:r>
          </w:p>
          <w:p>
            <w:pPr>
              <w:pStyle w:val="null3"/>
              <w:spacing w:after="120"/>
              <w:ind w:firstLine="480"/>
              <w:jc w:val="both"/>
            </w:pPr>
            <w:r>
              <w:rPr>
                <w:rFonts w:ascii="仿宋_GB2312" w:hAnsi="仿宋_GB2312" w:cs="仿宋_GB2312" w:eastAsia="仿宋_GB2312"/>
                <w:sz w:val="24"/>
              </w:rPr>
              <w:t>4）</w:t>
            </w:r>
            <w:r>
              <w:rPr>
                <w:rFonts w:ascii="仿宋_GB2312" w:hAnsi="仿宋_GB2312" w:cs="仿宋_GB2312" w:eastAsia="仿宋_GB2312"/>
                <w:sz w:val="24"/>
              </w:rPr>
              <w:t>喷头流量：</w:t>
            </w:r>
            <w:r>
              <w:rPr>
                <w:rFonts w:ascii="仿宋_GB2312" w:hAnsi="仿宋_GB2312" w:cs="仿宋_GB2312" w:eastAsia="仿宋_GB2312"/>
                <w:sz w:val="24"/>
              </w:rPr>
              <w:t>7.2L</w:t>
            </w:r>
            <w:r>
              <w:rPr>
                <w:rFonts w:ascii="仿宋_GB2312" w:hAnsi="仿宋_GB2312" w:cs="仿宋_GB2312" w:eastAsia="仿宋_GB2312"/>
                <w:sz w:val="24"/>
              </w:rPr>
              <w:t>/min-</w:t>
            </w:r>
            <w:r>
              <w:rPr>
                <w:rFonts w:ascii="仿宋_GB2312" w:hAnsi="仿宋_GB2312" w:cs="仿宋_GB2312" w:eastAsia="仿宋_GB2312"/>
                <w:sz w:val="24"/>
              </w:rPr>
              <w:t>8L</w:t>
            </w:r>
            <w:r>
              <w:rPr>
                <w:rFonts w:ascii="仿宋_GB2312" w:hAnsi="仿宋_GB2312" w:cs="仿宋_GB2312" w:eastAsia="仿宋_GB2312"/>
                <w:sz w:val="24"/>
              </w:rPr>
              <w:t>/min。</w:t>
            </w:r>
          </w:p>
          <w:p>
            <w:pPr>
              <w:pStyle w:val="null3"/>
              <w:spacing w:after="120"/>
              <w:ind w:firstLine="480"/>
              <w:jc w:val="both"/>
            </w:pPr>
            <w:r>
              <w:rPr>
                <w:rFonts w:ascii="仿宋_GB2312" w:hAnsi="仿宋_GB2312" w:cs="仿宋_GB2312" w:eastAsia="仿宋_GB2312"/>
                <w:sz w:val="24"/>
              </w:rPr>
              <w:t>⑤</w:t>
            </w:r>
            <w:r>
              <w:rPr>
                <w:rFonts w:ascii="仿宋_GB2312" w:hAnsi="仿宋_GB2312" w:cs="仿宋_GB2312" w:eastAsia="仿宋_GB2312"/>
                <w:sz w:val="24"/>
              </w:rPr>
              <w:t>施药前准备</w:t>
            </w:r>
          </w:p>
          <w:p>
            <w:pPr>
              <w:pStyle w:val="null3"/>
              <w:spacing w:after="120"/>
              <w:ind w:firstLine="480"/>
              <w:jc w:val="both"/>
            </w:pPr>
            <w:r>
              <w:rPr>
                <w:rFonts w:ascii="仿宋_GB2312" w:hAnsi="仿宋_GB2312" w:cs="仿宋_GB2312" w:eastAsia="仿宋_GB2312"/>
                <w:sz w:val="24"/>
              </w:rPr>
              <w:t>清洗喷洒设备，以免作业时混合其他农药，造成作物伤害。</w:t>
            </w:r>
          </w:p>
          <w:p>
            <w:pPr>
              <w:pStyle w:val="null3"/>
              <w:spacing w:after="120"/>
              <w:ind w:firstLine="480"/>
              <w:jc w:val="both"/>
            </w:pPr>
            <w:r>
              <w:rPr>
                <w:rFonts w:ascii="仿宋_GB2312" w:hAnsi="仿宋_GB2312" w:cs="仿宋_GB2312" w:eastAsia="仿宋_GB2312"/>
                <w:sz w:val="24"/>
              </w:rPr>
              <w:t>选择液压式喷头，调整喷头流量。</w:t>
            </w:r>
          </w:p>
          <w:p>
            <w:pPr>
              <w:pStyle w:val="null3"/>
              <w:spacing w:after="120"/>
              <w:ind w:firstLine="480"/>
              <w:jc w:val="both"/>
            </w:pPr>
            <w:r>
              <w:rPr>
                <w:rFonts w:ascii="仿宋_GB2312" w:hAnsi="仿宋_GB2312" w:cs="仿宋_GB2312" w:eastAsia="仿宋_GB2312"/>
                <w:sz w:val="24"/>
              </w:rPr>
              <w:t>提前在作业区可能受到影响的公众、养殖区、水源地等敏感地区发布预先警示。</w:t>
            </w:r>
          </w:p>
          <w:p>
            <w:pPr>
              <w:pStyle w:val="null3"/>
              <w:spacing w:after="120"/>
              <w:ind w:firstLine="480"/>
              <w:jc w:val="both"/>
            </w:pPr>
            <w:r>
              <w:rPr>
                <w:rFonts w:ascii="仿宋_GB2312" w:hAnsi="仿宋_GB2312" w:cs="仿宋_GB2312" w:eastAsia="仿宋_GB2312"/>
                <w:sz w:val="24"/>
              </w:rPr>
              <w:t>将配置好的药液，加入</w:t>
            </w:r>
            <w:r>
              <w:rPr>
                <w:rFonts w:ascii="仿宋_GB2312" w:hAnsi="仿宋_GB2312" w:cs="仿宋_GB2312" w:eastAsia="仿宋_GB2312"/>
                <w:sz w:val="24"/>
              </w:rPr>
              <w:t>农用无人机</w:t>
            </w:r>
            <w:r>
              <w:rPr>
                <w:rFonts w:ascii="仿宋_GB2312" w:hAnsi="仿宋_GB2312" w:cs="仿宋_GB2312" w:eastAsia="仿宋_GB2312"/>
                <w:sz w:val="24"/>
              </w:rPr>
              <w:t>的药箱，药箱容量</w:t>
            </w:r>
            <w:r>
              <w:rPr>
                <w:rFonts w:ascii="仿宋_GB2312" w:hAnsi="仿宋_GB2312" w:cs="仿宋_GB2312" w:eastAsia="仿宋_GB2312"/>
                <w:sz w:val="24"/>
              </w:rPr>
              <w:t>30</w:t>
            </w:r>
            <w:r>
              <w:rPr>
                <w:rFonts w:ascii="仿宋_GB2312" w:hAnsi="仿宋_GB2312" w:cs="仿宋_GB2312" w:eastAsia="仿宋_GB2312"/>
                <w:sz w:val="24"/>
              </w:rPr>
              <w:t>L，每次加入</w:t>
            </w:r>
            <w:r>
              <w:rPr>
                <w:rFonts w:ascii="仿宋_GB2312" w:hAnsi="仿宋_GB2312" w:cs="仿宋_GB2312" w:eastAsia="仿宋_GB2312"/>
                <w:sz w:val="24"/>
              </w:rPr>
              <w:t>2</w:t>
            </w:r>
            <w:r>
              <w:rPr>
                <w:rFonts w:ascii="仿宋_GB2312" w:hAnsi="仿宋_GB2312" w:cs="仿宋_GB2312" w:eastAsia="仿宋_GB2312"/>
                <w:sz w:val="24"/>
              </w:rPr>
              <w:t>5L药液。</w:t>
            </w:r>
          </w:p>
          <w:p>
            <w:pPr>
              <w:pStyle w:val="null3"/>
              <w:spacing w:after="120"/>
              <w:ind w:firstLine="480"/>
              <w:jc w:val="both"/>
            </w:pPr>
            <w:r>
              <w:rPr>
                <w:rFonts w:ascii="仿宋_GB2312" w:hAnsi="仿宋_GB2312" w:cs="仿宋_GB2312" w:eastAsia="仿宋_GB2312"/>
                <w:sz w:val="24"/>
              </w:rPr>
              <w:t>⑥</w:t>
            </w:r>
            <w:r>
              <w:rPr>
                <w:rFonts w:ascii="仿宋_GB2312" w:hAnsi="仿宋_GB2312" w:cs="仿宋_GB2312" w:eastAsia="仿宋_GB2312"/>
                <w:sz w:val="24"/>
              </w:rPr>
              <w:t>作业飞行</w:t>
            </w:r>
          </w:p>
          <w:p>
            <w:pPr>
              <w:pStyle w:val="null3"/>
              <w:spacing w:after="120"/>
              <w:ind w:firstLine="480"/>
              <w:jc w:val="both"/>
            </w:pPr>
            <w:r>
              <w:rPr>
                <w:rFonts w:ascii="仿宋_GB2312" w:hAnsi="仿宋_GB2312" w:cs="仿宋_GB2312" w:eastAsia="仿宋_GB2312"/>
                <w:sz w:val="24"/>
              </w:rPr>
              <w:t>1）</w:t>
            </w:r>
            <w:r>
              <w:rPr>
                <w:rFonts w:ascii="仿宋_GB2312" w:hAnsi="仿宋_GB2312" w:cs="仿宋_GB2312" w:eastAsia="仿宋_GB2312"/>
                <w:sz w:val="24"/>
              </w:rPr>
              <w:t>操作</w:t>
            </w:r>
            <w:r>
              <w:rPr>
                <w:rFonts w:ascii="仿宋_GB2312" w:hAnsi="仿宋_GB2312" w:cs="仿宋_GB2312" w:eastAsia="仿宋_GB2312"/>
                <w:sz w:val="24"/>
              </w:rPr>
              <w:t>人员要求</w:t>
            </w:r>
          </w:p>
          <w:p>
            <w:pPr>
              <w:pStyle w:val="null3"/>
              <w:spacing w:after="120"/>
              <w:ind w:firstLine="480"/>
              <w:jc w:val="both"/>
            </w:pPr>
            <w:r>
              <w:rPr>
                <w:rFonts w:ascii="仿宋_GB2312" w:hAnsi="仿宋_GB2312" w:cs="仿宋_GB2312" w:eastAsia="仿宋_GB2312"/>
                <w:sz w:val="24"/>
              </w:rPr>
              <w:t>a.</w:t>
            </w:r>
            <w:r>
              <w:rPr>
                <w:rFonts w:ascii="仿宋_GB2312" w:hAnsi="仿宋_GB2312" w:cs="仿宋_GB2312" w:eastAsia="仿宋_GB2312"/>
                <w:sz w:val="24"/>
              </w:rPr>
              <w:t>获得《农用无人机驾驶航空器操作证》</w:t>
            </w:r>
          </w:p>
          <w:p>
            <w:pPr>
              <w:pStyle w:val="null3"/>
              <w:spacing w:after="120"/>
              <w:ind w:firstLine="480"/>
              <w:jc w:val="both"/>
            </w:pPr>
            <w:r>
              <w:rPr>
                <w:rFonts w:ascii="仿宋_GB2312" w:hAnsi="仿宋_GB2312" w:cs="仿宋_GB2312" w:eastAsia="仿宋_GB2312"/>
                <w:sz w:val="24"/>
              </w:rPr>
              <w:t>b.了解农药制剂知识，并在发生农药中毒事故时能采取补救措施</w:t>
            </w:r>
          </w:p>
          <w:p>
            <w:pPr>
              <w:pStyle w:val="null3"/>
              <w:spacing w:after="120"/>
              <w:ind w:firstLine="480"/>
              <w:jc w:val="both"/>
            </w:pPr>
            <w:r>
              <w:rPr>
                <w:rFonts w:ascii="仿宋_GB2312" w:hAnsi="仿宋_GB2312" w:cs="仿宋_GB2312" w:eastAsia="仿宋_GB2312"/>
                <w:sz w:val="24"/>
              </w:rPr>
              <w:t>c.掌握正确的施药剂量、施药技术和操作方法</w:t>
            </w:r>
          </w:p>
          <w:p>
            <w:pPr>
              <w:pStyle w:val="null3"/>
              <w:spacing w:after="120"/>
              <w:ind w:firstLine="480"/>
              <w:jc w:val="both"/>
            </w:pPr>
            <w:r>
              <w:rPr>
                <w:rFonts w:ascii="仿宋_GB2312" w:hAnsi="仿宋_GB2312" w:cs="仿宋_GB2312" w:eastAsia="仿宋_GB2312"/>
                <w:sz w:val="24"/>
              </w:rPr>
              <w:t>d</w:t>
            </w:r>
            <w:r>
              <w:rPr>
                <w:rFonts w:ascii="仿宋_GB2312" w:hAnsi="仿宋_GB2312" w:cs="仿宋_GB2312" w:eastAsia="仿宋_GB2312"/>
                <w:sz w:val="24"/>
              </w:rPr>
              <w:t>.穿戴适当的个人防护设备</w:t>
            </w:r>
          </w:p>
          <w:p>
            <w:pPr>
              <w:pStyle w:val="null3"/>
              <w:spacing w:after="120"/>
              <w:ind w:firstLine="480"/>
              <w:jc w:val="both"/>
            </w:pPr>
            <w:r>
              <w:rPr>
                <w:rFonts w:ascii="仿宋_GB2312" w:hAnsi="仿宋_GB2312" w:cs="仿宋_GB2312" w:eastAsia="仿宋_GB2312"/>
                <w:sz w:val="24"/>
              </w:rPr>
              <w:t>2） 施工过程</w:t>
            </w:r>
          </w:p>
          <w:p>
            <w:pPr>
              <w:pStyle w:val="null3"/>
              <w:spacing w:after="120"/>
              <w:ind w:firstLine="480"/>
              <w:jc w:val="both"/>
            </w:pPr>
            <w:r>
              <w:rPr>
                <w:rFonts w:ascii="仿宋_GB2312" w:hAnsi="仿宋_GB2312" w:cs="仿宋_GB2312" w:eastAsia="仿宋_GB2312"/>
                <w:sz w:val="24"/>
              </w:rPr>
              <w:t>将</w:t>
            </w:r>
            <w:r>
              <w:rPr>
                <w:rFonts w:ascii="仿宋_GB2312" w:hAnsi="仿宋_GB2312" w:cs="仿宋_GB2312" w:eastAsia="仿宋_GB2312"/>
                <w:sz w:val="24"/>
              </w:rPr>
              <w:t>农用无人机</w:t>
            </w:r>
            <w:r>
              <w:rPr>
                <w:rFonts w:ascii="仿宋_GB2312" w:hAnsi="仿宋_GB2312" w:cs="仿宋_GB2312" w:eastAsia="仿宋_GB2312"/>
                <w:sz w:val="24"/>
              </w:rPr>
              <w:t>设定为全自主控制模式，将施工作业区的</w:t>
            </w:r>
            <w:r>
              <w:rPr>
                <w:rFonts w:ascii="仿宋_GB2312" w:hAnsi="仿宋_GB2312" w:cs="仿宋_GB2312" w:eastAsia="仿宋_GB2312"/>
                <w:sz w:val="24"/>
              </w:rPr>
              <w:t>GPS信息采集到，并把航线规划好，输入到地面站的内部控制系统中，地面站对飞机下达指令，作业时保持离植被2m左右高度飞行，选择5m/s的飞行速度，施药宽带</w:t>
            </w:r>
            <w:r>
              <w:rPr>
                <w:rFonts w:ascii="仿宋_GB2312" w:hAnsi="仿宋_GB2312" w:cs="仿宋_GB2312" w:eastAsia="仿宋_GB2312"/>
                <w:sz w:val="24"/>
              </w:rPr>
              <w:t>4-5</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飞机载着喷洒装置自主将喷洒作业完成，完成之后自动飞回到起飞点。</w:t>
            </w:r>
          </w:p>
          <w:p>
            <w:pPr>
              <w:pStyle w:val="null3"/>
              <w:spacing w:after="120"/>
              <w:ind w:firstLine="480"/>
              <w:jc w:val="both"/>
            </w:pPr>
            <w:r>
              <w:rPr>
                <w:rFonts w:ascii="仿宋_GB2312" w:hAnsi="仿宋_GB2312" w:cs="仿宋_GB2312" w:eastAsia="仿宋_GB2312"/>
                <w:sz w:val="24"/>
              </w:rPr>
              <w:t>农用无人机</w:t>
            </w:r>
            <w:r>
              <w:rPr>
                <w:rFonts w:ascii="仿宋_GB2312" w:hAnsi="仿宋_GB2312" w:cs="仿宋_GB2312" w:eastAsia="仿宋_GB2312"/>
                <w:sz w:val="24"/>
              </w:rPr>
              <w:t>采用低容量喷雾，而且属于高浓度细喷雾的方式，雾滴更小，在作业过程中通过喷头的压力和飞机螺旋桨现象的强大气流将药均匀的洒到植被上面，可以很大程度降低药物使用量和用水量。</w:t>
            </w:r>
          </w:p>
          <w:p>
            <w:pPr>
              <w:pStyle w:val="null3"/>
              <w:spacing w:after="120"/>
              <w:ind w:firstLine="480"/>
              <w:jc w:val="both"/>
            </w:pPr>
            <w:r>
              <w:rPr>
                <w:rFonts w:ascii="仿宋_GB2312" w:hAnsi="仿宋_GB2312" w:cs="仿宋_GB2312" w:eastAsia="仿宋_GB2312"/>
                <w:sz w:val="24"/>
              </w:rPr>
              <w:t>采用无人机喷洒药物喷药效率更高，无人机喷洒更均匀，对于植物有害生物的防治效果更好。</w:t>
            </w:r>
          </w:p>
          <w:p>
            <w:pPr>
              <w:pStyle w:val="null3"/>
              <w:spacing w:after="120"/>
              <w:ind w:firstLine="482"/>
              <w:jc w:val="both"/>
            </w:pPr>
            <w:r>
              <w:rPr>
                <w:rFonts w:ascii="仿宋_GB2312" w:hAnsi="仿宋_GB2312" w:cs="仿宋_GB2312" w:eastAsia="仿宋_GB2312"/>
                <w:sz w:val="24"/>
              </w:rPr>
              <w:t>★</w:t>
            </w:r>
            <w:r>
              <w:rPr>
                <w:rFonts w:ascii="仿宋_GB2312" w:hAnsi="仿宋_GB2312" w:cs="仿宋_GB2312" w:eastAsia="仿宋_GB2312"/>
                <w:sz w:val="24"/>
                <w:b/>
              </w:rPr>
              <w:t>3.运输要求</w:t>
            </w:r>
          </w:p>
          <w:p>
            <w:pPr>
              <w:pStyle w:val="null3"/>
              <w:spacing w:after="120"/>
              <w:ind w:firstLine="480"/>
              <w:jc w:val="both"/>
            </w:pPr>
            <w:r>
              <w:rPr>
                <w:rFonts w:ascii="仿宋_GB2312" w:hAnsi="仿宋_GB2312" w:cs="仿宋_GB2312" w:eastAsia="仿宋_GB2312"/>
                <w:sz w:val="24"/>
              </w:rPr>
              <w:t>农药运输执行《农药贮运、销售和使用的防毒规程》（</w:t>
            </w:r>
            <w:r>
              <w:rPr>
                <w:rFonts w:ascii="仿宋_GB2312" w:hAnsi="仿宋_GB2312" w:cs="仿宋_GB2312" w:eastAsia="仿宋_GB2312"/>
                <w:sz w:val="24"/>
              </w:rPr>
              <w:t>GB12475-2006）的规定。使用专用车辆，防雨、防漏、防盗，严禁与食品、人畜混载。不应在公共交通工具上携带未经严格包装的零散杀鼠剂及其药饵。运输时要轻装、轻放，防止破损，避免高温和日晒。</w:t>
            </w:r>
          </w:p>
          <w:p>
            <w:pPr>
              <w:pStyle w:val="null3"/>
              <w:spacing w:after="120"/>
              <w:jc w:val="both"/>
            </w:pPr>
            <w:r>
              <w:rPr>
                <w:rFonts w:ascii="仿宋_GB2312" w:hAnsi="仿宋_GB2312" w:cs="仿宋_GB2312" w:eastAsia="仿宋_GB2312"/>
                <w:sz w:val="24"/>
              </w:rPr>
              <w:t xml:space="preserve"> </w:t>
            </w:r>
            <w:r>
              <w:rPr>
                <w:rFonts w:ascii="仿宋_GB2312" w:hAnsi="仿宋_GB2312" w:cs="仿宋_GB2312" w:eastAsia="仿宋_GB2312"/>
                <w:sz w:val="24"/>
                <w:b/>
              </w:rPr>
              <w:t xml:space="preserve"> ★4.</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 xml:space="preserve">   投标人投标时须提供D型肉毒梭菌毒素、苦参碱的农药登记证、生产许可证、农药产品标准。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合同签订之日起60日内完成草原鼠害防治，虫害防治需在合同签订后150日内完成。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阿坝州若尔盖县行政县域内（采购人指定地点）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1、合同签订后鼠害物资进场并完成鼠害防治工作且验收合格后，达到付款条件起15日内，支付合同总金额的50.00%</w:t>
            </w:r>
          </w:p>
          <w:p>
            <w:pPr>
              <w:pStyle w:val="null3"/>
              <w:jc w:val="left"/>
            </w:pPr>
            <w:r>
              <w:rPr>
                <w:rFonts w:ascii="仿宋_GB2312" w:hAnsi="仿宋_GB2312" w:cs="仿宋_GB2312" w:eastAsia="仿宋_GB2312"/>
              </w:rPr>
              <w:t>2、虫害物资进场并完成虫害防治工作且验收合格后，达到付款条件起15日内，支付合同总金额的45.00%</w:t>
            </w:r>
          </w:p>
          <w:p>
            <w:pPr>
              <w:pStyle w:val="null3"/>
              <w:jc w:val="left"/>
            </w:pPr>
            <w:r>
              <w:rPr>
                <w:rFonts w:ascii="仿宋_GB2312" w:hAnsi="仿宋_GB2312" w:cs="仿宋_GB2312" w:eastAsia="仿宋_GB2312"/>
              </w:rPr>
              <w:t>3、项目整体验收合格后，达到付款条件起15日内，支付合同总金额的5.00%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符合国家、行业标准、四川省地方标准规定的验收标准。严格按照《财政部关于进一步加强政府采购需求和履约验收管理的指导意见》（财库〔2016〕205 号）及《政府采购需求管理办法》（财库〔2021〕22 号）的要求组织验收，验收应以采购合同、采购及其补充文件、国家或行业相关 标准为验收的主要依据。</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农药产品到货验收时产品质量保证有效期剩余时长≥1年（自验收合格之日起计）（涉及其他行业标准的按相关行业标准执行）。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1.1采购人与成交供应商双方必须遵守并执行本项目中约定的各项规定，保证本项目的正常实施。 1.2如因成交供应商工作人员在履行职务过程中的疏忽、失职、过错等故意或过失给采购人造成损失或侵害，包括但不限于采购人本身财产损失、由此而导致的采购人对任何第三方的法律责任等，成交供应商对此均应承担全部的赔偿责任。 1.3如未经采购人同意，成交供应商不得将本项目成果移作他用，不得向第三方泄露本项目成果，违反本条规定，给采购人造成损失的，成交供应商应承担相关的法律责任。 1.4成交供应商未在合同规定日期内提交全部符合项目合同要求的项目成果，每延迟一天，则采购人有权要求成交供应商支付合同总金额1‰的违约金，延迟累计超过15个日历日，采购人有权解除本合同并不向成交供应商支付任何费用，并要求成交供应商承担因合同解除而造成的相关损失。若因甲方或者客观因素造成无法在规定工期内完成任务的，双方应协商解决 1.5因货物的质量问题发生争议，由质量技术监督部门或其指定的质量鉴定机构进行质量鉴定。货物符合标准的，鉴定费由甲方承担；货物不符合质量标准的，鉴定费由中标人承担。合同履行期间,若双方发生争议，可协商或由有关部门调解解决，协商或调解不成的，由当事人依法维护其合法权益。 1.6当出现争议时，甲乙双方应进行友好协商解决，协商不成的应将矛盾提交项目所在地法院诉讼解决。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1.为保证项目质量，供应商需针对本项目提供实施方案、保障方案、后续服务方案并具备相关履约能力。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（1）独立法人机构提供下述证明材料：营业执照扫描件（注：①在有效期内；②具有独立法人资格）； 注：①企业若已更换为三证合一的则提供营业执照扫描件，事业单位提供事业单位法人证书，其他组织提供对应主管部门准许职业的相关证明文件，自然人提供身份证明均具备此条同等效力。②根据国务院办公厅关于加快推进“多证合一”改革的指导意见(国办发〔2017〕41号)等政策要求，若资格要求涉及的登记、备案等有关事项和各类证照已实行多证合一的，提供多证合一证照扫描件。 （2）非独立法人机构提供下述证明材料：其他组织或自然人提供具有独立承担民事责任的能力的证明材料扫描件。</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供应商具有农药经营许可证</w:t>
            </w:r>
          </w:p>
        </w:tc>
        <w:tc>
          <w:tcPr>
            <w:tcW w:type="dxa" w:w="3322"/>
          </w:tcPr>
          <w:p>
            <w:pPr>
              <w:pStyle w:val="null3"/>
              <w:jc w:val="left"/>
            </w:pPr>
            <w:r>
              <w:rPr>
                <w:rFonts w:ascii="仿宋_GB2312" w:hAnsi="仿宋_GB2312" w:cs="仿宋_GB2312" w:eastAsia="仿宋_GB2312"/>
              </w:rPr>
              <w:t>供应商具有农药经营许可证（提供有效证书复印件并加盖单位公章）</w:t>
            </w:r>
          </w:p>
        </w:tc>
        <w:tc>
          <w:tcPr>
            <w:tcW w:type="dxa" w:w="1661"/>
          </w:tcPr>
          <w:p>
            <w:pPr>
              <w:pStyle w:val="null3"/>
              <w:jc w:val="left"/>
            </w:pPr>
            <w:r>
              <w:rPr>
                <w:rFonts w:ascii="仿宋_GB2312" w:hAnsi="仿宋_GB2312" w:cs="仿宋_GB2312" w:eastAsia="仿宋_GB2312"/>
              </w:rPr>
              <w:t>投标人应提交的相关资格证明材料.docx,投标（响应）函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技术要求响应(实质性要求)</w:t>
            </w:r>
          </w:p>
        </w:tc>
        <w:tc>
          <w:tcPr>
            <w:tcW w:type="dxa" w:w="3322"/>
          </w:tcPr>
          <w:p>
            <w:pPr>
              <w:pStyle w:val="null3"/>
              <w:jc w:val="left"/>
            </w:pPr>
            <w:r>
              <w:rPr>
                <w:rFonts w:ascii="仿宋_GB2312" w:hAnsi="仿宋_GB2312" w:cs="仿宋_GB2312" w:eastAsia="仿宋_GB2312"/>
              </w:rPr>
              <w:t>在评审过程中，评标委员会应按照采购文件第三章技术要求中的实质性要求，对投标人响应内容进行审查，未响应或未响应完全的，评标委员会应当将其投标文件作为无效投标处理。</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服务内容要求响应(实质性要求)</w:t>
            </w:r>
          </w:p>
        </w:tc>
        <w:tc>
          <w:tcPr>
            <w:tcW w:type="dxa" w:w="3322"/>
          </w:tcPr>
          <w:p>
            <w:pPr>
              <w:pStyle w:val="null3"/>
              <w:jc w:val="left"/>
            </w:pPr>
            <w:r>
              <w:rPr>
                <w:rFonts w:ascii="仿宋_GB2312" w:hAnsi="仿宋_GB2312" w:cs="仿宋_GB2312" w:eastAsia="仿宋_GB2312"/>
              </w:rPr>
              <w:t>在评审过程中，评标委员会应按照采购文件第三章服务内容要求中实质性要求，对投标人响应内容进行审查，未响应或未响应完全的，评标委员会应当将其投标文件作为无效投标处理。</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商务要求响应(实质性要求)</w:t>
            </w:r>
          </w:p>
        </w:tc>
        <w:tc>
          <w:tcPr>
            <w:tcW w:type="dxa" w:w="3322"/>
          </w:tcPr>
          <w:p>
            <w:pPr>
              <w:pStyle w:val="null3"/>
              <w:jc w:val="left"/>
            </w:pPr>
            <w:r>
              <w:rPr>
                <w:rFonts w:ascii="仿宋_GB2312" w:hAnsi="仿宋_GB2312" w:cs="仿宋_GB2312" w:eastAsia="仿宋_GB2312"/>
              </w:rPr>
              <w:t>在评审过程中，评标委员会应按照采购文件第三章商务要求中实质性要求，对投标人响应内容进行审查，未响应或未响应完全的，评标委员会应当将其投标文件作为无效投标处理。</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 的，评标委员会应当要求其在合理的时间内通过交易系统进行书面说明并加盖电子签章，必要时提交相关证明材料。投标人应当在评标委员会要求的时间内通过交易系统提交书面说明 ，必要时提交相关证明材料；投标人不能证明其报价合理性的，评标委员会应当将其作为无效投标处理。 （书面说明应当按照国家财务会计制度的规定要求，逐项就供应商提供的货物的主营业务成本(应根据投标人企业类型予以区别)、税金及附加、销售费用、管理费用、财务费用等成本构成事项详细陈述）。</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在评审过程中，评标委员会应对投标人提供的按采购文件中的明确要求进行单独承诺或提供承诺函或要求提供原件扫描件（认证信息截图 ）的实质性要求的响应资料进行审查未响应或未响应完全的，评标委员会应当将其投标文件作为无效投标处理。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投标产品的技术参数根据供应商响应的招标文件第三章技术、服务及其他要求3.2技术要求中的技术参数与性能指标进行评分：完全符合招标文件技术参数要求的得6分；每有一项参数负偏离的扣2分（共3项，★项除外），扣完为止，但不视为响应文件无效。</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编制的实施方案进行综合评审，项目实施方案应包含：①项目管理制度（项目管理机构图、内部管理的职责分工、日常管理制度和考核办法）、②备货运输方案、③药品使用及验收方案、④安全控制方案（人员及药品）、⑤环境保护管理体系与措施，内容齐全且无缺陷的得30分；每缺少一项扣6分；每有一项存在缺陷的该项扣3分，每项最多扣6分。 注：缺陷是指：①方案内容与项目实际情况不符；②方案中引用法律、规范、标准存在失效或错误等任意一种情形；③非专门针对本项目或内容与本项目需求无关；④存在不可能实现；以上任意一种情形。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保障方案</w:t>
            </w:r>
          </w:p>
        </w:tc>
        <w:tc>
          <w:tcPr>
            <w:tcW w:type="dxa" w:w="2575"/>
          </w:tcPr>
          <w:p>
            <w:pPr>
              <w:pStyle w:val="null3"/>
              <w:jc w:val="left"/>
            </w:pPr>
            <w:r>
              <w:rPr>
                <w:rFonts w:ascii="仿宋_GB2312" w:hAnsi="仿宋_GB2312" w:cs="仿宋_GB2312" w:eastAsia="仿宋_GB2312"/>
              </w:rPr>
              <w:t>根据投标人针对本项目编制的保障方案进行综合评审，项目保障方案应包含：①质量保证方案；②安全保障措施；③进度计划及保障措施；④应急预案措施；⑤培训方案，内容齐全且无缺陷的得20分；每缺少一项扣4分；每有一项存在缺陷的该项扣2分，每项最多扣4分。 注：缺陷是指：①方案内容与项目实际情况不符；②方案中引用法律、规范、标准存在失效或错误等任意一种情形；③非专门针对本项目或内容与本项目需求无关；④存在不可能实现；以上任意一种情形。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保障方案.docx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针对本项目编制的后续服务方案进行综合评审，后续服务方案应包含：①售后服务响应时间、②售后服务人员组成、③售后技术服务支持、④服务方式及售后安全保障、⑤售后服务承诺、⑥农药包装废弃物回收措施；内容齐全且无缺陷的得9分；每缺少一项扣1.5分；每有一项存在缺陷的该项扣0.75分，每项最多扣1.5分。 注：缺陷是指：①方案内容与项目实际情况不符；②方案中引用法律、规范、标准存在失效或错误等任意一种情形；③非专门针对本项目或内容与本项目需求无关；④存在不可能实现；以上任意一种情形。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后续服务方案.docx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投标人提供2023年1月1日（含）以来（以合同签订时间为准）具有类似项目业绩的，每有一个得2.5分。本项最多得5分。 说明：以合同签订日期或中标（成交）通知书签发日期为准。提供中标（成交）通知书或合同复印件并加盖供应商公章。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中小企业声明函,残疾人福利性单位声明函,关于符合本国产品标准的声明函,监狱企业的证明文件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详见附件：保障方案.docx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详见附件：后续服务方案.docx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