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版本号：N510101202600012020260331002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物业及安保服务采购项目(二次)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N5101012026000120</w:t>
      </w:r>
    </w:p>
    <w:p>
      <w:pPr>
        <w:pStyle w:val="null3"/>
        <w:jc w:val="left"/>
        <w:outlineLvl w:val="2"/>
      </w:pPr>
      <w:r>
        <w:rPr>
          <w:rFonts w:ascii="仿宋_GB2312" w:hAnsi="仿宋_GB2312" w:cs="仿宋_GB2312" w:eastAsia="仿宋_GB2312"/>
          <w:sz w:val="28"/>
          <w:b/>
        </w:rPr>
        <w:t>成都市疾病预防控制中心（成都市预防医学研究院）</w:t>
      </w:r>
    </w:p>
    <w:p>
      <w:pPr>
        <w:pStyle w:val="null3"/>
        <w:jc w:val="center"/>
        <w:outlineLvl w:val="2"/>
      </w:pPr>
      <w:r>
        <w:rPr>
          <w:rFonts w:ascii="仿宋_GB2312" w:hAnsi="仿宋_GB2312" w:cs="仿宋_GB2312" w:eastAsia="仿宋_GB2312"/>
          <w:sz w:val="28"/>
          <w:b/>
        </w:rPr>
        <w:t>成都市政府采购中心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成都市政府采购中心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成都市疾病预防控制中心（成都市预防医学研究院）</w:t>
      </w:r>
      <w:r>
        <w:rPr>
          <w:rFonts w:ascii="仿宋_GB2312" w:hAnsi="仿宋_GB2312" w:cs="仿宋_GB2312" w:eastAsia="仿宋_GB2312"/>
        </w:rPr>
        <w:t xml:space="preserve"> 委托，拟对 </w:t>
      </w:r>
      <w:r>
        <w:rPr>
          <w:rFonts w:ascii="仿宋_GB2312" w:hAnsi="仿宋_GB2312" w:cs="仿宋_GB2312" w:eastAsia="仿宋_GB2312"/>
        </w:rPr>
        <w:t>物业及安保服务采购项目(二次)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N5101012026000120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物业及安保服务采购项目(二次)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成都市疾病预防控制中心龙祥路办公区位于成都市武侯区龙祥路4号，占地面积约19511.13㎡建筑总面积29882.13㎡，主要建筑包括行政办公楼、实验楼、业务配套楼和多功能报告厅，现有在职员工400余人。为了保障中心的各类基础设施设备正常运行，维护园区内的安全秩序，做好公共区域清洁卫生等，需要委托第三方物业公司提供相关服务和管理。本次采购一采三年（2026年6月—2029年6月），合同一年一签，预算为一年预算。</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成都市疾病预防控制中心（成都市预防医学研究院）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四川省成都市武侯区龙祥路4号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贾宇</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028-87038072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成都市政府采购中心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四川省成都市武侯区成都市高新区天府大道北段966号天府国际金融中心7号楼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黄琴</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028-85988124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采购包1：2,380,000.00元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采购包1：最低评标价法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成都市疾病预防控制中心（成都市预防医学研究院）</w:t>
      </w:r>
      <w:r>
        <w:rPr>
          <w:rFonts w:ascii="仿宋_GB2312" w:hAnsi="仿宋_GB2312" w:cs="仿宋_GB2312" w:eastAsia="仿宋_GB2312"/>
        </w:rPr>
        <w:t xml:space="preserve"> 和 </w:t>
      </w:r>
      <w:r>
        <w:rPr>
          <w:rFonts w:ascii="仿宋_GB2312" w:hAnsi="仿宋_GB2312" w:cs="仿宋_GB2312" w:eastAsia="仿宋_GB2312"/>
        </w:rPr>
        <w:t>成都市政府采购中心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成都市疾病预防控制中心（成都市预防医学研究院）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成都市政府采购中心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供应商提出验收申请之日起 </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 xml:space="preserve">供应商提出验收申请之日起 </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按照本项目采购文件中“技术要求”、中标文件及合同进行验收。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按照本项目采购文件中“商务要求”、中标文件及合同进行验收。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本项目严格按照《财政部关于进一步加强政府采购需求和履约验收管理的指导意见》（财库〔2016〕205号）等政府采购相关法律法规的要求进行验收。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供应商按要求完成项目相关服务，保质保量履约并通过采购人考核。</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成都市疾病预防控制中心（成都市预防医学研究院）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成都市政府采购中心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成都市政府采购中心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联系人：贾宇</w:t>
      </w:r>
    </w:p>
    <w:p>
      <w:pPr>
        <w:pStyle w:val="null3"/>
        <w:jc w:val="left"/>
      </w:pPr>
      <w:r>
        <w:rPr>
          <w:rFonts w:ascii="仿宋_GB2312" w:hAnsi="仿宋_GB2312" w:cs="仿宋_GB2312" w:eastAsia="仿宋_GB2312"/>
        </w:rPr>
        <w:t>联系电话：028-87038072</w:t>
      </w:r>
    </w:p>
    <w:p>
      <w:pPr>
        <w:pStyle w:val="null3"/>
        <w:jc w:val="left"/>
      </w:pPr>
      <w:r>
        <w:rPr>
          <w:rFonts w:ascii="仿宋_GB2312" w:hAnsi="仿宋_GB2312" w:cs="仿宋_GB2312" w:eastAsia="仿宋_GB2312"/>
        </w:rPr>
        <w:t>地址：四川省成都市武侯区龙祥路4号</w:t>
      </w:r>
    </w:p>
    <w:p>
      <w:pPr>
        <w:pStyle w:val="null3"/>
        <w:jc w:val="left"/>
      </w:pPr>
      <w:r>
        <w:rPr>
          <w:rFonts w:ascii="仿宋_GB2312" w:hAnsi="仿宋_GB2312" w:cs="仿宋_GB2312" w:eastAsia="仿宋_GB2312"/>
        </w:rPr>
        <w:t>邮编：610041</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联系人：黄琴</w:t>
      </w:r>
    </w:p>
    <w:p>
      <w:pPr>
        <w:pStyle w:val="null3"/>
        <w:jc w:val="left"/>
      </w:pPr>
      <w:r>
        <w:rPr>
          <w:rFonts w:ascii="仿宋_GB2312" w:hAnsi="仿宋_GB2312" w:cs="仿宋_GB2312" w:eastAsia="仿宋_GB2312"/>
        </w:rPr>
        <w:t>联系电话：028-85988124</w:t>
      </w:r>
    </w:p>
    <w:p>
      <w:pPr>
        <w:pStyle w:val="null3"/>
        <w:jc w:val="left"/>
      </w:pPr>
      <w:r>
        <w:rPr>
          <w:rFonts w:ascii="仿宋_GB2312" w:hAnsi="仿宋_GB2312" w:cs="仿宋_GB2312" w:eastAsia="仿宋_GB2312"/>
        </w:rPr>
        <w:t>地址：成都市天府大道北段966号(天府国际金融中心7号楼)</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2,380,000.00</w:t>
      </w:r>
    </w:p>
    <w:p>
      <w:pPr>
        <w:pStyle w:val="null3"/>
        <w:jc w:val="left"/>
      </w:pPr>
      <w:r>
        <w:rPr>
          <w:rFonts w:ascii="仿宋_GB2312" w:hAnsi="仿宋_GB2312" w:cs="仿宋_GB2312" w:eastAsia="仿宋_GB2312"/>
        </w:rPr>
        <w:t>采购包最高限价（元）: 2,380,000.00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物业及安保服务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2,380,000.00</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物业及安保服务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2,380,000.00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最高限价为2,380,000.00元/年</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标的名称：物业及安保服务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ind w:firstLine="482"/>
              <w:jc w:val="both"/>
            </w:pPr>
            <w:r>
              <w:rPr>
                <w:rFonts w:ascii="仿宋_GB2312" w:hAnsi="仿宋_GB2312" w:cs="仿宋_GB2312" w:eastAsia="仿宋_GB2312"/>
                <w:sz w:val="24"/>
                <w:b/>
              </w:rPr>
              <w:t>项目概况</w:t>
            </w:r>
          </w:p>
          <w:p>
            <w:pPr>
              <w:pStyle w:val="null3"/>
              <w:ind w:firstLine="480"/>
              <w:jc w:val="both"/>
            </w:pPr>
            <w:r>
              <w:rPr>
                <w:rFonts w:ascii="仿宋_GB2312" w:hAnsi="仿宋_GB2312" w:cs="仿宋_GB2312" w:eastAsia="仿宋_GB2312"/>
                <w:sz w:val="24"/>
                <w:color w:val="000000"/>
              </w:rPr>
              <w:t>成都市疾病预防控制中心龙祥路办公区位于成都市武侯区龙祥路4号，占地面积约19511.13㎡建筑总面积29882.13㎡，主要建筑包括行政办公楼、实验楼、业务配套楼和多功能报告厅，现有在职员工400余人。为了保障中心的各类基础设施设备正常运行，维护园区内的安全秩序，做好公共区域清洁卫生等，需要委托第三方物业公司提供相关服务和管理。本次采购一采三年（2026年6月—2029年6月），合同一年一签，预算为一年预算。</w:t>
            </w:r>
          </w:p>
          <w:p>
            <w:pPr>
              <w:pStyle w:val="null3"/>
              <w:jc w:val="both"/>
              <w:outlineLvl w:val="0"/>
            </w:pPr>
            <w:r>
              <w:rPr>
                <w:rFonts w:ascii="仿宋_GB2312" w:hAnsi="仿宋_GB2312" w:cs="仿宋_GB2312" w:eastAsia="仿宋_GB2312"/>
                <w:sz w:val="24"/>
                <w:b/>
                <w:color w:val="000000"/>
              </w:rPr>
              <w:t>一、项目基本情况</w:t>
            </w:r>
          </w:p>
          <w:p>
            <w:pPr>
              <w:pStyle w:val="null3"/>
              <w:ind w:firstLine="480"/>
              <w:jc w:val="both"/>
            </w:pPr>
            <w:r>
              <w:rPr>
                <w:rFonts w:ascii="仿宋_GB2312" w:hAnsi="仿宋_GB2312" w:cs="仿宋_GB2312" w:eastAsia="仿宋_GB2312"/>
                <w:sz w:val="24"/>
                <w:color w:val="000000"/>
              </w:rPr>
              <w:t>成都市疾病预防控制中心（以下简称中心）属成都市卫健委下属公益一类事业单位，主要承担疾病预防与控制、突发公共卫生事件应急处置、疫情报告及健康相关因素信息管理、健康危害因素监测与干预、实验室检测分析与评价、健康教育与健康促进、技术管理与应用研究指导等工作。</w:t>
            </w:r>
          </w:p>
          <w:p>
            <w:pPr>
              <w:pStyle w:val="null3"/>
              <w:jc w:val="both"/>
              <w:outlineLvl w:val="1"/>
            </w:pPr>
            <w:r>
              <w:rPr>
                <w:rFonts w:ascii="仿宋_GB2312" w:hAnsi="仿宋_GB2312" w:cs="仿宋_GB2312" w:eastAsia="仿宋_GB2312"/>
                <w:sz w:val="24"/>
                <w:b/>
                <w:color w:val="000000"/>
              </w:rPr>
              <w:t>（二）所需管理的物业情况</w:t>
            </w:r>
          </w:p>
          <w:tbl>
            <w:tblPr>
              <w:tblBorders>
                <w:top w:val="none" w:color="000000" w:sz="4"/>
                <w:left w:val="none" w:color="000000" w:sz="4"/>
                <w:bottom w:val="none" w:color="000000" w:sz="4"/>
                <w:right w:val="none" w:color="000000" w:sz="4"/>
                <w:insideH w:val="none"/>
                <w:insideV w:val="none"/>
              </w:tblBorders>
            </w:tblPr>
            <w:tblGrid>
              <w:gridCol w:w="3336"/>
              <w:gridCol w:w="2262"/>
            </w:tblGrid>
            <w:tr>
              <w:tc>
                <w:tcPr>
                  <w:tcW w:type="dxa" w:w="3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物业名称</w:t>
                  </w:r>
                </w:p>
              </w:tc>
              <w:tc>
                <w:tcPr>
                  <w:tcW w:type="dxa" w:w="2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物业地址</w:t>
                  </w:r>
                </w:p>
              </w:tc>
            </w:tr>
            <w:tr>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成都市疾病预防控制中心龙祥路办公区</w:t>
                  </w:r>
                </w:p>
              </w:tc>
              <w:tc>
                <w:tcPr>
                  <w:tcW w:type="dxa" w:w="2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成都市武侯区龙祥路4号</w:t>
                  </w:r>
                </w:p>
              </w:tc>
            </w:tr>
          </w:tbl>
          <w:p>
            <w:pPr>
              <w:pStyle w:val="null3"/>
              <w:ind w:firstLine="480"/>
              <w:jc w:val="both"/>
            </w:pPr>
            <w:r>
              <w:rPr>
                <w:rFonts w:ascii="仿宋_GB2312" w:hAnsi="仿宋_GB2312" w:cs="仿宋_GB2312" w:eastAsia="仿宋_GB2312"/>
                <w:sz w:val="24"/>
                <w:color w:val="000000"/>
              </w:rPr>
              <w:t>1.物业管理指标</w:t>
            </w:r>
          </w:p>
          <w:tbl>
            <w:tblPr>
              <w:tblBorders>
                <w:top w:val="none" w:color="000000" w:sz="4"/>
                <w:left w:val="none" w:color="000000" w:sz="4"/>
                <w:bottom w:val="none" w:color="000000" w:sz="4"/>
                <w:right w:val="none" w:color="000000" w:sz="4"/>
                <w:insideH w:val="none"/>
                <w:insideV w:val="none"/>
              </w:tblBorders>
            </w:tblPr>
            <w:tblGrid>
              <w:gridCol w:w="866"/>
              <w:gridCol w:w="866"/>
              <w:gridCol w:w="693"/>
              <w:gridCol w:w="693"/>
              <w:gridCol w:w="693"/>
              <w:gridCol w:w="577"/>
              <w:gridCol w:w="577"/>
              <w:gridCol w:w="635"/>
            </w:tblGrid>
            <w:tr>
              <w:tc>
                <w:tcPr>
                  <w:tcW w:type="dxa" w:w="86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物业名称</w:t>
                  </w:r>
                </w:p>
              </w:tc>
              <w:tc>
                <w:tcPr>
                  <w:tcW w:type="dxa" w:w="8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建筑物数量</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建筑面积</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室外面积</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绿化面积</w:t>
                  </w:r>
                </w:p>
              </w:tc>
              <w:tc>
                <w:tcPr>
                  <w:tcW w:type="dxa" w:w="5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地下室面积</w:t>
                  </w:r>
                </w:p>
              </w:tc>
              <w:tc>
                <w:tcPr>
                  <w:tcW w:type="dxa" w:w="5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地下室车位数</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地面车位数</w:t>
                  </w:r>
                </w:p>
              </w:tc>
            </w:tr>
            <w:tr>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成都市疾病预防控制中心龙祥路办公区</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4幢</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29882㎡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11097㎡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6335㎡</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5657㎡</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128个</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91个</w:t>
                  </w:r>
                </w:p>
              </w:tc>
            </w:tr>
          </w:tbl>
          <w:p>
            <w:pPr>
              <w:pStyle w:val="null3"/>
              <w:ind w:firstLine="480"/>
              <w:jc w:val="both"/>
            </w:pPr>
            <w:r>
              <w:rPr>
                <w:rFonts w:ascii="仿宋_GB2312" w:hAnsi="仿宋_GB2312" w:cs="仿宋_GB2312" w:eastAsia="仿宋_GB2312"/>
                <w:sz w:val="24"/>
                <w:color w:val="000000"/>
              </w:rPr>
              <w:t>2.物业项目指标详情</w:t>
            </w:r>
          </w:p>
          <w:tbl>
            <w:tblPr>
              <w:tblBorders>
                <w:top w:val="none" w:color="000000" w:sz="4"/>
                <w:left w:val="none" w:color="000000" w:sz="4"/>
                <w:bottom w:val="none" w:color="000000" w:sz="4"/>
                <w:right w:val="none" w:color="000000" w:sz="4"/>
                <w:insideH w:val="none"/>
                <w:insideV w:val="none"/>
              </w:tblBorders>
            </w:tblPr>
            <w:tblGrid>
              <w:gridCol w:w="735"/>
              <w:gridCol w:w="1131"/>
              <w:gridCol w:w="3732"/>
            </w:tblGrid>
            <w:tr>
              <w:tc>
                <w:tcPr>
                  <w:tcW w:type="dxa" w:w="1866"/>
                  <w:gridSpan w:val="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指标项</w:t>
                  </w:r>
                </w:p>
              </w:tc>
              <w:tc>
                <w:tcPr>
                  <w:tcW w:type="dxa" w:w="373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明细</w:t>
                  </w:r>
                </w:p>
              </w:tc>
            </w:tr>
            <w:tr>
              <w:tc>
                <w:tcPr>
                  <w:tcW w:type="dxa" w:w="1866"/>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建筑名称</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行政办公楼</w:t>
                  </w:r>
                </w:p>
              </w:tc>
            </w:tr>
            <w:tr>
              <w:tc>
                <w:tcPr>
                  <w:tcW w:type="dxa" w:w="7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面积指标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建筑面积</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7195㎡</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每层面积</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1层895㎡；2层-9层每层700㎡；屋面700㎡</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每层需保洁面积</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1层498㎡；2层545㎡；3层244㎡；4层189㎡；5层417㎡；6层215㎡；7层189㎡；8层240㎡；屋面700㎡</w:t>
                  </w:r>
                </w:p>
              </w:tc>
            </w:tr>
            <w:tr>
              <w:tc>
                <w:tcPr>
                  <w:tcW w:type="dxa" w:w="7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层数指标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层数</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9层</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层高</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1层5.1米；2层-9层每层3.6米</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窗户指标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窗户面积</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约800㎡</w:t>
                  </w:r>
                </w:p>
              </w:tc>
            </w:tr>
            <w:tr>
              <w:tc>
                <w:tcPr>
                  <w:tcW w:type="dxa" w:w="7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地面指标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地面类型</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地砖、地板胶、水泥</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不同类型分布位置</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1层、屋面及楼道为地砖；2层-9层为地板胶；设备间为水泥</w:t>
                  </w:r>
                </w:p>
              </w:tc>
            </w:tr>
            <w:tr>
              <w:tc>
                <w:tcPr>
                  <w:tcW w:type="dxa" w:w="7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会议室、报告厅指标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分部位置</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2层2间、5层1间、6层1间、8层1间</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面积</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2层小会议室95㎡；2层大会议室231㎡；</w:t>
                  </w:r>
                </w:p>
                <w:p>
                  <w:pPr>
                    <w:pStyle w:val="null3"/>
                    <w:jc w:val="both"/>
                  </w:pPr>
                  <w:r>
                    <w:rPr>
                      <w:rFonts w:ascii="仿宋_GB2312" w:hAnsi="仿宋_GB2312" w:cs="仿宋_GB2312" w:eastAsia="仿宋_GB2312"/>
                      <w:sz w:val="21"/>
                    </w:rPr>
                    <w:t>5层会议室70㎡；6层会议室70㎡；8层会议室53㎡</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挑高</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3.6米</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地面类型</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地板胶</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设施</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2层大会议室：桌子74张，椅子105把，音控系统1套，LED大屏1个，LED条屏1个，音响系统1套；</w:t>
                  </w:r>
                </w:p>
                <w:p>
                  <w:pPr>
                    <w:pStyle w:val="null3"/>
                    <w:jc w:val="both"/>
                  </w:pPr>
                  <w:r>
                    <w:rPr>
                      <w:rFonts w:ascii="仿宋_GB2312" w:hAnsi="仿宋_GB2312" w:cs="仿宋_GB2312" w:eastAsia="仿宋_GB2312"/>
                      <w:sz w:val="21"/>
                    </w:rPr>
                    <w:t>2层小会议室：桌子23张，椅子56把，音控系统1套，分格屏1个；</w:t>
                  </w:r>
                </w:p>
                <w:p>
                  <w:pPr>
                    <w:pStyle w:val="null3"/>
                    <w:jc w:val="both"/>
                  </w:pPr>
                  <w:r>
                    <w:rPr>
                      <w:rFonts w:ascii="仿宋_GB2312" w:hAnsi="仿宋_GB2312" w:cs="仿宋_GB2312" w:eastAsia="仿宋_GB2312"/>
                      <w:sz w:val="21"/>
                    </w:rPr>
                    <w:t>5层会议室：会议桌1张，会议椅子33把；</w:t>
                  </w:r>
                </w:p>
                <w:p>
                  <w:pPr>
                    <w:pStyle w:val="null3"/>
                    <w:jc w:val="both"/>
                  </w:pPr>
                  <w:r>
                    <w:rPr>
                      <w:rFonts w:ascii="仿宋_GB2312" w:hAnsi="仿宋_GB2312" w:cs="仿宋_GB2312" w:eastAsia="仿宋_GB2312"/>
                      <w:sz w:val="21"/>
                    </w:rPr>
                    <w:t>6层会议室：会议桌1张，会议椅子28把；</w:t>
                  </w:r>
                </w:p>
                <w:p>
                  <w:pPr>
                    <w:pStyle w:val="null3"/>
                    <w:jc w:val="both"/>
                  </w:pPr>
                  <w:r>
                    <w:rPr>
                      <w:rFonts w:ascii="仿宋_GB2312" w:hAnsi="仿宋_GB2312" w:cs="仿宋_GB2312" w:eastAsia="仿宋_GB2312"/>
                      <w:sz w:val="21"/>
                    </w:rPr>
                    <w:t>8层会议室：会议桌1张，会议椅子28把，投影设备1套。</w:t>
                  </w:r>
                </w:p>
              </w:tc>
            </w:tr>
            <w:tr>
              <w:tc>
                <w:tcPr>
                  <w:tcW w:type="dxa" w:w="7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外墙指标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外墙类型</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干挂花岗岩石材与玻璃幕墙</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外墙面积</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干挂花岗岩石材2451㎡，玻璃幕墙810㎡</w:t>
                  </w:r>
                </w:p>
              </w:tc>
            </w:tr>
            <w:tr>
              <w:tc>
                <w:tcPr>
                  <w:tcW w:type="dxa" w:w="7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大型设施设备指标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电梯</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数量3台；品牌：蒂森；型号：TE—E；有第三方维保</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空调</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多联式空调外机：26台，品牌：海尔，型号：RFC560MX6RFURT22MX，有第三方维保；</w:t>
                  </w:r>
                </w:p>
                <w:p>
                  <w:pPr>
                    <w:pStyle w:val="null3"/>
                    <w:jc w:val="both"/>
                  </w:pPr>
                  <w:r>
                    <w:rPr>
                      <w:rFonts w:ascii="仿宋_GB2312" w:hAnsi="仿宋_GB2312" w:cs="仿宋_GB2312" w:eastAsia="仿宋_GB2312"/>
                      <w:sz w:val="21"/>
                    </w:rPr>
                    <w:t>多联式空调外机：4台，品牌：海尔，型号：RFC280MXMLYR，有第三方维保</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给排水设备</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二次供水设备1套，无第三方维保。</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消防监控室</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消防控制系统3套，主机型号分别为：西门子FC18R、泰和安JB-QGL-TX3016A和国泰怡安JB-TGZL-GK601H，分别控制中心行政办公楼、实验楼和业务配套楼；有第三方维保。</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楼宇监控室</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安防监控系统2套，包含主机、红外对射报警器16对、摄像头252路、门禁系统72套、实验室对讲可视系统8套；</w:t>
                  </w:r>
                </w:p>
                <w:p>
                  <w:pPr>
                    <w:pStyle w:val="null3"/>
                    <w:jc w:val="both"/>
                  </w:pPr>
                  <w:r>
                    <w:rPr>
                      <w:rFonts w:ascii="仿宋_GB2312" w:hAnsi="仿宋_GB2312" w:cs="仿宋_GB2312" w:eastAsia="仿宋_GB2312"/>
                      <w:sz w:val="21"/>
                    </w:rPr>
                    <w:t>楼宇控制系统1套（含实验室送排风、净化空调、模块机组，变配电及电梯等子系统；监控点位约5000点）；</w:t>
                  </w:r>
                </w:p>
                <w:p>
                  <w:pPr>
                    <w:pStyle w:val="null3"/>
                    <w:jc w:val="both"/>
                  </w:pPr>
                  <w:r>
                    <w:rPr>
                      <w:rFonts w:ascii="仿宋_GB2312" w:hAnsi="仿宋_GB2312" w:cs="仿宋_GB2312" w:eastAsia="仿宋_GB2312"/>
                      <w:sz w:val="21"/>
                    </w:rPr>
                    <w:t>有第三方维保。</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网络机房</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大楼2层，包含电话、计算机网络系统各1套，有第三方维保</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消防设备</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屋顶消防水箱1个，增压泵2套，恒压装置2套</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电子屏</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大厅LED电子屏1个</w:t>
                  </w:r>
                </w:p>
              </w:tc>
            </w:tr>
          </w:tbl>
          <w:tbl>
            <w:tblPr>
              <w:tblBorders>
                <w:top w:val="none" w:color="000000" w:sz="4"/>
                <w:left w:val="none" w:color="000000" w:sz="4"/>
                <w:bottom w:val="none" w:color="000000" w:sz="4"/>
                <w:right w:val="none" w:color="000000" w:sz="4"/>
                <w:insideH w:val="none"/>
                <w:insideV w:val="none"/>
              </w:tblBorders>
            </w:tblPr>
            <w:tblGrid>
              <w:gridCol w:w="735"/>
              <w:gridCol w:w="1131"/>
              <w:gridCol w:w="3732"/>
            </w:tblGrid>
            <w:tr>
              <w:tc>
                <w:tcPr>
                  <w:tcW w:type="dxa" w:w="1866"/>
                  <w:gridSpan w:val="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指标项</w:t>
                  </w:r>
                </w:p>
              </w:tc>
              <w:tc>
                <w:tcPr>
                  <w:tcW w:type="dxa" w:w="373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明细</w:t>
                  </w:r>
                </w:p>
              </w:tc>
            </w:tr>
            <w:tr>
              <w:tc>
                <w:tcPr>
                  <w:tcW w:type="dxa" w:w="1866"/>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建筑名称</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实验楼</w:t>
                  </w:r>
                </w:p>
              </w:tc>
            </w:tr>
            <w:tr>
              <w:tc>
                <w:tcPr>
                  <w:tcW w:type="dxa" w:w="7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面积指标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建筑面积</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9346㎡</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每层面积</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地下室1514㎡；其余层1305㎡</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每层需保洁面积</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地下室1514㎡；1层520㎡；2层、3层、5层265㎡；4层335㎡；</w:t>
                  </w:r>
                </w:p>
                <w:p>
                  <w:pPr>
                    <w:pStyle w:val="null3"/>
                    <w:jc w:val="both"/>
                  </w:pPr>
                  <w:r>
                    <w:rPr>
                      <w:rFonts w:ascii="仿宋_GB2312" w:hAnsi="仿宋_GB2312" w:cs="仿宋_GB2312" w:eastAsia="仿宋_GB2312"/>
                      <w:sz w:val="21"/>
                    </w:rPr>
                    <w:t>屋面1305㎡</w:t>
                  </w:r>
                </w:p>
              </w:tc>
            </w:tr>
            <w:tr>
              <w:tc>
                <w:tcPr>
                  <w:tcW w:type="dxa" w:w="7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层数指标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层数</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层，含地下室1层</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层高</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地下室5米；1层5.1米；2层-5层每层4.7米</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窗户指标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窗户面积</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820</w:t>
                  </w:r>
                  <w:r>
                    <w:rPr>
                      <w:rFonts w:ascii="仿宋_GB2312" w:hAnsi="仿宋_GB2312" w:cs="仿宋_GB2312" w:eastAsia="仿宋_GB2312"/>
                      <w:sz w:val="21"/>
                    </w:rPr>
                    <w:t>㎡</w:t>
                  </w:r>
                </w:p>
              </w:tc>
            </w:tr>
            <w:tr>
              <w:tc>
                <w:tcPr>
                  <w:tcW w:type="dxa" w:w="7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地面指标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地面类型</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地砖、地毯、地板胶、水泥</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不同类型分布位置</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地下室、屋面及设备房为水泥；1层-5层为地板胶；1层会议室为地毯；楼道为地砖</w:t>
                  </w:r>
                </w:p>
              </w:tc>
            </w:tr>
            <w:tr>
              <w:tc>
                <w:tcPr>
                  <w:tcW w:type="dxa" w:w="7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会议室、报告厅指标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分部位置</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层2间；4层1间</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面积</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层指挥大厅300㎡；1层接待室63㎡；4层会议室70㎡</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挑高</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4.7</w:t>
                  </w:r>
                  <w:r>
                    <w:rPr>
                      <w:rFonts w:ascii="仿宋_GB2312" w:hAnsi="仿宋_GB2312" w:cs="仿宋_GB2312" w:eastAsia="仿宋_GB2312"/>
                      <w:sz w:val="21"/>
                    </w:rPr>
                    <w:t>米</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地面类型</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地板胶</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设施</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层指挥大厅：会议桌50张，会议椅子50把，LED大屏1个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层接待室：会议桌1张，会议椅子10把，沙发6张，电视机1台</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层会议室：会议桌1张，会议椅子28把。</w:t>
                  </w:r>
                </w:p>
              </w:tc>
            </w:tr>
            <w:tr>
              <w:tc>
                <w:tcPr>
                  <w:tcW w:type="dxa" w:w="7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外墙指标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外墙类型</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干挂花岗岩石材</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外墙面积</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3367</w:t>
                  </w:r>
                  <w:r>
                    <w:rPr>
                      <w:rFonts w:ascii="仿宋_GB2312" w:hAnsi="仿宋_GB2312" w:cs="仿宋_GB2312" w:eastAsia="仿宋_GB2312"/>
                      <w:sz w:val="21"/>
                    </w:rPr>
                    <w:t>㎡</w:t>
                  </w:r>
                </w:p>
              </w:tc>
            </w:tr>
            <w:tr>
              <w:tc>
                <w:tcPr>
                  <w:tcW w:type="dxa" w:w="7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大型设施设备指标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电梯</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数量3台；品牌：蒂森；型号：TE—E；有第三方维保</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空调</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恒温恒湿空调：12台，品牌：湿美，型号：GHMS，有第三方维保</w:t>
                  </w:r>
                </w:p>
                <w:p>
                  <w:pPr>
                    <w:pStyle w:val="null3"/>
                    <w:jc w:val="both"/>
                  </w:pPr>
                  <w:r>
                    <w:rPr>
                      <w:rFonts w:ascii="仿宋_GB2312" w:hAnsi="仿宋_GB2312" w:cs="仿宋_GB2312" w:eastAsia="仿宋_GB2312"/>
                      <w:sz w:val="21"/>
                    </w:rPr>
                    <w:t>多联式空调外机：6台，品牌：三菱，型号：FDC450KXE6Q，有第三方维保</w:t>
                  </w:r>
                </w:p>
                <w:p>
                  <w:pPr>
                    <w:pStyle w:val="null3"/>
                    <w:jc w:val="both"/>
                  </w:pPr>
                  <w:r>
                    <w:rPr>
                      <w:rFonts w:ascii="仿宋_GB2312" w:hAnsi="仿宋_GB2312" w:cs="仿宋_GB2312" w:eastAsia="仿宋_GB2312"/>
                      <w:sz w:val="21"/>
                    </w:rPr>
                    <w:t>多联式空调外机：2台，品牌：日立，型号：RAS280FSNY9，有第三方维保</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给排水设备</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150m</w:t>
                  </w:r>
                  <w:r>
                    <w:rPr>
                      <w:rFonts w:ascii="仿宋_GB2312" w:hAnsi="仿宋_GB2312" w:cs="仿宋_GB2312" w:eastAsia="仿宋_GB2312"/>
                      <w:sz w:val="21"/>
                    </w:rPr>
                    <w:t>³化粪池1个；污水处理站1个；沉油池1个。</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送排风系统</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送排风机组38套（含初、中、高效滤网），有第三方维保</w:t>
                  </w:r>
                </w:p>
                <w:p>
                  <w:pPr>
                    <w:pStyle w:val="null3"/>
                    <w:jc w:val="both"/>
                  </w:pPr>
                  <w:r>
                    <w:rPr>
                      <w:rFonts w:ascii="仿宋_GB2312" w:hAnsi="仿宋_GB2312" w:cs="仿宋_GB2312" w:eastAsia="仿宋_GB2312"/>
                      <w:sz w:val="21"/>
                    </w:rPr>
                    <w:t>冷却塔2台，有第三方维保</w:t>
                  </w:r>
                </w:p>
                <w:p>
                  <w:pPr>
                    <w:pStyle w:val="null3"/>
                    <w:jc w:val="both"/>
                  </w:pPr>
                  <w:r>
                    <w:rPr>
                      <w:rFonts w:ascii="仿宋_GB2312" w:hAnsi="仿宋_GB2312" w:cs="仿宋_GB2312" w:eastAsia="仿宋_GB2312"/>
                      <w:sz w:val="21"/>
                    </w:rPr>
                    <w:t>酸雾喷淋塔2台，有第三方维保</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消毒供应室</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高压蒸汽灭菌器3台，型号分别为：LDZF-75KB-II、MLS-3781L-PC、HSA-600ME，有第三方维保。</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配电室</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高压双回路，1台1250KVA的变压器；高压配电柜1组；低压配电柜1组；应急照明设备1套，有第三方维保。</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UPS</w:t>
                  </w:r>
                  <w:r>
                    <w:rPr>
                      <w:rFonts w:ascii="仿宋_GB2312" w:hAnsi="仿宋_GB2312" w:cs="仿宋_GB2312" w:eastAsia="仿宋_GB2312"/>
                      <w:sz w:val="21"/>
                    </w:rPr>
                    <w:t>机房</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UPS</w:t>
                  </w:r>
                  <w:r>
                    <w:rPr>
                      <w:rFonts w:ascii="仿宋_GB2312" w:hAnsi="仿宋_GB2312" w:cs="仿宋_GB2312" w:eastAsia="仿宋_GB2312"/>
                      <w:sz w:val="21"/>
                    </w:rPr>
                    <w:t>系统1套，有第三方维保。</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疫苗库房</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℃低温库2个；2℃-8℃常温库3个。</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二氧化碳气体灭火装置室</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二氧化碳气体灭火装置1套，有第三方维保。</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冰蓄冷空调室</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冰蓄冷中央空调。制冷机组品牌：西亚特，主机1套，控制设备1台；燃气真空锅炉1套，品牌：杭州力具，有第三方维保。</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地下室抽水泵</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台</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消防水泵房</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消防水泵4台，有第三方维保。</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电子屏</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每层楼门厅LED电子屏幕1个，共计5个，有第三方维保。</w:t>
                  </w:r>
                </w:p>
              </w:tc>
            </w:tr>
          </w:tbl>
          <w:tbl>
            <w:tblPr>
              <w:tblBorders>
                <w:top w:val="none" w:color="000000" w:sz="4"/>
                <w:left w:val="none" w:color="000000" w:sz="4"/>
                <w:bottom w:val="none" w:color="000000" w:sz="4"/>
                <w:right w:val="none" w:color="000000" w:sz="4"/>
                <w:insideH w:val="none"/>
                <w:insideV w:val="none"/>
              </w:tblBorders>
            </w:tblPr>
            <w:tblGrid>
              <w:gridCol w:w="735"/>
              <w:gridCol w:w="1131"/>
              <w:gridCol w:w="3732"/>
            </w:tblGrid>
            <w:tr>
              <w:tc>
                <w:tcPr>
                  <w:tcW w:type="dxa" w:w="1866"/>
                  <w:gridSpan w:val="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指标项</w:t>
                  </w:r>
                </w:p>
              </w:tc>
              <w:tc>
                <w:tcPr>
                  <w:tcW w:type="dxa" w:w="373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明细</w:t>
                  </w:r>
                </w:p>
              </w:tc>
            </w:tr>
            <w:tr>
              <w:tc>
                <w:tcPr>
                  <w:tcW w:type="dxa" w:w="1866"/>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建筑名称</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多功能会议室</w:t>
                  </w:r>
                </w:p>
              </w:tc>
            </w:tr>
            <w:tr>
              <w:tc>
                <w:tcPr>
                  <w:tcW w:type="dxa" w:w="7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面积指标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建筑面积</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829㎡</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每层面积</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1层394㎡；2层89㎡；屋面346㎡</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每层需保洁面积</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1层394㎡</w:t>
                  </w:r>
                </w:p>
              </w:tc>
            </w:tr>
            <w:tr>
              <w:tc>
                <w:tcPr>
                  <w:tcW w:type="dxa" w:w="7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层数指标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层数</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2层</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层高</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1层7.4米；2层2.3米</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窗户指标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窗户面积</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w:t>
                  </w:r>
                </w:p>
              </w:tc>
            </w:tr>
            <w:tr>
              <w:tc>
                <w:tcPr>
                  <w:tcW w:type="dxa" w:w="7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地面指标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地面类型</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地板胶、地砖</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不同类型分布位置</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会议室及房间为地板胶，过道为地砖</w:t>
                  </w:r>
                </w:p>
              </w:tc>
            </w:tr>
            <w:tr>
              <w:tc>
                <w:tcPr>
                  <w:tcW w:type="dxa" w:w="7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会议室、报告厅指标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分部位置</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1层</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面积</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394㎡</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挑高</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7.4米</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地面类型</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地板胶</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设施</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会议椅子296把，LED大屏1个，LED条屏1个，LED显示器1个，会议音响1套</w:t>
                  </w:r>
                </w:p>
              </w:tc>
            </w:tr>
            <w:tr>
              <w:tc>
                <w:tcPr>
                  <w:tcW w:type="dxa" w:w="7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外墙指标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外墙类型</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干挂花岗岩石材</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外墙面积</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600㎡</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大型设施设备指标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音控室</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音控设备1套，有第三方维保。</w:t>
                  </w:r>
                </w:p>
              </w:tc>
            </w:tr>
          </w:tbl>
          <w:tbl>
            <w:tblPr>
              <w:tblBorders>
                <w:top w:val="none" w:color="000000" w:sz="4"/>
                <w:left w:val="none" w:color="000000" w:sz="4"/>
                <w:bottom w:val="none" w:color="000000" w:sz="4"/>
                <w:right w:val="none" w:color="000000" w:sz="4"/>
                <w:insideH w:val="none"/>
                <w:insideV w:val="none"/>
              </w:tblBorders>
            </w:tblPr>
            <w:tblGrid>
              <w:gridCol w:w="735"/>
              <w:gridCol w:w="1131"/>
              <w:gridCol w:w="3732"/>
            </w:tblGrid>
            <w:tr>
              <w:tc>
                <w:tcPr>
                  <w:tcW w:type="dxa" w:w="1866"/>
                  <w:gridSpan w:val="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指标项</w:t>
                  </w:r>
                </w:p>
              </w:tc>
              <w:tc>
                <w:tcPr>
                  <w:tcW w:type="dxa" w:w="373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明细</w:t>
                  </w:r>
                </w:p>
              </w:tc>
            </w:tr>
            <w:tr>
              <w:tc>
                <w:tcPr>
                  <w:tcW w:type="dxa" w:w="1866"/>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建筑名称</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业务配套楼</w:t>
                  </w:r>
                </w:p>
              </w:tc>
            </w:tr>
            <w:tr>
              <w:tc>
                <w:tcPr>
                  <w:tcW w:type="dxa" w:w="7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面积指标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建筑面积</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12512㎡</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每层面积</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地下室3998㎡；1层1560㎡；2层1440㎡；3层1560㎡；4层1560㎡；5层1560㎡；屋面834㎡</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每层需保洁面积</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地下室3998㎡；1层760㎡；2层835㎡；3层506㎡；4层871㎡；5层940㎡；屋面834㎡</w:t>
                  </w:r>
                </w:p>
              </w:tc>
            </w:tr>
            <w:tr>
              <w:tc>
                <w:tcPr>
                  <w:tcW w:type="dxa" w:w="7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层数指标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层数</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5层</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层高</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1层4.9米；2层-5层4.6米</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窗户指标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窗户面积</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1938㎡</w:t>
                  </w:r>
                </w:p>
              </w:tc>
            </w:tr>
            <w:tr>
              <w:tc>
                <w:tcPr>
                  <w:tcW w:type="dxa" w:w="7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地面指标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地面类型</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地板胶、地砖、环氧树脂</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不同类型分布位置</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地下室为环氧树脂、楼层房间及过道为地板胶，楼道为地砖</w:t>
                  </w:r>
                </w:p>
              </w:tc>
            </w:tr>
            <w:tr>
              <w:tc>
                <w:tcPr>
                  <w:tcW w:type="dxa" w:w="7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会议室、报告厅指标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分部位置</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3层</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面积</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83㎡</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挑高</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4.6米</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地面类型</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地板胶</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设施</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会议桌1张，会议椅子28把</w:t>
                  </w:r>
                </w:p>
              </w:tc>
            </w:tr>
            <w:tr>
              <w:tc>
                <w:tcPr>
                  <w:tcW w:type="dxa" w:w="7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外墙指标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外墙类型</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干挂花岗岩石材</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外墙面积</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4500㎡</w:t>
                  </w:r>
                </w:p>
              </w:tc>
            </w:tr>
            <w:tr>
              <w:tc>
                <w:tcPr>
                  <w:tcW w:type="dxa" w:w="7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大型设施设备指标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电梯</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数量4台；品牌：奥的斯（中国）；型号：GeN2；有第三方维保</w:t>
                  </w:r>
                </w:p>
                <w:p>
                  <w:pPr>
                    <w:pStyle w:val="null3"/>
                    <w:jc w:val="both"/>
                  </w:pPr>
                  <w:r>
                    <w:rPr>
                      <w:rFonts w:ascii="仿宋_GB2312" w:hAnsi="仿宋_GB2312" w:cs="仿宋_GB2312" w:eastAsia="仿宋_GB2312"/>
                      <w:sz w:val="21"/>
                    </w:rPr>
                    <w:t>数量1台；品牌：常熟博神；型号：BYJ110；有第三方维保</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空调</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多联式空调外机：32台，品牌：海尔，型号：RFC560MX6RFURT22MX，有第三方维保</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给排水设备</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二次供水设备1套；无第三方维保。</w:t>
                  </w:r>
                </w:p>
                <w:p>
                  <w:pPr>
                    <w:pStyle w:val="null3"/>
                    <w:jc w:val="both"/>
                  </w:pPr>
                  <w:r>
                    <w:rPr>
                      <w:rFonts w:ascii="仿宋_GB2312" w:hAnsi="仿宋_GB2312" w:cs="仿宋_GB2312" w:eastAsia="仿宋_GB2312"/>
                      <w:sz w:val="21"/>
                    </w:rPr>
                    <w:t>150m³化粪池1个；污水处理设施1套。</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网络机房</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位于大楼3层，包含中心网络设备、电话设备、服务器等设施设备；有第三维保。</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配电房</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高压双回路，2台1250KVA的变压器；高压配电柜2组；低压配电柜2组；应急照明设备2套；直流屏1套；有第三方维保。</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发电机房</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6.550KW柴油发电机1台，无第三方维保。</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送排风系统</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酸雾喷淋塔1套，有第三方维保。</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机械车位</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品牌：杭州西子石川岛，型号：PSHL{10D}-X1型双层机械停车器，车位数量：83个，有第三方维保。</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地下室抽水泵</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9台</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消防设备</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配电房柜式七氟丙烷灭火装置4套。</w:t>
                  </w:r>
                </w:p>
              </w:tc>
            </w:tr>
          </w:tbl>
          <w:tbl>
            <w:tblPr>
              <w:tblBorders>
                <w:top w:val="none" w:color="000000" w:sz="4"/>
                <w:left w:val="none" w:color="000000" w:sz="4"/>
                <w:bottom w:val="none" w:color="000000" w:sz="4"/>
                <w:right w:val="none" w:color="000000" w:sz="4"/>
                <w:insideH w:val="none"/>
                <w:insideV w:val="none"/>
              </w:tblBorders>
            </w:tblPr>
            <w:tblGrid>
              <w:gridCol w:w="735"/>
              <w:gridCol w:w="1131"/>
              <w:gridCol w:w="3732"/>
            </w:tblGrid>
            <w:tr>
              <w:tc>
                <w:tcPr>
                  <w:tcW w:type="dxa" w:w="1866"/>
                  <w:gridSpan w:val="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指标项</w:t>
                  </w:r>
                </w:p>
              </w:tc>
              <w:tc>
                <w:tcPr>
                  <w:tcW w:type="dxa" w:w="373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明细</w:t>
                  </w:r>
                </w:p>
              </w:tc>
            </w:tr>
            <w:tr>
              <w:tc>
                <w:tcPr>
                  <w:tcW w:type="dxa" w:w="1866"/>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建筑名称</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公共绿化</w:t>
                  </w:r>
                </w:p>
              </w:tc>
            </w:tr>
            <w:tr>
              <w:tc>
                <w:tcPr>
                  <w:tcW w:type="dxa" w:w="7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详细指标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面积</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9711㎡</w:t>
                  </w:r>
                </w:p>
              </w:tc>
            </w:tr>
            <w:tr>
              <w:tc>
                <w:tcPr>
                  <w:tcW w:type="dxa" w:w="735"/>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植株（被）</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桂花树32棵，红继木20棵，小叶榕132棵，紫薇树8棵，黄角树1棵，天竺桂11棵，红叶李8棵，樱花3棵，茶花4株，毛角丁香2株，银杏树16棵，腊梅5棵。草坪总面积约9711㎡。</w:t>
                  </w:r>
                </w:p>
              </w:tc>
            </w:tr>
          </w:tbl>
          <w:p>
            <w:pPr>
              <w:pStyle w:val="null3"/>
              <w:jc w:val="both"/>
              <w:outlineLvl w:val="0"/>
            </w:pPr>
            <w:r>
              <w:rPr>
                <w:rFonts w:ascii="仿宋_GB2312" w:hAnsi="仿宋_GB2312" w:cs="仿宋_GB2312" w:eastAsia="仿宋_GB2312"/>
                <w:sz w:val="24"/>
                <w:b/>
                <w:color w:val="000000"/>
              </w:rPr>
              <w:t>★二、服务内容（说明：在投标文件中承诺或响应）</w:t>
            </w:r>
          </w:p>
          <w:tbl>
            <w:tblPr>
              <w:tblBorders>
                <w:top w:val="none" w:color="000000" w:sz="4"/>
                <w:left w:val="none" w:color="000000" w:sz="4"/>
                <w:bottom w:val="none" w:color="000000" w:sz="4"/>
                <w:right w:val="none" w:color="000000" w:sz="4"/>
                <w:insideH w:val="none"/>
                <w:insideV w:val="none"/>
              </w:tblBorders>
            </w:tblPr>
            <w:tblGrid>
              <w:gridCol w:w="396"/>
              <w:gridCol w:w="1753"/>
              <w:gridCol w:w="3449"/>
            </w:tblGrid>
            <w:tr>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序号</w:t>
                  </w:r>
                </w:p>
              </w:tc>
              <w:tc>
                <w:tcPr>
                  <w:tcW w:type="dxa" w:w="175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内容名称</w:t>
                  </w:r>
                </w:p>
              </w:tc>
              <w:tc>
                <w:tcPr>
                  <w:tcW w:type="dxa" w:w="344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服务内容构成</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rPr>
                    <w:t>秩序维护</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3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1.1</w:t>
                  </w:r>
                </w:p>
              </w:tc>
              <w:tc>
                <w:tcPr>
                  <w:tcW w:type="dxa" w:w="17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门岗</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门岗执勤、访客管理</w:t>
                  </w:r>
                </w:p>
              </w:tc>
            </w:tr>
            <w:tr>
              <w:tc>
                <w:tcPr>
                  <w:tcW w:type="dxa" w:w="396"/>
                  <w:vMerge/>
                  <w:tcBorders>
                    <w:top w:val="none" w:color="000000" w:sz="4"/>
                    <w:left w:val="single" w:color="000000" w:sz="4"/>
                    <w:bottom w:val="single" w:color="000000" w:sz="4"/>
                    <w:right w:val="single" w:color="000000" w:sz="4"/>
                  </w:tcBorders>
                </w:tcPr>
                <w:p/>
              </w:tc>
              <w:tc>
                <w:tcPr>
                  <w:tcW w:type="dxa" w:w="1753"/>
                  <w:vMerge/>
                  <w:tcBorders>
                    <w:top w:val="none" w:color="000000" w:sz="4"/>
                    <w:left w:val="none" w:color="000000" w:sz="4"/>
                    <w:bottom w:val="single" w:color="000000" w:sz="4"/>
                    <w:right w:val="single" w:color="000000" w:sz="4"/>
                  </w:tcBorders>
                </w:tcP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报刊信件收发</w:t>
                  </w:r>
                </w:p>
              </w:tc>
            </w:tr>
            <w:tr>
              <w:tc>
                <w:tcPr>
                  <w:tcW w:type="dxa" w:w="396"/>
                  <w:vMerge/>
                  <w:tcBorders>
                    <w:top w:val="none" w:color="000000" w:sz="4"/>
                    <w:left w:val="single" w:color="000000" w:sz="4"/>
                    <w:bottom w:val="single" w:color="000000" w:sz="4"/>
                    <w:right w:val="single" w:color="000000" w:sz="4"/>
                  </w:tcBorders>
                </w:tcPr>
                <w:p/>
              </w:tc>
              <w:tc>
                <w:tcPr>
                  <w:tcW w:type="dxa" w:w="1753"/>
                  <w:vMerge/>
                  <w:tcBorders>
                    <w:top w:val="none" w:color="000000" w:sz="4"/>
                    <w:left w:val="none" w:color="000000" w:sz="4"/>
                    <w:bottom w:val="single" w:color="000000" w:sz="4"/>
                    <w:right w:val="single" w:color="000000" w:sz="4"/>
                  </w:tcBorders>
                </w:tcP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外卖管理、快递管理</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1.2</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车辆管理</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车辆进出、通行、停放管理</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1.3</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安全巡逻管理</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巡逻、公共秩序维护</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1.4</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安防监控管理</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安防监控管理</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1.5</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消防管理</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消防巡查、消防设施检查、消防应急预案、消防演习</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1.6</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应急保障</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建立各类应急预案，做好突发应急保障</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rPr>
                    <w:t>环境卫生</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2.1</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公共区域卫生</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公共区域卫生、四害消杀、垃圾清理</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2.2</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食堂卫生</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职工食堂就餐区保洁</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2.3</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办公区域卫生</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会议室及重要办公室的卫生</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2.4</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垃圾分类</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垃圾分类工作</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2.5</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医/危废转运</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医废、危废转运工作</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2.6</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化粪池、沉油池清洗</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化粪池、沉油池的清掏清洗</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2.7</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公共部位绿化养护</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公共部位绿化养护</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rPr>
                    <w:t>基础设施维护</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3.1</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房屋建筑主体及公共设施设备日常维护（含设备房管理）</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供电、供水及排水、消防、公共照明等公用设施设备和房屋建筑主体的日常维护，设备房的定期巡视</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3.2</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标识标牌维护</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规范张贴服务范围内的各类安全标识、提示标识、警示标识、指引标识、指示牌等</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rPr>
                    <w:t>4</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rPr>
                    <w:t>专业设备维护</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4.1</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特种设备-电梯管理</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电梯运行及管理</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4.2</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特种设备-高压灭菌锅管理</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消毒供应室高压灭菌锅运行及管理</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4.3</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专业设备-中央空调、分体空调、冰蓄冷空调、实验室送排风系统管理</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中央空调、分体空调、实验室送排风系统、冰蓄冷空调和天然气锅炉运行及管理</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4.4</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专业设备-二次供水设备</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二次供水设备运行及管理</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4.5</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专业设备-应急发电设备</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应急发电机组及供电系统运行及管理</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4.6</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专业设备-污水处理系统</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污水处理系统运行及管理</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5</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rPr>
                    <w:t>综合服务</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5.1</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会务服务和接待</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会务服务和接待</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5.2</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布草清洗服务</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对采购人值班室床上用品进行清洗、消毒；</w:t>
                  </w:r>
                </w:p>
                <w:p>
                  <w:pPr>
                    <w:pStyle w:val="null3"/>
                    <w:jc w:val="both"/>
                  </w:pPr>
                  <w:r>
                    <w:rPr>
                      <w:rFonts w:ascii="仿宋_GB2312" w:hAnsi="仿宋_GB2312" w:cs="仿宋_GB2312" w:eastAsia="仿宋_GB2312"/>
                      <w:sz w:val="21"/>
                    </w:rPr>
                    <w:t>对采购人工作服进行清洗。</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5.3</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实验器具清洗服务</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对实验室的重复使用的玻璃和金属器皿清洗、打包、灭菌和烘干。</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5.4</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疫苗库管服务</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疫苗库房管理服务</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5.5</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桶装水发放服务</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负责服务范围内采购人办公室、会议室的桶装饮用水发放</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5.6</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装修管理</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对室内装修及装修垃圾堆放、清运进行监督管理</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5.7</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满意度调查</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年度满意度调查</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rPr>
                    <w:t>6</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rPr>
                    <w:t>其他服务</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6.1</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物品搬运等临时性工作</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疫苗搬运、零星搬运等工作</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6.2</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重大活动后勤保障</w:t>
                  </w:r>
                </w:p>
              </w:tc>
              <w:tc>
                <w:tcPr>
                  <w:tcW w:type="dxa" w:w="3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重大活动后勤保障</w:t>
                  </w:r>
                </w:p>
              </w:tc>
            </w:tr>
          </w:tbl>
          <w:p>
            <w:pPr>
              <w:pStyle w:val="null3"/>
              <w:ind w:firstLine="480"/>
              <w:jc w:val="both"/>
            </w:pPr>
            <w:r>
              <w:rPr>
                <w:rFonts w:ascii="仿宋_GB2312" w:hAnsi="仿宋_GB2312" w:cs="仿宋_GB2312" w:eastAsia="仿宋_GB2312"/>
                <w:sz w:val="24"/>
                <w:color w:val="000000"/>
              </w:rPr>
              <w:t>注：</w:t>
            </w:r>
          </w:p>
          <w:p>
            <w:pPr>
              <w:pStyle w:val="null3"/>
              <w:ind w:firstLine="480"/>
              <w:jc w:val="both"/>
            </w:pPr>
            <w:r>
              <w:rPr>
                <w:rFonts w:ascii="仿宋_GB2312" w:hAnsi="仿宋_GB2312" w:cs="仿宋_GB2312" w:eastAsia="仿宋_GB2312"/>
                <w:sz w:val="24"/>
                <w:color w:val="000000"/>
              </w:rPr>
              <w:t>1.必备办公用设备及耗材：电脑、打印机、笔记本等由供应商结合项目情况自行提供。</w:t>
            </w:r>
          </w:p>
          <w:p>
            <w:pPr>
              <w:pStyle w:val="null3"/>
              <w:ind w:firstLine="480"/>
              <w:jc w:val="both"/>
            </w:pPr>
            <w:r>
              <w:rPr>
                <w:rFonts w:ascii="仿宋_GB2312" w:hAnsi="仿宋_GB2312" w:cs="仿宋_GB2312" w:eastAsia="仿宋_GB2312"/>
                <w:sz w:val="24"/>
                <w:color w:val="000000"/>
              </w:rPr>
              <w:t>2.维修维护工具</w:t>
            </w:r>
          </w:p>
          <w:p>
            <w:pPr>
              <w:pStyle w:val="null3"/>
              <w:ind w:firstLine="480"/>
              <w:jc w:val="both"/>
            </w:pPr>
            <w:r>
              <w:rPr>
                <w:rFonts w:ascii="仿宋_GB2312" w:hAnsi="仿宋_GB2312" w:cs="仿宋_GB2312" w:eastAsia="仿宋_GB2312"/>
                <w:sz w:val="24"/>
                <w:color w:val="000000"/>
              </w:rPr>
              <w:t>工具：采购人提供的设备（工具）有：锄草机1台、高压水枪1套、1.1KW交流抽水泵1台，除此以外本项目需要的设备应由供应商自行配备，采购人不承担。</w:t>
            </w:r>
          </w:p>
          <w:p>
            <w:pPr>
              <w:pStyle w:val="null3"/>
              <w:ind w:firstLine="480"/>
              <w:jc w:val="both"/>
            </w:pPr>
            <w:r>
              <w:rPr>
                <w:rFonts w:ascii="仿宋_GB2312" w:hAnsi="仿宋_GB2312" w:cs="仿宋_GB2312" w:eastAsia="仿宋_GB2312"/>
                <w:sz w:val="24"/>
                <w:color w:val="000000"/>
              </w:rPr>
              <w:t>3.环境卫生所需工具及耗材结合项目情况由供应商提供，采购人不承担，下表为预估种类及预估消耗量。</w:t>
            </w:r>
          </w:p>
          <w:tbl>
            <w:tblPr>
              <w:tblBorders>
                <w:top w:val="single"/>
                <w:left w:val="single"/>
                <w:bottom w:val="single"/>
                <w:right w:val="single"/>
                <w:insideH w:val="single"/>
                <w:insideV w:val="single"/>
              </w:tblBorders>
            </w:tblPr>
            <w:tblGrid>
              <w:gridCol w:w="298"/>
              <w:gridCol w:w="1667"/>
              <w:gridCol w:w="1530"/>
              <w:gridCol w:w="1393"/>
              <w:gridCol w:w="708"/>
            </w:tblGrid>
            <w:tr>
              <w:tc>
                <w:tcPr>
                  <w:tcW w:type="dxa" w:w="298"/>
                  <w:tcBorders>
                    <w:top w:val="singl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序号</w:t>
                  </w:r>
                </w:p>
              </w:tc>
              <w:tc>
                <w:tcPr>
                  <w:tcW w:type="dxa" w:w="1667"/>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物资名称</w:t>
                  </w:r>
                </w:p>
              </w:tc>
              <w:tc>
                <w:tcPr>
                  <w:tcW w:type="dxa" w:w="1530"/>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规格</w:t>
                  </w:r>
                </w:p>
              </w:tc>
              <w:tc>
                <w:tcPr>
                  <w:tcW w:type="dxa" w:w="1393"/>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基本配置</w:t>
                  </w:r>
                </w:p>
              </w:tc>
              <w:tc>
                <w:tcPr>
                  <w:tcW w:type="dxa" w:w="708"/>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预估年耗量</w:t>
                  </w:r>
                </w:p>
              </w:tc>
            </w:tr>
            <w:tr>
              <w:tc>
                <w:tcPr>
                  <w:tcW w:type="dxa" w:w="29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1</w:t>
                  </w:r>
                </w:p>
              </w:tc>
              <w:tc>
                <w:tcPr>
                  <w:tcW w:type="dxa" w:w="166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不锈钢光亮剂</w:t>
                  </w:r>
                </w:p>
              </w:tc>
              <w:tc>
                <w:tcPr>
                  <w:tcW w:type="dxa" w:w="1530"/>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3.8L/桶</w:t>
                  </w:r>
                </w:p>
              </w:tc>
              <w:tc>
                <w:tcPr>
                  <w:tcW w:type="dxa" w:w="139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满足项目日常保洁需</w:t>
                  </w:r>
                </w:p>
              </w:tc>
              <w:tc>
                <w:tcPr>
                  <w:tcW w:type="dxa" w:w="708"/>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12桶</w:t>
                  </w:r>
                </w:p>
              </w:tc>
            </w:tr>
            <w:tr>
              <w:tc>
                <w:tcPr>
                  <w:tcW w:type="dxa" w:w="29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2</w:t>
                  </w:r>
                </w:p>
              </w:tc>
              <w:tc>
                <w:tcPr>
                  <w:tcW w:type="dxa" w:w="166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洁厕剂</w:t>
                  </w:r>
                </w:p>
              </w:tc>
              <w:tc>
                <w:tcPr>
                  <w:tcW w:type="dxa" w:w="1530"/>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3.8L/桶</w:t>
                  </w:r>
                </w:p>
              </w:tc>
              <w:tc>
                <w:tcPr>
                  <w:tcW w:type="dxa" w:w="139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满足项目日常保洁需求</w:t>
                  </w:r>
                </w:p>
              </w:tc>
              <w:tc>
                <w:tcPr>
                  <w:tcW w:type="dxa" w:w="708"/>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120桶</w:t>
                  </w:r>
                </w:p>
              </w:tc>
            </w:tr>
            <w:tr>
              <w:tc>
                <w:tcPr>
                  <w:tcW w:type="dxa" w:w="29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3</w:t>
                  </w:r>
                </w:p>
              </w:tc>
              <w:tc>
                <w:tcPr>
                  <w:tcW w:type="dxa" w:w="166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清洁专用毛巾</w:t>
                  </w:r>
                </w:p>
              </w:tc>
              <w:tc>
                <w:tcPr>
                  <w:tcW w:type="dxa" w:w="1530"/>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80mm×40mm/个</w:t>
                  </w:r>
                </w:p>
              </w:tc>
              <w:tc>
                <w:tcPr>
                  <w:tcW w:type="dxa" w:w="139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满足项目日常保洁需求</w:t>
                  </w:r>
                </w:p>
              </w:tc>
              <w:tc>
                <w:tcPr>
                  <w:tcW w:type="dxa" w:w="708"/>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150张</w:t>
                  </w:r>
                </w:p>
              </w:tc>
            </w:tr>
            <w:tr>
              <w:tc>
                <w:tcPr>
                  <w:tcW w:type="dxa" w:w="29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4</w:t>
                  </w:r>
                </w:p>
              </w:tc>
              <w:tc>
                <w:tcPr>
                  <w:tcW w:type="dxa" w:w="166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静电吸尘剂</w:t>
                  </w:r>
                </w:p>
              </w:tc>
              <w:tc>
                <w:tcPr>
                  <w:tcW w:type="dxa" w:w="1530"/>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3.78L/桶</w:t>
                  </w:r>
                </w:p>
              </w:tc>
              <w:tc>
                <w:tcPr>
                  <w:tcW w:type="dxa" w:w="139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满足项目日常保洁需求</w:t>
                  </w:r>
                </w:p>
              </w:tc>
              <w:tc>
                <w:tcPr>
                  <w:tcW w:type="dxa" w:w="708"/>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15桶</w:t>
                  </w:r>
                </w:p>
              </w:tc>
            </w:tr>
            <w:tr>
              <w:tc>
                <w:tcPr>
                  <w:tcW w:type="dxa" w:w="29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5</w:t>
                  </w:r>
                </w:p>
              </w:tc>
              <w:tc>
                <w:tcPr>
                  <w:tcW w:type="dxa" w:w="166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加厚大垃圾袋</w:t>
                  </w:r>
                </w:p>
              </w:tc>
              <w:tc>
                <w:tcPr>
                  <w:tcW w:type="dxa" w:w="1530"/>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85*90cm/个，每把100个</w:t>
                  </w:r>
                </w:p>
              </w:tc>
              <w:tc>
                <w:tcPr>
                  <w:tcW w:type="dxa" w:w="139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满足项目日常保洁需求</w:t>
                  </w:r>
                </w:p>
              </w:tc>
              <w:tc>
                <w:tcPr>
                  <w:tcW w:type="dxa" w:w="708"/>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300把</w:t>
                  </w:r>
                </w:p>
              </w:tc>
            </w:tr>
            <w:tr>
              <w:tc>
                <w:tcPr>
                  <w:tcW w:type="dxa" w:w="29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6</w:t>
                  </w:r>
                </w:p>
              </w:tc>
              <w:tc>
                <w:tcPr>
                  <w:tcW w:type="dxa" w:w="1667"/>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both"/>
                  </w:pPr>
                  <w:r>
                    <w:rPr>
                      <w:rFonts w:ascii="仿宋_GB2312" w:hAnsi="仿宋_GB2312" w:cs="仿宋_GB2312" w:eastAsia="仿宋_GB2312"/>
                      <w:sz w:val="21"/>
                    </w:rPr>
                    <w:t>加厚小垃圾袋</w:t>
                  </w:r>
                </w:p>
              </w:tc>
              <w:tc>
                <w:tcPr>
                  <w:tcW w:type="dxa" w:w="1530"/>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70*60/个，每把100个</w:t>
                  </w:r>
                </w:p>
              </w:tc>
              <w:tc>
                <w:tcPr>
                  <w:tcW w:type="dxa" w:w="1393"/>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both"/>
                  </w:pPr>
                  <w:r>
                    <w:rPr>
                      <w:rFonts w:ascii="仿宋_GB2312" w:hAnsi="仿宋_GB2312" w:cs="仿宋_GB2312" w:eastAsia="仿宋_GB2312"/>
                      <w:sz w:val="21"/>
                    </w:rPr>
                    <w:t>满足项目日常保洁需求</w:t>
                  </w:r>
                </w:p>
              </w:tc>
              <w:tc>
                <w:tcPr>
                  <w:tcW w:type="dxa" w:w="708"/>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both"/>
                  </w:pPr>
                  <w:r>
                    <w:rPr>
                      <w:rFonts w:ascii="仿宋_GB2312" w:hAnsi="仿宋_GB2312" w:cs="仿宋_GB2312" w:eastAsia="仿宋_GB2312"/>
                      <w:sz w:val="21"/>
                    </w:rPr>
                    <w:t>300把</w:t>
                  </w:r>
                </w:p>
              </w:tc>
            </w:tr>
            <w:tr>
              <w:tc>
                <w:tcPr>
                  <w:tcW w:type="dxa" w:w="29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7</w:t>
                  </w:r>
                </w:p>
              </w:tc>
              <w:tc>
                <w:tcPr>
                  <w:tcW w:type="dxa" w:w="1667"/>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both"/>
                  </w:pPr>
                  <w:r>
                    <w:rPr>
                      <w:rFonts w:ascii="仿宋_GB2312" w:hAnsi="仿宋_GB2312" w:cs="仿宋_GB2312" w:eastAsia="仿宋_GB2312"/>
                      <w:sz w:val="21"/>
                    </w:rPr>
                    <w:t>加厚小垃圾袋</w:t>
                  </w:r>
                </w:p>
              </w:tc>
              <w:tc>
                <w:tcPr>
                  <w:tcW w:type="dxa" w:w="1530"/>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50*50/个，每把100个</w:t>
                  </w:r>
                </w:p>
              </w:tc>
              <w:tc>
                <w:tcPr>
                  <w:tcW w:type="dxa" w:w="1393"/>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both"/>
                  </w:pPr>
                  <w:r>
                    <w:rPr>
                      <w:rFonts w:ascii="仿宋_GB2312" w:hAnsi="仿宋_GB2312" w:cs="仿宋_GB2312" w:eastAsia="仿宋_GB2312"/>
                      <w:sz w:val="21"/>
                    </w:rPr>
                    <w:t>满足项目日常保洁需求</w:t>
                  </w:r>
                </w:p>
              </w:tc>
              <w:tc>
                <w:tcPr>
                  <w:tcW w:type="dxa" w:w="708"/>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both"/>
                  </w:pPr>
                  <w:r>
                    <w:rPr>
                      <w:rFonts w:ascii="仿宋_GB2312" w:hAnsi="仿宋_GB2312" w:cs="仿宋_GB2312" w:eastAsia="仿宋_GB2312"/>
                      <w:sz w:val="21"/>
                    </w:rPr>
                    <w:t>1000把</w:t>
                  </w:r>
                </w:p>
              </w:tc>
            </w:tr>
            <w:tr>
              <w:tc>
                <w:tcPr>
                  <w:tcW w:type="dxa" w:w="29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8</w:t>
                  </w:r>
                </w:p>
              </w:tc>
              <w:tc>
                <w:tcPr>
                  <w:tcW w:type="dxa" w:w="166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排拖套</w:t>
                  </w:r>
                </w:p>
              </w:tc>
              <w:tc>
                <w:tcPr>
                  <w:tcW w:type="dxa" w:w="1530"/>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60CM</w:t>
                  </w:r>
                </w:p>
              </w:tc>
              <w:tc>
                <w:tcPr>
                  <w:tcW w:type="dxa" w:w="139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满足项目日常保洁需求</w:t>
                  </w:r>
                </w:p>
              </w:tc>
              <w:tc>
                <w:tcPr>
                  <w:tcW w:type="dxa" w:w="708"/>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30个</w:t>
                  </w:r>
                </w:p>
              </w:tc>
            </w:tr>
            <w:tr>
              <w:tc>
                <w:tcPr>
                  <w:tcW w:type="dxa" w:w="29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9</w:t>
                  </w:r>
                </w:p>
              </w:tc>
              <w:tc>
                <w:tcPr>
                  <w:tcW w:type="dxa" w:w="166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洗衣粉</w:t>
                  </w:r>
                </w:p>
              </w:tc>
              <w:tc>
                <w:tcPr>
                  <w:tcW w:type="dxa" w:w="1530"/>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500g/包</w:t>
                  </w:r>
                </w:p>
              </w:tc>
              <w:tc>
                <w:tcPr>
                  <w:tcW w:type="dxa" w:w="139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满足项目日常保洁需求</w:t>
                  </w:r>
                </w:p>
              </w:tc>
              <w:tc>
                <w:tcPr>
                  <w:tcW w:type="dxa" w:w="708"/>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150包</w:t>
                  </w:r>
                </w:p>
              </w:tc>
            </w:tr>
            <w:tr>
              <w:tc>
                <w:tcPr>
                  <w:tcW w:type="dxa" w:w="29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10</w:t>
                  </w:r>
                </w:p>
              </w:tc>
              <w:tc>
                <w:tcPr>
                  <w:tcW w:type="dxa" w:w="166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洗洁精</w:t>
                  </w:r>
                </w:p>
              </w:tc>
              <w:tc>
                <w:tcPr>
                  <w:tcW w:type="dxa" w:w="1530"/>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5KG/桶</w:t>
                  </w:r>
                </w:p>
              </w:tc>
              <w:tc>
                <w:tcPr>
                  <w:tcW w:type="dxa" w:w="139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满足项目日常保洁需求</w:t>
                  </w:r>
                </w:p>
              </w:tc>
              <w:tc>
                <w:tcPr>
                  <w:tcW w:type="dxa" w:w="708"/>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20桶</w:t>
                  </w:r>
                </w:p>
              </w:tc>
            </w:tr>
            <w:tr>
              <w:tc>
                <w:tcPr>
                  <w:tcW w:type="dxa" w:w="29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11</w:t>
                  </w:r>
                </w:p>
              </w:tc>
              <w:tc>
                <w:tcPr>
                  <w:tcW w:type="dxa" w:w="166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钢丝球</w:t>
                  </w:r>
                </w:p>
              </w:tc>
              <w:tc>
                <w:tcPr>
                  <w:tcW w:type="dxa" w:w="1530"/>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个</w:t>
                  </w:r>
                </w:p>
              </w:tc>
              <w:tc>
                <w:tcPr>
                  <w:tcW w:type="dxa" w:w="139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满足项目日常保洁需求</w:t>
                  </w:r>
                </w:p>
              </w:tc>
              <w:tc>
                <w:tcPr>
                  <w:tcW w:type="dxa" w:w="708"/>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400个</w:t>
                  </w:r>
                </w:p>
              </w:tc>
            </w:tr>
            <w:tr>
              <w:tc>
                <w:tcPr>
                  <w:tcW w:type="dxa" w:w="29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12</w:t>
                  </w:r>
                </w:p>
              </w:tc>
              <w:tc>
                <w:tcPr>
                  <w:tcW w:type="dxa" w:w="166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平板大拖把</w:t>
                  </w:r>
                </w:p>
              </w:tc>
              <w:tc>
                <w:tcPr>
                  <w:tcW w:type="dxa" w:w="1530"/>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90CM（把）</w:t>
                  </w:r>
                </w:p>
              </w:tc>
              <w:tc>
                <w:tcPr>
                  <w:tcW w:type="dxa" w:w="139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满足项目日常保洁需求</w:t>
                  </w:r>
                </w:p>
              </w:tc>
              <w:tc>
                <w:tcPr>
                  <w:tcW w:type="dxa" w:w="708"/>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12把</w:t>
                  </w:r>
                </w:p>
              </w:tc>
            </w:tr>
            <w:tr>
              <w:tc>
                <w:tcPr>
                  <w:tcW w:type="dxa" w:w="29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13</w:t>
                  </w:r>
                </w:p>
              </w:tc>
              <w:tc>
                <w:tcPr>
                  <w:tcW w:type="dxa" w:w="166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平板大拖把</w:t>
                  </w:r>
                </w:p>
              </w:tc>
              <w:tc>
                <w:tcPr>
                  <w:tcW w:type="dxa" w:w="1530"/>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60CM（把）</w:t>
                  </w:r>
                </w:p>
              </w:tc>
              <w:tc>
                <w:tcPr>
                  <w:tcW w:type="dxa" w:w="1393"/>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both"/>
                  </w:pPr>
                  <w:r>
                    <w:rPr>
                      <w:rFonts w:ascii="仿宋_GB2312" w:hAnsi="仿宋_GB2312" w:cs="仿宋_GB2312" w:eastAsia="仿宋_GB2312"/>
                      <w:sz w:val="21"/>
                    </w:rPr>
                    <w:t>满足项目日常保洁需求</w:t>
                  </w:r>
                </w:p>
              </w:tc>
              <w:tc>
                <w:tcPr>
                  <w:tcW w:type="dxa" w:w="708"/>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both"/>
                  </w:pPr>
                  <w:r>
                    <w:rPr>
                      <w:rFonts w:ascii="仿宋_GB2312" w:hAnsi="仿宋_GB2312" w:cs="仿宋_GB2312" w:eastAsia="仿宋_GB2312"/>
                      <w:sz w:val="21"/>
                    </w:rPr>
                    <w:t>12把</w:t>
                  </w:r>
                </w:p>
              </w:tc>
            </w:tr>
            <w:tr>
              <w:tc>
                <w:tcPr>
                  <w:tcW w:type="dxa" w:w="29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14</w:t>
                  </w:r>
                </w:p>
              </w:tc>
              <w:tc>
                <w:tcPr>
                  <w:tcW w:type="dxa" w:w="166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平板大拖把</w:t>
                  </w:r>
                </w:p>
              </w:tc>
              <w:tc>
                <w:tcPr>
                  <w:tcW w:type="dxa" w:w="1530"/>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30CM（把）</w:t>
                  </w:r>
                </w:p>
              </w:tc>
              <w:tc>
                <w:tcPr>
                  <w:tcW w:type="dxa" w:w="1393"/>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both"/>
                  </w:pPr>
                  <w:r>
                    <w:rPr>
                      <w:rFonts w:ascii="仿宋_GB2312" w:hAnsi="仿宋_GB2312" w:cs="仿宋_GB2312" w:eastAsia="仿宋_GB2312"/>
                      <w:sz w:val="21"/>
                    </w:rPr>
                    <w:t>满足项目日常保洁需求</w:t>
                  </w:r>
                </w:p>
              </w:tc>
              <w:tc>
                <w:tcPr>
                  <w:tcW w:type="dxa" w:w="708"/>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both"/>
                  </w:pPr>
                  <w:r>
                    <w:rPr>
                      <w:rFonts w:ascii="仿宋_GB2312" w:hAnsi="仿宋_GB2312" w:cs="仿宋_GB2312" w:eastAsia="仿宋_GB2312"/>
                      <w:sz w:val="21"/>
                    </w:rPr>
                    <w:t>12把</w:t>
                  </w:r>
                </w:p>
              </w:tc>
            </w:tr>
            <w:tr>
              <w:tc>
                <w:tcPr>
                  <w:tcW w:type="dxa" w:w="29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15</w:t>
                  </w:r>
                </w:p>
              </w:tc>
              <w:tc>
                <w:tcPr>
                  <w:tcW w:type="dxa" w:w="166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百洁布</w:t>
                  </w:r>
                </w:p>
              </w:tc>
              <w:tc>
                <w:tcPr>
                  <w:tcW w:type="dxa" w:w="1530"/>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20张/盒</w:t>
                  </w:r>
                </w:p>
              </w:tc>
              <w:tc>
                <w:tcPr>
                  <w:tcW w:type="dxa" w:w="139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满足项目日常保洁需求</w:t>
                  </w:r>
                </w:p>
              </w:tc>
              <w:tc>
                <w:tcPr>
                  <w:tcW w:type="dxa" w:w="708"/>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6盒</w:t>
                  </w:r>
                </w:p>
              </w:tc>
            </w:tr>
            <w:tr>
              <w:tc>
                <w:tcPr>
                  <w:tcW w:type="dxa" w:w="29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16</w:t>
                  </w:r>
                </w:p>
              </w:tc>
              <w:tc>
                <w:tcPr>
                  <w:tcW w:type="dxa" w:w="166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地刷</w:t>
                  </w:r>
                </w:p>
              </w:tc>
              <w:tc>
                <w:tcPr>
                  <w:tcW w:type="dxa" w:w="1530"/>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把</w:t>
                  </w:r>
                </w:p>
              </w:tc>
              <w:tc>
                <w:tcPr>
                  <w:tcW w:type="dxa" w:w="139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满足项目日常保洁需求</w:t>
                  </w:r>
                </w:p>
              </w:tc>
              <w:tc>
                <w:tcPr>
                  <w:tcW w:type="dxa" w:w="708"/>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24把</w:t>
                  </w:r>
                </w:p>
              </w:tc>
            </w:tr>
            <w:tr>
              <w:tc>
                <w:tcPr>
                  <w:tcW w:type="dxa" w:w="29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17</w:t>
                  </w:r>
                </w:p>
              </w:tc>
              <w:tc>
                <w:tcPr>
                  <w:tcW w:type="dxa" w:w="166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厕所刷</w:t>
                  </w:r>
                </w:p>
              </w:tc>
              <w:tc>
                <w:tcPr>
                  <w:tcW w:type="dxa" w:w="1530"/>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把</w:t>
                  </w:r>
                </w:p>
              </w:tc>
              <w:tc>
                <w:tcPr>
                  <w:tcW w:type="dxa" w:w="139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满足项目日常保洁需求</w:t>
                  </w:r>
                </w:p>
              </w:tc>
              <w:tc>
                <w:tcPr>
                  <w:tcW w:type="dxa" w:w="708"/>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100把</w:t>
                  </w:r>
                </w:p>
              </w:tc>
            </w:tr>
            <w:tr>
              <w:tc>
                <w:tcPr>
                  <w:tcW w:type="dxa" w:w="29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18</w:t>
                  </w:r>
                </w:p>
              </w:tc>
              <w:tc>
                <w:tcPr>
                  <w:tcW w:type="dxa" w:w="166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毛头伸缩杆</w:t>
                  </w:r>
                </w:p>
              </w:tc>
              <w:tc>
                <w:tcPr>
                  <w:tcW w:type="dxa" w:w="1530"/>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套</w:t>
                  </w:r>
                </w:p>
              </w:tc>
              <w:tc>
                <w:tcPr>
                  <w:tcW w:type="dxa" w:w="139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满足项目日常保洁需求</w:t>
                  </w:r>
                </w:p>
              </w:tc>
              <w:tc>
                <w:tcPr>
                  <w:tcW w:type="dxa" w:w="708"/>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10个</w:t>
                  </w:r>
                </w:p>
              </w:tc>
            </w:tr>
            <w:tr>
              <w:tc>
                <w:tcPr>
                  <w:tcW w:type="dxa" w:w="29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19</w:t>
                  </w:r>
                </w:p>
              </w:tc>
              <w:tc>
                <w:tcPr>
                  <w:tcW w:type="dxa" w:w="166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塑料掸子</w:t>
                  </w:r>
                </w:p>
              </w:tc>
              <w:tc>
                <w:tcPr>
                  <w:tcW w:type="dxa" w:w="1530"/>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把</w:t>
                  </w:r>
                </w:p>
              </w:tc>
              <w:tc>
                <w:tcPr>
                  <w:tcW w:type="dxa" w:w="139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满足项目日常保洁需求</w:t>
                  </w:r>
                </w:p>
              </w:tc>
              <w:tc>
                <w:tcPr>
                  <w:tcW w:type="dxa" w:w="708"/>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20把</w:t>
                  </w:r>
                </w:p>
              </w:tc>
            </w:tr>
            <w:tr>
              <w:tc>
                <w:tcPr>
                  <w:tcW w:type="dxa" w:w="29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20</w:t>
                  </w:r>
                </w:p>
              </w:tc>
              <w:tc>
                <w:tcPr>
                  <w:tcW w:type="dxa" w:w="166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撮箕、扫把</w:t>
                  </w:r>
                </w:p>
              </w:tc>
              <w:tc>
                <w:tcPr>
                  <w:tcW w:type="dxa" w:w="1530"/>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套</w:t>
                  </w:r>
                </w:p>
              </w:tc>
              <w:tc>
                <w:tcPr>
                  <w:tcW w:type="dxa" w:w="139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满足项目日常保洁需求</w:t>
                  </w:r>
                </w:p>
              </w:tc>
              <w:tc>
                <w:tcPr>
                  <w:tcW w:type="dxa" w:w="708"/>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20套</w:t>
                  </w:r>
                </w:p>
              </w:tc>
            </w:tr>
            <w:tr>
              <w:tc>
                <w:tcPr>
                  <w:tcW w:type="dxa" w:w="29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21</w:t>
                  </w:r>
                </w:p>
              </w:tc>
              <w:tc>
                <w:tcPr>
                  <w:tcW w:type="dxa" w:w="166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扫帚</w:t>
                  </w:r>
                </w:p>
              </w:tc>
              <w:tc>
                <w:tcPr>
                  <w:tcW w:type="dxa" w:w="1530"/>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both"/>
                  </w:pPr>
                  <w:r>
                    <w:rPr>
                      <w:rFonts w:ascii="仿宋_GB2312" w:hAnsi="仿宋_GB2312" w:cs="仿宋_GB2312" w:eastAsia="仿宋_GB2312"/>
                      <w:sz w:val="21"/>
                    </w:rPr>
                    <w:t>把</w:t>
                  </w:r>
                </w:p>
              </w:tc>
              <w:tc>
                <w:tcPr>
                  <w:tcW w:type="dxa" w:w="139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满足项目日常保洁需求</w:t>
                  </w:r>
                </w:p>
              </w:tc>
              <w:tc>
                <w:tcPr>
                  <w:tcW w:type="dxa" w:w="708"/>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50把</w:t>
                  </w:r>
                </w:p>
              </w:tc>
            </w:tr>
            <w:tr>
              <w:tc>
                <w:tcPr>
                  <w:tcW w:type="dxa" w:w="29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22</w:t>
                  </w:r>
                </w:p>
              </w:tc>
              <w:tc>
                <w:tcPr>
                  <w:tcW w:type="dxa" w:w="166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火钳</w:t>
                  </w:r>
                </w:p>
              </w:tc>
              <w:tc>
                <w:tcPr>
                  <w:tcW w:type="dxa" w:w="1530"/>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把</w:t>
                  </w:r>
                </w:p>
              </w:tc>
              <w:tc>
                <w:tcPr>
                  <w:tcW w:type="dxa" w:w="139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满足项目日常保洁需求</w:t>
                  </w:r>
                </w:p>
              </w:tc>
              <w:tc>
                <w:tcPr>
                  <w:tcW w:type="dxa" w:w="708"/>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12把</w:t>
                  </w:r>
                </w:p>
              </w:tc>
            </w:tr>
            <w:tr>
              <w:tc>
                <w:tcPr>
                  <w:tcW w:type="dxa" w:w="29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23</w:t>
                  </w:r>
                </w:p>
              </w:tc>
              <w:tc>
                <w:tcPr>
                  <w:tcW w:type="dxa" w:w="166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水桶</w:t>
                  </w:r>
                </w:p>
              </w:tc>
              <w:tc>
                <w:tcPr>
                  <w:tcW w:type="dxa" w:w="1530"/>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个</w:t>
                  </w:r>
                </w:p>
              </w:tc>
              <w:tc>
                <w:tcPr>
                  <w:tcW w:type="dxa" w:w="139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满足项目日常保洁需求</w:t>
                  </w:r>
                </w:p>
              </w:tc>
              <w:tc>
                <w:tcPr>
                  <w:tcW w:type="dxa" w:w="708"/>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30个</w:t>
                  </w:r>
                </w:p>
              </w:tc>
            </w:tr>
            <w:tr>
              <w:tc>
                <w:tcPr>
                  <w:tcW w:type="dxa" w:w="29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24</w:t>
                  </w:r>
                </w:p>
              </w:tc>
              <w:tc>
                <w:tcPr>
                  <w:tcW w:type="dxa" w:w="166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防水雨靴</w:t>
                  </w:r>
                </w:p>
              </w:tc>
              <w:tc>
                <w:tcPr>
                  <w:tcW w:type="dxa" w:w="1530"/>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双</w:t>
                  </w:r>
                </w:p>
              </w:tc>
              <w:tc>
                <w:tcPr>
                  <w:tcW w:type="dxa" w:w="139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满足项目日常保洁需求</w:t>
                  </w:r>
                </w:p>
              </w:tc>
              <w:tc>
                <w:tcPr>
                  <w:tcW w:type="dxa" w:w="708"/>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10双</w:t>
                  </w:r>
                </w:p>
              </w:tc>
            </w:tr>
            <w:tr>
              <w:tc>
                <w:tcPr>
                  <w:tcW w:type="dxa" w:w="29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25</w:t>
                  </w:r>
                </w:p>
              </w:tc>
              <w:tc>
                <w:tcPr>
                  <w:tcW w:type="dxa" w:w="166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加长手套</w:t>
                  </w:r>
                </w:p>
              </w:tc>
              <w:tc>
                <w:tcPr>
                  <w:tcW w:type="dxa" w:w="1530"/>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双</w:t>
                  </w:r>
                </w:p>
              </w:tc>
              <w:tc>
                <w:tcPr>
                  <w:tcW w:type="dxa" w:w="139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满足项目日常保洁需求</w:t>
                  </w:r>
                </w:p>
              </w:tc>
              <w:tc>
                <w:tcPr>
                  <w:tcW w:type="dxa" w:w="708"/>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30双</w:t>
                  </w:r>
                </w:p>
              </w:tc>
            </w:tr>
            <w:tr>
              <w:tc>
                <w:tcPr>
                  <w:tcW w:type="dxa" w:w="29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26</w:t>
                  </w:r>
                </w:p>
              </w:tc>
              <w:tc>
                <w:tcPr>
                  <w:tcW w:type="dxa" w:w="166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其他办公用纸、笔、胶水等</w:t>
                  </w:r>
                </w:p>
              </w:tc>
              <w:tc>
                <w:tcPr>
                  <w:tcW w:type="dxa" w:w="1530"/>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p>
              </w:tc>
              <w:tc>
                <w:tcPr>
                  <w:tcW w:type="dxa" w:w="139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满足项目日常办公需求</w:t>
                  </w:r>
                </w:p>
              </w:tc>
              <w:tc>
                <w:tcPr>
                  <w:tcW w:type="dxa" w:w="708"/>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p>
              </w:tc>
            </w:tr>
            <w:tr>
              <w:tc>
                <w:tcPr>
                  <w:tcW w:type="dxa" w:w="29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27</w:t>
                  </w:r>
                </w:p>
              </w:tc>
              <w:tc>
                <w:tcPr>
                  <w:tcW w:type="dxa" w:w="166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藿香正气液等防暑药物</w:t>
                  </w:r>
                </w:p>
              </w:tc>
              <w:tc>
                <w:tcPr>
                  <w:tcW w:type="dxa" w:w="1530"/>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p>
              </w:tc>
              <w:tc>
                <w:tcPr>
                  <w:tcW w:type="dxa" w:w="139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1"/>
                    </w:rPr>
                    <w:t>满足项目日常办公需求</w:t>
                  </w:r>
                </w:p>
              </w:tc>
              <w:tc>
                <w:tcPr>
                  <w:tcW w:type="dxa" w:w="708"/>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p>
              </w:tc>
            </w:tr>
          </w:tbl>
          <w:p>
            <w:pPr>
              <w:pStyle w:val="null3"/>
              <w:jc w:val="both"/>
            </w:pPr>
            <w:r>
              <w:rPr>
                <w:rFonts w:ascii="仿宋_GB2312" w:hAnsi="仿宋_GB2312" w:cs="仿宋_GB2312" w:eastAsia="仿宋_GB2312"/>
                <w:sz w:val="24"/>
                <w:color w:val="000000"/>
              </w:rPr>
              <w:t>投标人应将本项目环境卫生维护所需工具及耗材计入本项目投标报价中。</w:t>
            </w:r>
          </w:p>
          <w:p>
            <w:pPr>
              <w:pStyle w:val="null3"/>
              <w:jc w:val="both"/>
              <w:outlineLvl w:val="0"/>
            </w:pPr>
            <w:r>
              <w:rPr>
                <w:rFonts w:ascii="仿宋_GB2312" w:hAnsi="仿宋_GB2312" w:cs="仿宋_GB2312" w:eastAsia="仿宋_GB2312"/>
                <w:sz w:val="24"/>
                <w:b/>
                <w:color w:val="000000"/>
              </w:rPr>
              <w:t>★三、技术要求（说明：在投标文件中承诺或响应）</w:t>
            </w:r>
          </w:p>
          <w:p>
            <w:pPr>
              <w:pStyle w:val="null3"/>
              <w:jc w:val="both"/>
              <w:outlineLvl w:val="1"/>
            </w:pPr>
            <w:r>
              <w:rPr>
                <w:rFonts w:ascii="仿宋_GB2312" w:hAnsi="仿宋_GB2312" w:cs="仿宋_GB2312" w:eastAsia="仿宋_GB2312"/>
                <w:sz w:val="24"/>
                <w:b/>
                <w:color w:val="000000"/>
              </w:rPr>
              <w:t>1.门岗</w:t>
            </w:r>
          </w:p>
          <w:tbl>
            <w:tblPr>
              <w:tblBorders>
                <w:top w:val="none" w:color="000000" w:sz="4"/>
                <w:left w:val="none" w:color="000000" w:sz="4"/>
                <w:bottom w:val="none" w:color="000000" w:sz="4"/>
                <w:right w:val="none" w:color="000000" w:sz="4"/>
                <w:insideH w:val="none"/>
                <w:insideV w:val="none"/>
              </w:tblBorders>
            </w:tblPr>
            <w:tblGrid>
              <w:gridCol w:w="735"/>
              <w:gridCol w:w="4863"/>
            </w:tblGrid>
            <w:tr>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服务内容</w:t>
                  </w:r>
                </w:p>
              </w:tc>
              <w:tc>
                <w:tcPr>
                  <w:tcW w:type="dxa" w:w="48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服务质量标准</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门岗</w:t>
                  </w:r>
                </w:p>
              </w:tc>
              <w:tc>
                <w:tcPr>
                  <w:tcW w:type="dxa" w:w="4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xml:space="preserve">前门双岗，后门单岗。  </w:t>
                  </w:r>
                </w:p>
                <w:p>
                  <w:pPr>
                    <w:pStyle w:val="null3"/>
                    <w:jc w:val="both"/>
                  </w:pPr>
                  <w:r>
                    <w:rPr>
                      <w:rFonts w:ascii="仿宋_GB2312" w:hAnsi="仿宋_GB2312" w:cs="仿宋_GB2312" w:eastAsia="仿宋_GB2312"/>
                      <w:sz w:val="21"/>
                    </w:rPr>
                    <w:t>24小时值守；</w:t>
                  </w:r>
                </w:p>
                <w:p>
                  <w:pPr>
                    <w:pStyle w:val="null3"/>
                    <w:jc w:val="both"/>
                  </w:pPr>
                  <w:r>
                    <w:rPr>
                      <w:rFonts w:ascii="仿宋_GB2312" w:hAnsi="仿宋_GB2312" w:cs="仿宋_GB2312" w:eastAsia="仿宋_GB2312"/>
                      <w:sz w:val="21"/>
                    </w:rPr>
                    <w:t>指定时间段立岗，形象展示；</w:t>
                  </w:r>
                </w:p>
                <w:p>
                  <w:pPr>
                    <w:pStyle w:val="null3"/>
                    <w:jc w:val="both"/>
                  </w:pPr>
                  <w:r>
                    <w:rPr>
                      <w:rFonts w:ascii="仿宋_GB2312" w:hAnsi="仿宋_GB2312" w:cs="仿宋_GB2312" w:eastAsia="仿宋_GB2312"/>
                      <w:sz w:val="21"/>
                    </w:rPr>
                    <w:t>来人来访的通报；</w:t>
                  </w:r>
                </w:p>
                <w:p>
                  <w:pPr>
                    <w:pStyle w:val="null3"/>
                    <w:jc w:val="both"/>
                  </w:pPr>
                  <w:r>
                    <w:rPr>
                      <w:rFonts w:ascii="仿宋_GB2312" w:hAnsi="仿宋_GB2312" w:cs="仿宋_GB2312" w:eastAsia="仿宋_GB2312"/>
                      <w:sz w:val="21"/>
                    </w:rPr>
                    <w:t>杜绝外来推销、废品收购等闲杂人员、可疑人员和危险物品进入园区内；</w:t>
                  </w:r>
                </w:p>
                <w:p>
                  <w:pPr>
                    <w:pStyle w:val="null3"/>
                    <w:jc w:val="both"/>
                  </w:pPr>
                  <w:r>
                    <w:rPr>
                      <w:rFonts w:ascii="仿宋_GB2312" w:hAnsi="仿宋_GB2312" w:cs="仿宋_GB2312" w:eastAsia="仿宋_GB2312"/>
                      <w:sz w:val="21"/>
                    </w:rPr>
                    <w:t>外来人员及车辆进出证件检验、登记；</w:t>
                  </w:r>
                </w:p>
                <w:p>
                  <w:pPr>
                    <w:pStyle w:val="null3"/>
                    <w:jc w:val="both"/>
                  </w:pPr>
                  <w:r>
                    <w:rPr>
                      <w:rFonts w:ascii="仿宋_GB2312" w:hAnsi="仿宋_GB2312" w:cs="仿宋_GB2312" w:eastAsia="仿宋_GB2312"/>
                      <w:sz w:val="21"/>
                    </w:rPr>
                    <w:t>大件物品出入实行确认备案制度，建立报告制度并登记台账；</w:t>
                  </w:r>
                </w:p>
                <w:p>
                  <w:pPr>
                    <w:pStyle w:val="null3"/>
                    <w:jc w:val="both"/>
                  </w:pPr>
                  <w:r>
                    <w:rPr>
                      <w:rFonts w:ascii="仿宋_GB2312" w:hAnsi="仿宋_GB2312" w:cs="仿宋_GB2312" w:eastAsia="仿宋_GB2312"/>
                      <w:sz w:val="21"/>
                    </w:rPr>
                    <w:t>严格执行门卫管理制度做好交接工作；</w:t>
                  </w:r>
                </w:p>
                <w:p>
                  <w:pPr>
                    <w:pStyle w:val="null3"/>
                    <w:jc w:val="both"/>
                  </w:pPr>
                  <w:r>
                    <w:rPr>
                      <w:rFonts w:ascii="仿宋_GB2312" w:hAnsi="仿宋_GB2312" w:cs="仿宋_GB2312" w:eastAsia="仿宋_GB2312"/>
                      <w:sz w:val="21"/>
                    </w:rPr>
                    <w:t>用语规范，礼貌待客，文明工作；</w:t>
                  </w:r>
                </w:p>
                <w:p>
                  <w:pPr>
                    <w:pStyle w:val="null3"/>
                    <w:jc w:val="both"/>
                  </w:pPr>
                  <w:r>
                    <w:rPr>
                      <w:rFonts w:ascii="仿宋_GB2312" w:hAnsi="仿宋_GB2312" w:cs="仿宋_GB2312" w:eastAsia="仿宋_GB2312"/>
                      <w:sz w:val="21"/>
                    </w:rPr>
                    <w:t>报刊信件收发。</w:t>
                  </w:r>
                </w:p>
                <w:p>
                  <w:pPr>
                    <w:pStyle w:val="null3"/>
                    <w:jc w:val="both"/>
                  </w:pPr>
                  <w:r>
                    <w:rPr>
                      <w:rFonts w:ascii="仿宋_GB2312" w:hAnsi="仿宋_GB2312" w:cs="仿宋_GB2312" w:eastAsia="仿宋_GB2312"/>
                      <w:sz w:val="21"/>
                    </w:rPr>
                    <w:t>快递放至指定代收点，文件类快递代签收后电话通知到个人；</w:t>
                  </w:r>
                </w:p>
                <w:p>
                  <w:pPr>
                    <w:pStyle w:val="null3"/>
                    <w:jc w:val="both"/>
                  </w:pPr>
                  <w:r>
                    <w:rPr>
                      <w:rFonts w:ascii="仿宋_GB2312" w:hAnsi="仿宋_GB2312" w:cs="仿宋_GB2312" w:eastAsia="仿宋_GB2312"/>
                      <w:sz w:val="21"/>
                    </w:rPr>
                    <w:t>外卖放至集中存放点。</w:t>
                  </w:r>
                </w:p>
              </w:tc>
            </w:tr>
          </w:tbl>
          <w:p>
            <w:pPr>
              <w:pStyle w:val="null3"/>
              <w:jc w:val="both"/>
              <w:outlineLvl w:val="1"/>
            </w:pPr>
            <w:r>
              <w:rPr>
                <w:rFonts w:ascii="仿宋_GB2312" w:hAnsi="仿宋_GB2312" w:cs="仿宋_GB2312" w:eastAsia="仿宋_GB2312"/>
                <w:sz w:val="24"/>
                <w:b/>
                <w:color w:val="000000"/>
              </w:rPr>
              <w:t>2.车辆管理</w:t>
            </w:r>
          </w:p>
          <w:tbl>
            <w:tblPr>
              <w:tblBorders>
                <w:top w:val="none" w:color="000000" w:sz="4"/>
                <w:left w:val="none" w:color="000000" w:sz="4"/>
                <w:bottom w:val="none" w:color="000000" w:sz="4"/>
                <w:right w:val="none" w:color="000000" w:sz="4"/>
                <w:insideH w:val="none"/>
                <w:insideV w:val="none"/>
              </w:tblBorders>
            </w:tblPr>
            <w:tblGrid>
              <w:gridCol w:w="735"/>
              <w:gridCol w:w="4863"/>
            </w:tblGrid>
            <w:tr>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服务内容</w:t>
                  </w:r>
                </w:p>
              </w:tc>
              <w:tc>
                <w:tcPr>
                  <w:tcW w:type="dxa" w:w="48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服务质量标准</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车辆管理</w:t>
                  </w:r>
                </w:p>
              </w:tc>
              <w:tc>
                <w:tcPr>
                  <w:tcW w:type="dxa" w:w="4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负责辖区内机动车和非机动车进出及停放管理；</w:t>
                  </w:r>
                </w:p>
                <w:p>
                  <w:pPr>
                    <w:pStyle w:val="null3"/>
                    <w:jc w:val="both"/>
                  </w:pPr>
                  <w:r>
                    <w:rPr>
                      <w:rFonts w:ascii="仿宋_GB2312" w:hAnsi="仿宋_GB2312" w:cs="仿宋_GB2312" w:eastAsia="仿宋_GB2312"/>
                      <w:sz w:val="21"/>
                    </w:rPr>
                    <w:t>负责大门及地下车库出入系统的管理和维护；</w:t>
                  </w:r>
                </w:p>
                <w:p>
                  <w:pPr>
                    <w:pStyle w:val="null3"/>
                    <w:jc w:val="both"/>
                  </w:pPr>
                  <w:r>
                    <w:rPr>
                      <w:rFonts w:ascii="仿宋_GB2312" w:hAnsi="仿宋_GB2312" w:cs="仿宋_GB2312" w:eastAsia="仿宋_GB2312"/>
                      <w:sz w:val="21"/>
                    </w:rPr>
                    <w:t>按采购人要求设置指示标志，负责辖区内所有车辆有序通行、按位有序停放，并对出入辖区的来访车辆进行登记；</w:t>
                  </w:r>
                </w:p>
                <w:p>
                  <w:pPr>
                    <w:pStyle w:val="null3"/>
                    <w:jc w:val="both"/>
                  </w:pPr>
                  <w:r>
                    <w:rPr>
                      <w:rFonts w:ascii="仿宋_GB2312" w:hAnsi="仿宋_GB2312" w:cs="仿宋_GB2312" w:eastAsia="仿宋_GB2312"/>
                      <w:sz w:val="21"/>
                    </w:rPr>
                    <w:t>对占用消防通道的车辆进行劝离，保证消防通道道路畅通；</w:t>
                  </w:r>
                </w:p>
                <w:p>
                  <w:pPr>
                    <w:pStyle w:val="null3"/>
                    <w:jc w:val="both"/>
                  </w:pPr>
                  <w:r>
                    <w:rPr>
                      <w:rFonts w:ascii="仿宋_GB2312" w:hAnsi="仿宋_GB2312" w:cs="仿宋_GB2312" w:eastAsia="仿宋_GB2312"/>
                      <w:sz w:val="21"/>
                    </w:rPr>
                    <w:t>车库应保持良好通风，无易燃易爆物品存放，并配备相应的消防灭火器；</w:t>
                  </w:r>
                </w:p>
                <w:p>
                  <w:pPr>
                    <w:pStyle w:val="null3"/>
                    <w:jc w:val="both"/>
                  </w:pPr>
                  <w:r>
                    <w:rPr>
                      <w:rFonts w:ascii="仿宋_GB2312" w:hAnsi="仿宋_GB2312" w:cs="仿宋_GB2312" w:eastAsia="仿宋_GB2312"/>
                      <w:sz w:val="21"/>
                    </w:rPr>
                    <w:t>做好早晚高峰期间的车辆指引工作。</w:t>
                  </w:r>
                </w:p>
              </w:tc>
            </w:tr>
          </w:tbl>
          <w:p>
            <w:pPr>
              <w:pStyle w:val="null3"/>
              <w:jc w:val="both"/>
              <w:outlineLvl w:val="1"/>
            </w:pPr>
            <w:r>
              <w:rPr>
                <w:rFonts w:ascii="仿宋_GB2312" w:hAnsi="仿宋_GB2312" w:cs="仿宋_GB2312" w:eastAsia="仿宋_GB2312"/>
                <w:sz w:val="24"/>
                <w:b/>
                <w:color w:val="000000"/>
              </w:rPr>
              <w:t>3.安全巡逻管理</w:t>
            </w:r>
          </w:p>
          <w:tbl>
            <w:tblPr>
              <w:tblBorders>
                <w:top w:val="none" w:color="000000" w:sz="4"/>
                <w:left w:val="none" w:color="000000" w:sz="4"/>
                <w:bottom w:val="none" w:color="000000" w:sz="4"/>
                <w:right w:val="none" w:color="000000" w:sz="4"/>
                <w:insideH w:val="none"/>
                <w:insideV w:val="none"/>
              </w:tblBorders>
            </w:tblPr>
            <w:tblGrid>
              <w:gridCol w:w="735"/>
              <w:gridCol w:w="4863"/>
            </w:tblGrid>
            <w:tr>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服务内容</w:t>
                  </w:r>
                </w:p>
              </w:tc>
              <w:tc>
                <w:tcPr>
                  <w:tcW w:type="dxa" w:w="48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服务质量标准</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安全巡逻管理</w:t>
                  </w:r>
                </w:p>
              </w:tc>
              <w:tc>
                <w:tcPr>
                  <w:tcW w:type="dxa" w:w="4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处理治安及其他突发事件；</w:t>
                  </w:r>
                </w:p>
                <w:p>
                  <w:pPr>
                    <w:pStyle w:val="null3"/>
                    <w:jc w:val="both"/>
                  </w:pPr>
                  <w:r>
                    <w:rPr>
                      <w:rFonts w:ascii="仿宋_GB2312" w:hAnsi="仿宋_GB2312" w:cs="仿宋_GB2312" w:eastAsia="仿宋_GB2312"/>
                      <w:sz w:val="21"/>
                    </w:rPr>
                    <w:t>明确巡查工作职责，规范巡视工作流程，负责防盗、防火等安全防范巡查，设置巡更点，做好巡更记录，巡查频次：2小时/次；</w:t>
                  </w:r>
                </w:p>
                <w:p>
                  <w:pPr>
                    <w:pStyle w:val="null3"/>
                    <w:jc w:val="both"/>
                  </w:pPr>
                  <w:r>
                    <w:rPr>
                      <w:rFonts w:ascii="仿宋_GB2312" w:hAnsi="仿宋_GB2312" w:cs="仿宋_GB2312" w:eastAsia="仿宋_GB2312"/>
                      <w:sz w:val="21"/>
                    </w:rPr>
                    <w:t>制定相对固定的巡视路线，对重要区域、部位、设备机房进行重点巡视，发现和处理各种安全和事故隐患；</w:t>
                  </w:r>
                </w:p>
                <w:p>
                  <w:pPr>
                    <w:pStyle w:val="null3"/>
                    <w:jc w:val="both"/>
                  </w:pPr>
                  <w:r>
                    <w:rPr>
                      <w:rFonts w:ascii="仿宋_GB2312" w:hAnsi="仿宋_GB2312" w:cs="仿宋_GB2312" w:eastAsia="仿宋_GB2312"/>
                      <w:sz w:val="21"/>
                    </w:rPr>
                    <w:t>节假日、夜间巡逻时，应适当增加巡逻频次，确保在契约期间的治安消防保卫工作不出问题。</w:t>
                  </w:r>
                </w:p>
              </w:tc>
            </w:tr>
          </w:tbl>
          <w:p>
            <w:pPr>
              <w:pStyle w:val="null3"/>
              <w:jc w:val="both"/>
              <w:outlineLvl w:val="1"/>
            </w:pPr>
            <w:r>
              <w:rPr>
                <w:rFonts w:ascii="仿宋_GB2312" w:hAnsi="仿宋_GB2312" w:cs="仿宋_GB2312" w:eastAsia="仿宋_GB2312"/>
                <w:sz w:val="24"/>
                <w:b/>
                <w:color w:val="000000"/>
              </w:rPr>
              <w:t>4.楼宇监控室管理</w:t>
            </w:r>
          </w:p>
          <w:tbl>
            <w:tblPr>
              <w:tblBorders>
                <w:top w:val="none" w:color="000000" w:sz="4"/>
                <w:left w:val="none" w:color="000000" w:sz="4"/>
                <w:bottom w:val="none" w:color="000000" w:sz="4"/>
                <w:right w:val="none" w:color="000000" w:sz="4"/>
                <w:insideH w:val="none"/>
                <w:insideV w:val="none"/>
              </w:tblBorders>
            </w:tblPr>
            <w:tblGrid>
              <w:gridCol w:w="735"/>
              <w:gridCol w:w="4863"/>
            </w:tblGrid>
            <w:tr>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服务内容</w:t>
                  </w:r>
                </w:p>
              </w:tc>
              <w:tc>
                <w:tcPr>
                  <w:tcW w:type="dxa" w:w="48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服务质量标准</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楼宇监控室管理</w:t>
                  </w:r>
                </w:p>
              </w:tc>
              <w:tc>
                <w:tcPr>
                  <w:tcW w:type="dxa" w:w="4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xml:space="preserve">单岗  </w:t>
                  </w:r>
                </w:p>
                <w:p>
                  <w:pPr>
                    <w:pStyle w:val="null3"/>
                    <w:jc w:val="both"/>
                  </w:pPr>
                  <w:r>
                    <w:rPr>
                      <w:rFonts w:ascii="仿宋_GB2312" w:hAnsi="仿宋_GB2312" w:cs="仿宋_GB2312" w:eastAsia="仿宋_GB2312"/>
                      <w:sz w:val="21"/>
                    </w:rPr>
                    <w:t>熟练掌握并操作安防监控系统，建立运行管理、设备管理、安全管理制度，确保系统正常运行；</w:t>
                  </w:r>
                </w:p>
                <w:p>
                  <w:pPr>
                    <w:pStyle w:val="null3"/>
                    <w:jc w:val="both"/>
                  </w:pPr>
                  <w:r>
                    <w:rPr>
                      <w:rFonts w:ascii="仿宋_GB2312" w:hAnsi="仿宋_GB2312" w:cs="仿宋_GB2312" w:eastAsia="仿宋_GB2312"/>
                      <w:sz w:val="21"/>
                    </w:rPr>
                    <w:t>楼宇监控室中心需24小时值班，监控设施应保持24小时开通，并保持完整的监控记录，保证对各出入口、内部重点区域的安全监控、录像及协助布警，监控资料应至少保持30天；监控室收到报警信号后，报警并派专人赶到现场进行前期处理；</w:t>
                  </w:r>
                </w:p>
                <w:p>
                  <w:pPr>
                    <w:pStyle w:val="null3"/>
                    <w:jc w:val="both"/>
                  </w:pPr>
                  <w:r>
                    <w:rPr>
                      <w:rFonts w:ascii="仿宋_GB2312" w:hAnsi="仿宋_GB2312" w:cs="仿宋_GB2312" w:eastAsia="仿宋_GB2312"/>
                      <w:sz w:val="21"/>
                    </w:rPr>
                    <w:t>负责对安防系统（含终端设备，如：摄像头、红外对射等）的日常检查、调节等，并对设备运行状态进行检查，对不涉及换件的故障进行检修，做好检查记录；</w:t>
                  </w:r>
                </w:p>
                <w:p>
                  <w:pPr>
                    <w:pStyle w:val="null3"/>
                    <w:jc w:val="both"/>
                  </w:pPr>
                  <w:r>
                    <w:rPr>
                      <w:rFonts w:ascii="仿宋_GB2312" w:hAnsi="仿宋_GB2312" w:cs="仿宋_GB2312" w:eastAsia="仿宋_GB2312"/>
                      <w:sz w:val="21"/>
                    </w:rPr>
                    <w:t>监控设备出现故障及时报告，配合第三方维保公司做好设施设备的维护工作</w:t>
                  </w:r>
                </w:p>
                <w:p>
                  <w:pPr>
                    <w:pStyle w:val="null3"/>
                    <w:jc w:val="both"/>
                  </w:pPr>
                  <w:r>
                    <w:rPr>
                      <w:rFonts w:ascii="仿宋_GB2312" w:hAnsi="仿宋_GB2312" w:cs="仿宋_GB2312" w:eastAsia="仿宋_GB2312"/>
                      <w:sz w:val="21"/>
                    </w:rPr>
                    <w:t>做好设备日产使用管理，定期对各楼层应急电源的主、备电情况进行检查；</w:t>
                  </w:r>
                </w:p>
              </w:tc>
            </w:tr>
          </w:tbl>
          <w:p>
            <w:pPr>
              <w:pStyle w:val="null3"/>
              <w:jc w:val="both"/>
              <w:outlineLvl w:val="1"/>
            </w:pPr>
            <w:r>
              <w:rPr>
                <w:rFonts w:ascii="仿宋_GB2312" w:hAnsi="仿宋_GB2312" w:cs="仿宋_GB2312" w:eastAsia="仿宋_GB2312"/>
                <w:sz w:val="24"/>
                <w:b/>
                <w:color w:val="000000"/>
              </w:rPr>
              <w:t>5.消防管理</w:t>
            </w:r>
          </w:p>
          <w:tbl>
            <w:tblPr>
              <w:tblBorders>
                <w:top w:val="none" w:color="000000" w:sz="4"/>
                <w:left w:val="none" w:color="000000" w:sz="4"/>
                <w:bottom w:val="none" w:color="000000" w:sz="4"/>
                <w:right w:val="none" w:color="000000" w:sz="4"/>
                <w:insideH w:val="none"/>
                <w:insideV w:val="none"/>
              </w:tblBorders>
            </w:tblPr>
            <w:tblGrid>
              <w:gridCol w:w="735"/>
              <w:gridCol w:w="4863"/>
            </w:tblGrid>
            <w:tr>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服务内容</w:t>
                  </w:r>
                </w:p>
              </w:tc>
              <w:tc>
                <w:tcPr>
                  <w:tcW w:type="dxa" w:w="48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服务质量标准</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消防管理</w:t>
                  </w:r>
                </w:p>
              </w:tc>
              <w:tc>
                <w:tcPr>
                  <w:tcW w:type="dxa" w:w="4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xml:space="preserve">双岗   </w:t>
                  </w:r>
                </w:p>
                <w:p>
                  <w:pPr>
                    <w:pStyle w:val="null3"/>
                    <w:jc w:val="both"/>
                  </w:pPr>
                  <w:r>
                    <w:rPr>
                      <w:rFonts w:ascii="仿宋_GB2312" w:hAnsi="仿宋_GB2312" w:cs="仿宋_GB2312" w:eastAsia="仿宋_GB2312"/>
                      <w:sz w:val="21"/>
                    </w:rPr>
                    <w:t>熟练掌握并操作消防监控系统，建立运行管理、设备管理、安全管理制度，确保系统正常运行；</w:t>
                  </w:r>
                </w:p>
                <w:p>
                  <w:pPr>
                    <w:pStyle w:val="null3"/>
                    <w:jc w:val="both"/>
                  </w:pPr>
                  <w:r>
                    <w:rPr>
                      <w:rFonts w:ascii="仿宋_GB2312" w:hAnsi="仿宋_GB2312" w:cs="仿宋_GB2312" w:eastAsia="仿宋_GB2312"/>
                      <w:sz w:val="21"/>
                    </w:rPr>
                    <w:t>消防监控室中心需24小时值班，必须配备专人（持证上岗）能熟练掌握消控中心的操作和维护；监控设施应保持24小时开通，并保持完整的监控记录，监控资料应至少保持30天。监控室收到火情、险情及其他异常情况报警信号后，报警并派专人赶到现场进行前期处理；</w:t>
                  </w:r>
                </w:p>
                <w:p>
                  <w:pPr>
                    <w:pStyle w:val="null3"/>
                    <w:jc w:val="both"/>
                  </w:pPr>
                  <w:r>
                    <w:rPr>
                      <w:rFonts w:ascii="仿宋_GB2312" w:hAnsi="仿宋_GB2312" w:cs="仿宋_GB2312" w:eastAsia="仿宋_GB2312"/>
                      <w:sz w:val="21"/>
                    </w:rPr>
                    <w:t>负责对消防系统的日常检查、调节等，并对设备运行状态进行检查，对不涉及换件的故障进行检修，做好检查记录；</w:t>
                  </w:r>
                </w:p>
                <w:p>
                  <w:pPr>
                    <w:pStyle w:val="null3"/>
                    <w:jc w:val="both"/>
                  </w:pPr>
                  <w:r>
                    <w:rPr>
                      <w:rFonts w:ascii="仿宋_GB2312" w:hAnsi="仿宋_GB2312" w:cs="仿宋_GB2312" w:eastAsia="仿宋_GB2312"/>
                      <w:sz w:val="21"/>
                    </w:rPr>
                    <w:t>设备出现故障及时报告，配合第三方维保公司做好设施设备的维护工作</w:t>
                  </w:r>
                </w:p>
                <w:p>
                  <w:pPr>
                    <w:pStyle w:val="null3"/>
                    <w:jc w:val="both"/>
                  </w:pPr>
                  <w:r>
                    <w:rPr>
                      <w:rFonts w:ascii="仿宋_GB2312" w:hAnsi="仿宋_GB2312" w:cs="仿宋_GB2312" w:eastAsia="仿宋_GB2312"/>
                      <w:sz w:val="21"/>
                    </w:rPr>
                    <w:t>定期对楼宇中的消防设施设备巡查，确保运行无故障；</w:t>
                  </w:r>
                </w:p>
                <w:p>
                  <w:pPr>
                    <w:pStyle w:val="null3"/>
                    <w:jc w:val="both"/>
                  </w:pPr>
                  <w:r>
                    <w:rPr>
                      <w:rFonts w:ascii="仿宋_GB2312" w:hAnsi="仿宋_GB2312" w:cs="仿宋_GB2312" w:eastAsia="仿宋_GB2312"/>
                      <w:sz w:val="21"/>
                    </w:rPr>
                    <w:t>按照突发火灾的应急方案，设立消防疏散示意图，照明设施及引路标志完好，紧急疏散通道畅通；</w:t>
                  </w:r>
                </w:p>
                <w:p>
                  <w:pPr>
                    <w:pStyle w:val="null3"/>
                    <w:jc w:val="both"/>
                  </w:pPr>
                  <w:r>
                    <w:rPr>
                      <w:rFonts w:ascii="仿宋_GB2312" w:hAnsi="仿宋_GB2312" w:cs="仿宋_GB2312" w:eastAsia="仿宋_GB2312"/>
                      <w:sz w:val="21"/>
                    </w:rPr>
                    <w:t>所有通往楼梯前室与楼梯的防火门应保持闭合但不能上锁，走道内的防火分区之间的防火门应保持闭合但不能上锁。走道上设置有门禁的门应确保在紧急情况时随时可以打开；</w:t>
                  </w:r>
                </w:p>
                <w:p>
                  <w:pPr>
                    <w:pStyle w:val="null3"/>
                    <w:jc w:val="both"/>
                  </w:pPr>
                  <w:r>
                    <w:rPr>
                      <w:rFonts w:ascii="仿宋_GB2312" w:hAnsi="仿宋_GB2312" w:cs="仿宋_GB2312" w:eastAsia="仿宋_GB2312"/>
                      <w:sz w:val="21"/>
                    </w:rPr>
                    <w:t>所有强弱电井道与空调机房的防火门应保持闭合且上锁；</w:t>
                  </w:r>
                </w:p>
                <w:p>
                  <w:pPr>
                    <w:pStyle w:val="null3"/>
                    <w:jc w:val="both"/>
                  </w:pPr>
                  <w:r>
                    <w:rPr>
                      <w:rFonts w:ascii="仿宋_GB2312" w:hAnsi="仿宋_GB2312" w:cs="仿宋_GB2312" w:eastAsia="仿宋_GB2312"/>
                      <w:sz w:val="21"/>
                    </w:rPr>
                    <w:t>底层所有通往室外的疏散门在紧急情况时随时可以打开；</w:t>
                  </w:r>
                </w:p>
                <w:p>
                  <w:pPr>
                    <w:pStyle w:val="null3"/>
                    <w:jc w:val="both"/>
                  </w:pPr>
                  <w:r>
                    <w:rPr>
                      <w:rFonts w:ascii="仿宋_GB2312" w:hAnsi="仿宋_GB2312" w:cs="仿宋_GB2312" w:eastAsia="仿宋_GB2312"/>
                      <w:sz w:val="21"/>
                    </w:rPr>
                    <w:t>严禁私自乱接乱拉电源线、私装电源插座和未经批准擅自使用自备电器；</w:t>
                  </w:r>
                </w:p>
                <w:p>
                  <w:pPr>
                    <w:pStyle w:val="null3"/>
                    <w:jc w:val="both"/>
                  </w:pPr>
                  <w:r>
                    <w:rPr>
                      <w:rFonts w:ascii="仿宋_GB2312" w:hAnsi="仿宋_GB2312" w:cs="仿宋_GB2312" w:eastAsia="仿宋_GB2312"/>
                      <w:sz w:val="21"/>
                    </w:rPr>
                    <w:t>建立完善的消防制度和消防工作计划，物业公司要定期组织有关人员进行消防培训；</w:t>
                  </w:r>
                </w:p>
                <w:p>
                  <w:pPr>
                    <w:pStyle w:val="null3"/>
                    <w:jc w:val="both"/>
                  </w:pPr>
                  <w:r>
                    <w:rPr>
                      <w:rFonts w:ascii="仿宋_GB2312" w:hAnsi="仿宋_GB2312" w:cs="仿宋_GB2312" w:eastAsia="仿宋_GB2312"/>
                      <w:sz w:val="21"/>
                    </w:rPr>
                    <w:t>定期组织消防演习，一年至少两次；</w:t>
                  </w:r>
                </w:p>
                <w:p>
                  <w:pPr>
                    <w:pStyle w:val="null3"/>
                    <w:jc w:val="both"/>
                  </w:pPr>
                  <w:r>
                    <w:rPr>
                      <w:rFonts w:ascii="仿宋_GB2312" w:hAnsi="仿宋_GB2312" w:cs="仿宋_GB2312" w:eastAsia="仿宋_GB2312"/>
                      <w:sz w:val="21"/>
                    </w:rPr>
                    <w:t>物业管理人员要掌握消防设施设备的使用方法，并能及时处理各种初期火灾事故。</w:t>
                  </w:r>
                </w:p>
              </w:tc>
            </w:tr>
          </w:tbl>
          <w:p>
            <w:pPr>
              <w:pStyle w:val="null3"/>
              <w:jc w:val="both"/>
              <w:outlineLvl w:val="1"/>
            </w:pPr>
            <w:r>
              <w:rPr>
                <w:rFonts w:ascii="仿宋_GB2312" w:hAnsi="仿宋_GB2312" w:cs="仿宋_GB2312" w:eastAsia="仿宋_GB2312"/>
                <w:sz w:val="24"/>
                <w:b/>
                <w:color w:val="000000"/>
              </w:rPr>
              <w:t>6.应急保障</w:t>
            </w:r>
          </w:p>
          <w:tbl>
            <w:tblPr>
              <w:tblBorders>
                <w:top w:val="none" w:color="000000" w:sz="4"/>
                <w:left w:val="none" w:color="000000" w:sz="4"/>
                <w:bottom w:val="none" w:color="000000" w:sz="4"/>
                <w:right w:val="none" w:color="000000" w:sz="4"/>
                <w:insideH w:val="none"/>
                <w:insideV w:val="none"/>
              </w:tblBorders>
            </w:tblPr>
            <w:tblGrid>
              <w:gridCol w:w="741"/>
              <w:gridCol w:w="4856"/>
            </w:tblGrid>
            <w:tr>
              <w:tc>
                <w:tcPr>
                  <w:tcW w:type="dxa" w:w="74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服务内容</w:t>
                  </w:r>
                </w:p>
              </w:tc>
              <w:tc>
                <w:tcPr>
                  <w:tcW w:type="dxa" w:w="48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服务质量标准</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应急保障</w:t>
                  </w:r>
                </w:p>
              </w:tc>
              <w:tc>
                <w:tcPr>
                  <w:tcW w:type="dxa" w:w="48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建立各类应急预案，并在物业办公室、监控室等处张榜悬挂，及时处理突发事件，定期实行突发事件应急演练；</w:t>
                  </w:r>
                </w:p>
                <w:p>
                  <w:pPr>
                    <w:pStyle w:val="null3"/>
                    <w:jc w:val="both"/>
                  </w:pPr>
                  <w:r>
                    <w:rPr>
                      <w:rFonts w:ascii="仿宋_GB2312" w:hAnsi="仿宋_GB2312" w:cs="仿宋_GB2312" w:eastAsia="仿宋_GB2312"/>
                      <w:sz w:val="21"/>
                    </w:rPr>
                    <w:t>当发生台风、暴雨、雪灾等灾害性天气及其他突发事件时，应对设备机房、停车棚、广告牌、电线杆等露天设施进行检查和加固；各岗位人员必须按规定实行岗位警戒，根据不同突发事件的现场情况进行应变处理。</w:t>
                  </w:r>
                </w:p>
              </w:tc>
            </w:tr>
          </w:tbl>
          <w:p>
            <w:pPr>
              <w:pStyle w:val="null3"/>
              <w:jc w:val="both"/>
              <w:outlineLvl w:val="1"/>
            </w:pPr>
            <w:r>
              <w:rPr>
                <w:rFonts w:ascii="仿宋_GB2312" w:hAnsi="仿宋_GB2312" w:cs="仿宋_GB2312" w:eastAsia="仿宋_GB2312"/>
                <w:sz w:val="24"/>
                <w:b/>
                <w:color w:val="000000"/>
              </w:rPr>
              <w:t>7.公共区域卫生</w:t>
            </w:r>
          </w:p>
          <w:tbl>
            <w:tblPr>
              <w:tblBorders>
                <w:top w:val="none" w:color="000000" w:sz="4"/>
                <w:left w:val="none" w:color="000000" w:sz="4"/>
                <w:bottom w:val="none" w:color="000000" w:sz="4"/>
                <w:right w:val="none" w:color="000000" w:sz="4"/>
                <w:insideH w:val="none"/>
                <w:insideV w:val="none"/>
              </w:tblBorders>
            </w:tblPr>
            <w:tblGrid>
              <w:gridCol w:w="741"/>
              <w:gridCol w:w="4856"/>
            </w:tblGrid>
            <w:tr>
              <w:tc>
                <w:tcPr>
                  <w:tcW w:type="dxa" w:w="74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服务内容</w:t>
                  </w:r>
                </w:p>
              </w:tc>
              <w:tc>
                <w:tcPr>
                  <w:tcW w:type="dxa" w:w="48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服务质量标准</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公共区域卫生</w:t>
                  </w:r>
                </w:p>
              </w:tc>
              <w:tc>
                <w:tcPr>
                  <w:tcW w:type="dxa" w:w="48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通道地面和墙面及公共区域，做到无垃圾、无积灰、无污渍、无手印、无蜘蛛网等，每日清扫和擦拭保养不少于2次，巡回保洁；</w:t>
                  </w:r>
                </w:p>
                <w:p>
                  <w:pPr>
                    <w:pStyle w:val="null3"/>
                    <w:jc w:val="both"/>
                  </w:pPr>
                  <w:r>
                    <w:rPr>
                      <w:rFonts w:ascii="仿宋_GB2312" w:hAnsi="仿宋_GB2312" w:cs="仿宋_GB2312" w:eastAsia="仿宋_GB2312"/>
                      <w:sz w:val="21"/>
                    </w:rPr>
                    <w:t>卫生间等设备保持清洁，无污迹、无积水、无积尘、无异味、无漏滴水、无堆积杂物、无乱张贴物；电器按时开关，确保安全；每日清扫和擦拭保养不少于2次，随时巡回保洁；</w:t>
                  </w:r>
                </w:p>
                <w:p>
                  <w:pPr>
                    <w:pStyle w:val="null3"/>
                    <w:jc w:val="both"/>
                  </w:pPr>
                  <w:r>
                    <w:rPr>
                      <w:rFonts w:ascii="仿宋_GB2312" w:hAnsi="仿宋_GB2312" w:cs="仿宋_GB2312" w:eastAsia="仿宋_GB2312"/>
                      <w:sz w:val="21"/>
                    </w:rPr>
                    <w:t>办公区域外的道路和停车场及所有公共区域的地面无有色垃圾和建筑垃圾、无堆积杂物、无积灰、无积水和淤泥、无堵塞等；每日清扫和擦拭保养不少于2次，保洁员对以上部位每小时巡视一次，发现杂物及时清理，随时巡回保洁；</w:t>
                  </w:r>
                </w:p>
                <w:p>
                  <w:pPr>
                    <w:pStyle w:val="null3"/>
                    <w:jc w:val="both"/>
                  </w:pPr>
                  <w:r>
                    <w:rPr>
                      <w:rFonts w:ascii="仿宋_GB2312" w:hAnsi="仿宋_GB2312" w:cs="仿宋_GB2312" w:eastAsia="仿宋_GB2312"/>
                      <w:sz w:val="21"/>
                    </w:rPr>
                    <w:t>屋顶及天沟清洁，并根据本市天气状况，提前检查，确保下水管道畅通；</w:t>
                  </w:r>
                </w:p>
                <w:p>
                  <w:pPr>
                    <w:pStyle w:val="null3"/>
                    <w:jc w:val="both"/>
                  </w:pPr>
                  <w:r>
                    <w:rPr>
                      <w:rFonts w:ascii="仿宋_GB2312" w:hAnsi="仿宋_GB2312" w:cs="仿宋_GB2312" w:eastAsia="仿宋_GB2312"/>
                      <w:sz w:val="21"/>
                    </w:rPr>
                    <w:t>垃圾、废弃物做到日产日清，化粪池、隔油池保持常年干净、清洁，无积水、无异味，承担垃圾的清理工作；</w:t>
                  </w:r>
                </w:p>
                <w:p>
                  <w:pPr>
                    <w:pStyle w:val="null3"/>
                    <w:jc w:val="both"/>
                  </w:pPr>
                  <w:r>
                    <w:rPr>
                      <w:rFonts w:ascii="仿宋_GB2312" w:hAnsi="仿宋_GB2312" w:cs="仿宋_GB2312" w:eastAsia="仿宋_GB2312"/>
                      <w:sz w:val="21"/>
                    </w:rPr>
                    <w:t>绿化带内无烟蒂、无碎石、无垃圾、无杂物，一经发现立即清除。</w:t>
                  </w:r>
                </w:p>
                <w:p>
                  <w:pPr>
                    <w:pStyle w:val="null3"/>
                    <w:jc w:val="both"/>
                  </w:pPr>
                  <w:r>
                    <w:rPr>
                      <w:rFonts w:ascii="仿宋_GB2312" w:hAnsi="仿宋_GB2312" w:cs="仿宋_GB2312" w:eastAsia="仿宋_GB2312"/>
                      <w:sz w:val="21"/>
                    </w:rPr>
                    <w:t>大理石、花岗岩地面定期保养（一季度一次）；</w:t>
                  </w:r>
                </w:p>
                <w:p>
                  <w:pPr>
                    <w:pStyle w:val="null3"/>
                    <w:jc w:val="both"/>
                  </w:pPr>
                  <w:r>
                    <w:rPr>
                      <w:rFonts w:ascii="仿宋_GB2312" w:hAnsi="仿宋_GB2312" w:cs="仿宋_GB2312" w:eastAsia="仿宋_GB2312"/>
                      <w:sz w:val="21"/>
                    </w:rPr>
                    <w:t>生活水箱清洗一年至少两次、水池清洗一年至少一次；</w:t>
                  </w:r>
                </w:p>
                <w:p>
                  <w:pPr>
                    <w:pStyle w:val="null3"/>
                    <w:jc w:val="both"/>
                  </w:pPr>
                  <w:r>
                    <w:rPr>
                      <w:rFonts w:ascii="仿宋_GB2312" w:hAnsi="仿宋_GB2312" w:cs="仿宋_GB2312" w:eastAsia="仿宋_GB2312"/>
                      <w:sz w:val="21"/>
                    </w:rPr>
                    <w:t>地库每天清扫地面垃圾杂物，特别是车上的抛弃物，保持地面无垃圾杂物、无积水、无明显泥土，保持整洁；雨天增加清扫力度，发现积水及时清理；</w:t>
                  </w:r>
                </w:p>
                <w:p>
                  <w:pPr>
                    <w:pStyle w:val="null3"/>
                    <w:jc w:val="both"/>
                  </w:pPr>
                  <w:r>
                    <w:rPr>
                      <w:rFonts w:ascii="仿宋_GB2312" w:hAnsi="仿宋_GB2312" w:cs="仿宋_GB2312" w:eastAsia="仿宋_GB2312"/>
                      <w:sz w:val="21"/>
                    </w:rPr>
                    <w:t>建立“四害”消杀工作管理制度，定期开展消杀工作，有效控制鼠、蟑、蝇、蚊等害虫孳生，定期对各类病虫害进行预防控制，适时投放消杀药物和设施。</w:t>
                  </w:r>
                </w:p>
              </w:tc>
            </w:tr>
          </w:tbl>
          <w:p>
            <w:pPr>
              <w:pStyle w:val="null3"/>
              <w:jc w:val="both"/>
              <w:outlineLvl w:val="1"/>
            </w:pPr>
            <w:r>
              <w:rPr>
                <w:rFonts w:ascii="仿宋_GB2312" w:hAnsi="仿宋_GB2312" w:cs="仿宋_GB2312" w:eastAsia="仿宋_GB2312"/>
                <w:sz w:val="24"/>
                <w:b/>
                <w:color w:val="000000"/>
              </w:rPr>
              <w:t>8.食堂卫生</w:t>
            </w:r>
          </w:p>
          <w:tbl>
            <w:tblPr>
              <w:tblBorders>
                <w:top w:val="none" w:color="000000" w:sz="4"/>
                <w:left w:val="none" w:color="000000" w:sz="4"/>
                <w:bottom w:val="none" w:color="000000" w:sz="4"/>
                <w:right w:val="none" w:color="000000" w:sz="4"/>
                <w:insideH w:val="none"/>
                <w:insideV w:val="none"/>
              </w:tblBorders>
            </w:tblPr>
            <w:tblGrid>
              <w:gridCol w:w="741"/>
              <w:gridCol w:w="4856"/>
            </w:tblGrid>
            <w:tr>
              <w:tc>
                <w:tcPr>
                  <w:tcW w:type="dxa" w:w="74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服务内容</w:t>
                  </w:r>
                </w:p>
              </w:tc>
              <w:tc>
                <w:tcPr>
                  <w:tcW w:type="dxa" w:w="48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服务质量标准</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食堂卫生</w:t>
                  </w:r>
                </w:p>
              </w:tc>
              <w:tc>
                <w:tcPr>
                  <w:tcW w:type="dxa" w:w="48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每日早、中、晚在采购人就餐完毕后负责对食堂就餐区内的餐桌、座椅、地面进行清洁并消毒；</w:t>
                  </w:r>
                </w:p>
                <w:p>
                  <w:pPr>
                    <w:pStyle w:val="null3"/>
                    <w:jc w:val="both"/>
                  </w:pPr>
                  <w:r>
                    <w:rPr>
                      <w:rFonts w:ascii="仿宋_GB2312" w:hAnsi="仿宋_GB2312" w:cs="仿宋_GB2312" w:eastAsia="仿宋_GB2312"/>
                      <w:sz w:val="21"/>
                    </w:rPr>
                    <w:t>每日对食堂就餐区的门窗、台面等进行清洁；</w:t>
                  </w:r>
                </w:p>
                <w:p>
                  <w:pPr>
                    <w:pStyle w:val="null3"/>
                    <w:jc w:val="both"/>
                  </w:pPr>
                  <w:r>
                    <w:rPr>
                      <w:rFonts w:ascii="仿宋_GB2312" w:hAnsi="仿宋_GB2312" w:cs="仿宋_GB2312" w:eastAsia="仿宋_GB2312"/>
                      <w:sz w:val="21"/>
                    </w:rPr>
                    <w:t>对食堂餐厨垃圾进行清理和转运；</w:t>
                  </w:r>
                </w:p>
                <w:p>
                  <w:pPr>
                    <w:pStyle w:val="null3"/>
                    <w:jc w:val="both"/>
                  </w:pPr>
                  <w:r>
                    <w:rPr>
                      <w:rFonts w:ascii="仿宋_GB2312" w:hAnsi="仿宋_GB2312" w:cs="仿宋_GB2312" w:eastAsia="仿宋_GB2312"/>
                      <w:sz w:val="21"/>
                    </w:rPr>
                    <w:t>其他应急情况下的食堂保洁工作。</w:t>
                  </w:r>
                </w:p>
              </w:tc>
            </w:tr>
          </w:tbl>
          <w:p>
            <w:pPr>
              <w:pStyle w:val="null3"/>
              <w:jc w:val="both"/>
              <w:outlineLvl w:val="1"/>
            </w:pPr>
            <w:r>
              <w:rPr>
                <w:rFonts w:ascii="仿宋_GB2312" w:hAnsi="仿宋_GB2312" w:cs="仿宋_GB2312" w:eastAsia="仿宋_GB2312"/>
                <w:sz w:val="24"/>
                <w:b/>
                <w:color w:val="000000"/>
              </w:rPr>
              <w:t>9.办公区域卫生</w:t>
            </w:r>
          </w:p>
          <w:tbl>
            <w:tblPr>
              <w:tblBorders>
                <w:top w:val="none" w:color="000000" w:sz="4"/>
                <w:left w:val="none" w:color="000000" w:sz="4"/>
                <w:bottom w:val="none" w:color="000000" w:sz="4"/>
                <w:right w:val="none" w:color="000000" w:sz="4"/>
                <w:insideH w:val="none"/>
                <w:insideV w:val="none"/>
              </w:tblBorders>
            </w:tblPr>
            <w:tblGrid>
              <w:gridCol w:w="741"/>
              <w:gridCol w:w="4856"/>
            </w:tblGrid>
            <w:tr>
              <w:tc>
                <w:tcPr>
                  <w:tcW w:type="dxa" w:w="74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服务内容</w:t>
                  </w:r>
                </w:p>
              </w:tc>
              <w:tc>
                <w:tcPr>
                  <w:tcW w:type="dxa" w:w="48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服务质量标准</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办公区域卫生</w:t>
                  </w:r>
                </w:p>
              </w:tc>
              <w:tc>
                <w:tcPr>
                  <w:tcW w:type="dxa" w:w="48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会议室卫生：开会前对会议室进行保洁，每次会议完后对会议室进行清扫；</w:t>
                  </w:r>
                </w:p>
                <w:p>
                  <w:pPr>
                    <w:pStyle w:val="null3"/>
                    <w:jc w:val="both"/>
                  </w:pPr>
                  <w:r>
                    <w:rPr>
                      <w:rFonts w:ascii="仿宋_GB2312" w:hAnsi="仿宋_GB2312" w:cs="仿宋_GB2312" w:eastAsia="仿宋_GB2312"/>
                      <w:sz w:val="21"/>
                    </w:rPr>
                    <w:t>重点办公室：地面、桌面、办公家具等日常保洁，垃圾清理；</w:t>
                  </w:r>
                </w:p>
                <w:p>
                  <w:pPr>
                    <w:pStyle w:val="null3"/>
                    <w:jc w:val="both"/>
                  </w:pPr>
                  <w:r>
                    <w:rPr>
                      <w:rFonts w:ascii="仿宋_GB2312" w:hAnsi="仿宋_GB2312" w:cs="仿宋_GB2312" w:eastAsia="仿宋_GB2312"/>
                      <w:sz w:val="21"/>
                    </w:rPr>
                    <w:t>所有办公室：室内玻璃保洁一年至少两次、窗帘定期保洁一年至少一次）；</w:t>
                  </w:r>
                </w:p>
                <w:p>
                  <w:pPr>
                    <w:pStyle w:val="null3"/>
                    <w:jc w:val="both"/>
                  </w:pPr>
                  <w:r>
                    <w:rPr>
                      <w:rFonts w:ascii="仿宋_GB2312" w:hAnsi="仿宋_GB2312" w:cs="仿宋_GB2312" w:eastAsia="仿宋_GB2312"/>
                      <w:sz w:val="21"/>
                    </w:rPr>
                    <w:t>值班室、休息室、活动室等日常保洁（每周至少一次）。</w:t>
                  </w:r>
                </w:p>
              </w:tc>
            </w:tr>
          </w:tbl>
          <w:p>
            <w:pPr>
              <w:pStyle w:val="null3"/>
              <w:jc w:val="both"/>
              <w:outlineLvl w:val="1"/>
            </w:pPr>
            <w:r>
              <w:rPr>
                <w:rFonts w:ascii="仿宋_GB2312" w:hAnsi="仿宋_GB2312" w:cs="仿宋_GB2312" w:eastAsia="仿宋_GB2312"/>
                <w:sz w:val="24"/>
                <w:b/>
                <w:color w:val="000000"/>
              </w:rPr>
              <w:t>10.垃圾分类工作</w:t>
            </w:r>
          </w:p>
          <w:tbl>
            <w:tblPr>
              <w:tblBorders>
                <w:top w:val="none" w:color="000000" w:sz="4"/>
                <w:left w:val="none" w:color="000000" w:sz="4"/>
                <w:bottom w:val="none" w:color="000000" w:sz="4"/>
                <w:right w:val="none" w:color="000000" w:sz="4"/>
                <w:insideH w:val="none"/>
                <w:insideV w:val="none"/>
              </w:tblBorders>
            </w:tblPr>
            <w:tblGrid>
              <w:gridCol w:w="835"/>
              <w:gridCol w:w="4762"/>
            </w:tblGrid>
            <w:tr>
              <w:tc>
                <w:tcPr>
                  <w:tcW w:type="dxa" w:w="83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服务内容</w:t>
                  </w:r>
                </w:p>
              </w:tc>
              <w:tc>
                <w:tcPr>
                  <w:tcW w:type="dxa" w:w="47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服务质量标准</w:t>
                  </w:r>
                </w:p>
              </w:tc>
            </w:tr>
            <w:tr>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垃圾分类工作</w:t>
                  </w:r>
                </w:p>
              </w:tc>
              <w:tc>
                <w:tcPr>
                  <w:tcW w:type="dxa" w:w="47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设置垃圾分类劝导员，协助采购人做好垃圾分类工作；</w:t>
                  </w:r>
                </w:p>
                <w:p>
                  <w:pPr>
                    <w:pStyle w:val="null3"/>
                    <w:jc w:val="both"/>
                  </w:pPr>
                  <w:r>
                    <w:rPr>
                      <w:rFonts w:ascii="仿宋_GB2312" w:hAnsi="仿宋_GB2312" w:cs="仿宋_GB2312" w:eastAsia="仿宋_GB2312"/>
                      <w:sz w:val="21"/>
                    </w:rPr>
                    <w:t>垃圾按分类要求进行收集，做到日产日清，垃圾箱外侧表面清洁、内侧无残留物，无异味；</w:t>
                  </w:r>
                </w:p>
              </w:tc>
            </w:tr>
          </w:tbl>
          <w:p>
            <w:pPr>
              <w:pStyle w:val="null3"/>
              <w:jc w:val="both"/>
              <w:outlineLvl w:val="1"/>
            </w:pPr>
            <w:r>
              <w:rPr>
                <w:rFonts w:ascii="仿宋_GB2312" w:hAnsi="仿宋_GB2312" w:cs="仿宋_GB2312" w:eastAsia="仿宋_GB2312"/>
                <w:sz w:val="24"/>
                <w:b/>
                <w:color w:val="000000"/>
              </w:rPr>
              <w:t>11.医废转运工作</w:t>
            </w:r>
          </w:p>
          <w:tbl>
            <w:tblPr>
              <w:tblBorders>
                <w:top w:val="none" w:color="000000" w:sz="4"/>
                <w:left w:val="none" w:color="000000" w:sz="4"/>
                <w:bottom w:val="none" w:color="000000" w:sz="4"/>
                <w:right w:val="none" w:color="000000" w:sz="4"/>
                <w:insideH w:val="none"/>
                <w:insideV w:val="none"/>
              </w:tblBorders>
            </w:tblPr>
            <w:tblGrid>
              <w:gridCol w:w="835"/>
              <w:gridCol w:w="4762"/>
            </w:tblGrid>
            <w:tr>
              <w:tc>
                <w:tcPr>
                  <w:tcW w:type="dxa" w:w="83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服务内容</w:t>
                  </w:r>
                </w:p>
              </w:tc>
              <w:tc>
                <w:tcPr>
                  <w:tcW w:type="dxa" w:w="47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服务质量标准</w:t>
                  </w:r>
                </w:p>
              </w:tc>
            </w:tr>
            <w:tr>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医废转运工作</w:t>
                  </w:r>
                </w:p>
              </w:tc>
              <w:tc>
                <w:tcPr>
                  <w:tcW w:type="dxa" w:w="47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对实验室产生的医疗废弃物进行收集，打包、分类，称重、贴上分类标签；</w:t>
                  </w:r>
                </w:p>
                <w:p>
                  <w:pPr>
                    <w:pStyle w:val="null3"/>
                    <w:jc w:val="both"/>
                  </w:pPr>
                  <w:r>
                    <w:rPr>
                      <w:rFonts w:ascii="仿宋_GB2312" w:hAnsi="仿宋_GB2312" w:cs="仿宋_GB2312" w:eastAsia="仿宋_GB2312"/>
                      <w:sz w:val="21"/>
                    </w:rPr>
                    <w:t>将实验室产生的医疗废弃物按照规定的路线集中转运至采购人消毒供应室高压灭菌无害化处理或医疗废弃物暂存点（特垃房），并与相关人员做好交接记录；</w:t>
                  </w:r>
                </w:p>
                <w:p>
                  <w:pPr>
                    <w:pStyle w:val="null3"/>
                    <w:jc w:val="both"/>
                  </w:pPr>
                  <w:r>
                    <w:rPr>
                      <w:rFonts w:ascii="仿宋_GB2312" w:hAnsi="仿宋_GB2312" w:cs="仿宋_GB2312" w:eastAsia="仿宋_GB2312"/>
                      <w:sz w:val="21"/>
                    </w:rPr>
                    <w:t>协助采购人工作人员对医废流转区域做好卫生打扫，每日转运完毕后对转运车辆及暂存点进行清洁和消毒处理并记录；</w:t>
                  </w:r>
                </w:p>
                <w:p>
                  <w:pPr>
                    <w:pStyle w:val="null3"/>
                    <w:jc w:val="both"/>
                  </w:pPr>
                  <w:r>
                    <w:rPr>
                      <w:rFonts w:ascii="仿宋_GB2312" w:hAnsi="仿宋_GB2312" w:cs="仿宋_GB2312" w:eastAsia="仿宋_GB2312"/>
                      <w:sz w:val="21"/>
                    </w:rPr>
                    <w:t>工作人员掌握自我防护及职业暴露处理方法，工作人员转运时必须按院感要求做好个人防护，防止医疗 废物直接接触身体；工作人员上班时必须穿工作服，戴工作帽，口罩，手套，穿长筒防护靴，做好个人防护，防止感染和损伤；</w:t>
                  </w:r>
                </w:p>
                <w:p>
                  <w:pPr>
                    <w:pStyle w:val="null3"/>
                    <w:jc w:val="both"/>
                  </w:pPr>
                  <w:r>
                    <w:rPr>
                      <w:rFonts w:ascii="仿宋_GB2312" w:hAnsi="仿宋_GB2312" w:cs="仿宋_GB2312" w:eastAsia="仿宋_GB2312"/>
                      <w:sz w:val="21"/>
                    </w:rPr>
                    <w:t>装卸应轻拿轻放，避免包装破损。若发现包装损坏或泄漏，需立即采取措施，如重新包装、清理泄漏物、对污染区域消毒等；</w:t>
                  </w:r>
                </w:p>
                <w:p>
                  <w:pPr>
                    <w:pStyle w:val="null3"/>
                    <w:jc w:val="both"/>
                  </w:pPr>
                  <w:r>
                    <w:rPr>
                      <w:rFonts w:ascii="仿宋_GB2312" w:hAnsi="仿宋_GB2312" w:cs="仿宋_GB2312" w:eastAsia="仿宋_GB2312"/>
                      <w:sz w:val="21"/>
                    </w:rPr>
                    <w:t>达到国家卫生城市对医疗转运的考核标准，对医疗垃圾收集、贮存、处置办法、转运流程等要求、符合国家《医疗废物管理规范》、《医疗卫生机构医疗废物管理条例》等。</w:t>
                  </w:r>
                </w:p>
              </w:tc>
            </w:tr>
          </w:tbl>
          <w:p>
            <w:pPr>
              <w:pStyle w:val="null3"/>
              <w:jc w:val="both"/>
              <w:outlineLvl w:val="1"/>
            </w:pPr>
            <w:r>
              <w:rPr>
                <w:rFonts w:ascii="仿宋_GB2312" w:hAnsi="仿宋_GB2312" w:cs="仿宋_GB2312" w:eastAsia="仿宋_GB2312"/>
                <w:sz w:val="24"/>
                <w:b/>
                <w:color w:val="000000"/>
              </w:rPr>
              <w:t>12.化粪池、沉油池清洗</w:t>
            </w:r>
          </w:p>
          <w:tbl>
            <w:tblPr>
              <w:tblBorders>
                <w:top w:val="none" w:color="000000" w:sz="4"/>
                <w:left w:val="none" w:color="000000" w:sz="4"/>
                <w:bottom w:val="none" w:color="000000" w:sz="4"/>
                <w:right w:val="none" w:color="000000" w:sz="4"/>
                <w:insideH w:val="none"/>
                <w:insideV w:val="none"/>
              </w:tblBorders>
            </w:tblPr>
            <w:tblGrid>
              <w:gridCol w:w="835"/>
              <w:gridCol w:w="4762"/>
            </w:tblGrid>
            <w:tr>
              <w:tc>
                <w:tcPr>
                  <w:tcW w:type="dxa" w:w="83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服务内容</w:t>
                  </w:r>
                </w:p>
              </w:tc>
              <w:tc>
                <w:tcPr>
                  <w:tcW w:type="dxa" w:w="47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服务质量标准</w:t>
                  </w:r>
                </w:p>
              </w:tc>
            </w:tr>
            <w:tr>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化粪池、沉油池清洗</w:t>
                  </w:r>
                </w:p>
              </w:tc>
              <w:tc>
                <w:tcPr>
                  <w:tcW w:type="dxa" w:w="47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沉油池清掏，做好清掏记录；（每季度一次）</w:t>
                  </w:r>
                </w:p>
                <w:p>
                  <w:pPr>
                    <w:pStyle w:val="null3"/>
                    <w:jc w:val="both"/>
                  </w:pPr>
                  <w:r>
                    <w:rPr>
                      <w:rFonts w:ascii="仿宋_GB2312" w:hAnsi="仿宋_GB2312" w:cs="仿宋_GB2312" w:eastAsia="仿宋_GB2312"/>
                      <w:sz w:val="21"/>
                    </w:rPr>
                    <w:t>化粪池清掏，做好清掏记录；（每半年一次）</w:t>
                  </w:r>
                </w:p>
                <w:p>
                  <w:pPr>
                    <w:pStyle w:val="null3"/>
                    <w:jc w:val="both"/>
                  </w:pPr>
                  <w:r>
                    <w:rPr>
                      <w:rFonts w:ascii="仿宋_GB2312" w:hAnsi="仿宋_GB2312" w:cs="仿宋_GB2312" w:eastAsia="仿宋_GB2312"/>
                      <w:sz w:val="21"/>
                    </w:rPr>
                    <w:t>遇到沉油池、化粪池堵塞时，及时进行疏通。</w:t>
                  </w:r>
                </w:p>
              </w:tc>
            </w:tr>
          </w:tbl>
          <w:p>
            <w:pPr>
              <w:pStyle w:val="null3"/>
              <w:jc w:val="both"/>
              <w:outlineLvl w:val="1"/>
            </w:pPr>
            <w:r>
              <w:rPr>
                <w:rFonts w:ascii="仿宋_GB2312" w:hAnsi="仿宋_GB2312" w:cs="仿宋_GB2312" w:eastAsia="仿宋_GB2312"/>
                <w:sz w:val="24"/>
                <w:b/>
                <w:color w:val="000000"/>
              </w:rPr>
              <w:t>13.公共部位绿化养护</w:t>
            </w:r>
          </w:p>
          <w:tbl>
            <w:tblPr>
              <w:tblBorders>
                <w:top w:val="none" w:color="000000" w:sz="4"/>
                <w:left w:val="none" w:color="000000" w:sz="4"/>
                <w:bottom w:val="none" w:color="000000" w:sz="4"/>
                <w:right w:val="none" w:color="000000" w:sz="4"/>
                <w:insideH w:val="none"/>
                <w:insideV w:val="none"/>
              </w:tblBorders>
            </w:tblPr>
            <w:tblGrid>
              <w:gridCol w:w="835"/>
              <w:gridCol w:w="4762"/>
            </w:tblGrid>
            <w:tr>
              <w:tc>
                <w:tcPr>
                  <w:tcW w:type="dxa" w:w="83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服务内容</w:t>
                  </w:r>
                </w:p>
              </w:tc>
              <w:tc>
                <w:tcPr>
                  <w:tcW w:type="dxa" w:w="47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服务质量标准</w:t>
                  </w:r>
                </w:p>
              </w:tc>
            </w:tr>
            <w:tr>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公共部位绿化养护</w:t>
                  </w:r>
                </w:p>
              </w:tc>
              <w:tc>
                <w:tcPr>
                  <w:tcW w:type="dxa" w:w="47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绿化区域进行除草、灌溉、施肥（每年2次及以上）、整形修剪、防治病虫害等；</w:t>
                  </w:r>
                </w:p>
                <w:p>
                  <w:pPr>
                    <w:pStyle w:val="null3"/>
                    <w:jc w:val="both"/>
                  </w:pPr>
                  <w:r>
                    <w:rPr>
                      <w:rFonts w:ascii="仿宋_GB2312" w:hAnsi="仿宋_GB2312" w:cs="仿宋_GB2312" w:eastAsia="仿宋_GB2312"/>
                      <w:sz w:val="21"/>
                    </w:rPr>
                    <w:t>草坪保持常年翠绿，无杂草、无干枯坏死和病虫侵害，基本无裸露土地；</w:t>
                  </w:r>
                </w:p>
                <w:p>
                  <w:pPr>
                    <w:pStyle w:val="null3"/>
                    <w:jc w:val="both"/>
                  </w:pPr>
                  <w:r>
                    <w:rPr>
                      <w:rFonts w:ascii="仿宋_GB2312" w:hAnsi="仿宋_GB2312" w:cs="仿宋_GB2312" w:eastAsia="仿宋_GB2312"/>
                      <w:sz w:val="21"/>
                    </w:rPr>
                    <w:t>植株修剪及时，做到枝叶紧密、圆整，无脱节、枯枝。防治、灭治病虫害，主要病虫害发生率低于5%，无倾斜、缺枝、空档，对影响安全的绿植需进行处理；</w:t>
                  </w:r>
                </w:p>
                <w:p>
                  <w:pPr>
                    <w:pStyle w:val="null3"/>
                    <w:jc w:val="both"/>
                  </w:pPr>
                  <w:r>
                    <w:rPr>
                      <w:rFonts w:ascii="仿宋_GB2312" w:hAnsi="仿宋_GB2312" w:cs="仿宋_GB2312" w:eastAsia="仿宋_GB2312"/>
                      <w:sz w:val="21"/>
                    </w:rPr>
                    <w:t>绿篱生长造型正常，颜色正常，修剪及时，基本无死株和干死株，有虫株率在10%以下；</w:t>
                  </w:r>
                </w:p>
                <w:p>
                  <w:pPr>
                    <w:pStyle w:val="null3"/>
                    <w:jc w:val="both"/>
                  </w:pPr>
                  <w:r>
                    <w:rPr>
                      <w:rFonts w:ascii="仿宋_GB2312" w:hAnsi="仿宋_GB2312" w:cs="仿宋_GB2312" w:eastAsia="仿宋_GB2312"/>
                      <w:sz w:val="21"/>
                    </w:rPr>
                    <w:t>清除花坛和花景的花蒂、黄叶、杂草、垃圾，做好病虫害防治。</w:t>
                  </w:r>
                </w:p>
                <w:p>
                  <w:pPr>
                    <w:pStyle w:val="null3"/>
                    <w:jc w:val="both"/>
                  </w:pPr>
                  <w:r>
                    <w:rPr>
                      <w:rFonts w:ascii="仿宋_GB2312" w:hAnsi="仿宋_GB2312" w:cs="仿宋_GB2312" w:eastAsia="仿宋_GB2312"/>
                      <w:sz w:val="21"/>
                    </w:rPr>
                    <w:t>绿化生产垃圾须清运。</w:t>
                  </w:r>
                </w:p>
              </w:tc>
            </w:tr>
          </w:tbl>
          <w:p>
            <w:pPr>
              <w:pStyle w:val="null3"/>
              <w:jc w:val="both"/>
              <w:outlineLvl w:val="1"/>
            </w:pPr>
            <w:r>
              <w:rPr>
                <w:rFonts w:ascii="仿宋_GB2312" w:hAnsi="仿宋_GB2312" w:cs="仿宋_GB2312" w:eastAsia="仿宋_GB2312"/>
                <w:sz w:val="24"/>
                <w:b/>
                <w:color w:val="000000"/>
              </w:rPr>
              <w:t>14.房屋建筑主体及公共设施设备日常维护</w:t>
            </w:r>
          </w:p>
          <w:tbl>
            <w:tblPr>
              <w:tblBorders>
                <w:top w:val="none" w:color="000000" w:sz="4"/>
                <w:left w:val="none" w:color="000000" w:sz="4"/>
                <w:bottom w:val="none" w:color="000000" w:sz="4"/>
                <w:right w:val="none" w:color="000000" w:sz="4"/>
                <w:insideH w:val="none"/>
                <w:insideV w:val="none"/>
              </w:tblBorders>
            </w:tblPr>
            <w:tblGrid>
              <w:gridCol w:w="835"/>
              <w:gridCol w:w="4762"/>
            </w:tblGrid>
            <w:tr>
              <w:tc>
                <w:tcPr>
                  <w:tcW w:type="dxa" w:w="83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服务内容</w:t>
                  </w:r>
                </w:p>
              </w:tc>
              <w:tc>
                <w:tcPr>
                  <w:tcW w:type="dxa" w:w="47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服务质量标准</w:t>
                  </w:r>
                </w:p>
              </w:tc>
            </w:tr>
            <w:tr>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房屋建筑主体及公共设施设备日常维护</w:t>
                  </w:r>
                </w:p>
              </w:tc>
              <w:tc>
                <w:tcPr>
                  <w:tcW w:type="dxa" w:w="47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按规定建立房屋本体及配套设施等的物业管理资料档案，并妥善使用与保管；</w:t>
                  </w:r>
                </w:p>
                <w:p>
                  <w:pPr>
                    <w:pStyle w:val="null3"/>
                    <w:jc w:val="both"/>
                  </w:pPr>
                  <w:r>
                    <w:rPr>
                      <w:rFonts w:ascii="仿宋_GB2312" w:hAnsi="仿宋_GB2312" w:cs="仿宋_GB2312" w:eastAsia="仿宋_GB2312"/>
                      <w:sz w:val="21"/>
                    </w:rPr>
                    <w:t>建立房屋本体及配套设施维修养护检查制度，检查记录完整；</w:t>
                  </w:r>
                </w:p>
                <w:p>
                  <w:pPr>
                    <w:pStyle w:val="null3"/>
                    <w:jc w:val="both"/>
                  </w:pPr>
                  <w:r>
                    <w:rPr>
                      <w:rFonts w:ascii="仿宋_GB2312" w:hAnsi="仿宋_GB2312" w:cs="仿宋_GB2312" w:eastAsia="仿宋_GB2312"/>
                      <w:sz w:val="21"/>
                    </w:rPr>
                    <w:t>楼内外无违章乱贴、乱建、乱拉等现象；</w:t>
                  </w:r>
                </w:p>
                <w:p>
                  <w:pPr>
                    <w:pStyle w:val="null3"/>
                    <w:jc w:val="both"/>
                  </w:pPr>
                  <w:r>
                    <w:rPr>
                      <w:rFonts w:ascii="仿宋_GB2312" w:hAnsi="仿宋_GB2312" w:cs="仿宋_GB2312" w:eastAsia="仿宋_GB2312"/>
                      <w:sz w:val="21"/>
                    </w:rPr>
                    <w:t>无擅自改变房屋用途行为；</w:t>
                  </w:r>
                </w:p>
                <w:p>
                  <w:pPr>
                    <w:pStyle w:val="null3"/>
                    <w:jc w:val="both"/>
                  </w:pPr>
                  <w:r>
                    <w:rPr>
                      <w:rFonts w:ascii="仿宋_GB2312" w:hAnsi="仿宋_GB2312" w:cs="仿宋_GB2312" w:eastAsia="仿宋_GB2312"/>
                      <w:sz w:val="21"/>
                    </w:rPr>
                    <w:t>定期对大楼的供电供水及排水、电梯、消防、中央空调、公共照明等公用设施设备和房屋建筑主体结构进行维护检查；</w:t>
                  </w:r>
                </w:p>
                <w:p>
                  <w:pPr>
                    <w:pStyle w:val="null3"/>
                    <w:jc w:val="both"/>
                  </w:pPr>
                  <w:r>
                    <w:rPr>
                      <w:rFonts w:ascii="仿宋_GB2312" w:hAnsi="仿宋_GB2312" w:cs="仿宋_GB2312" w:eastAsia="仿宋_GB2312"/>
                      <w:sz w:val="21"/>
                    </w:rPr>
                    <w:t>定期对给排水系统进行维护、润滑；</w:t>
                  </w:r>
                </w:p>
                <w:p>
                  <w:pPr>
                    <w:pStyle w:val="null3"/>
                    <w:jc w:val="both"/>
                  </w:pPr>
                  <w:r>
                    <w:rPr>
                      <w:rFonts w:ascii="仿宋_GB2312" w:hAnsi="仿宋_GB2312" w:cs="仿宋_GB2312" w:eastAsia="仿宋_GB2312"/>
                      <w:sz w:val="21"/>
                    </w:rPr>
                    <w:t>强电系统各级配电柜、箱，照明、插座装置检查；</w:t>
                  </w:r>
                </w:p>
                <w:p>
                  <w:pPr>
                    <w:pStyle w:val="null3"/>
                    <w:jc w:val="both"/>
                  </w:pPr>
                  <w:r>
                    <w:rPr>
                      <w:rFonts w:ascii="仿宋_GB2312" w:hAnsi="仿宋_GB2312" w:cs="仿宋_GB2312" w:eastAsia="仿宋_GB2312"/>
                      <w:sz w:val="21"/>
                    </w:rPr>
                    <w:t>保证公共照明、水电气设施、广播系统等公共设施正常运行。公共设施、水电气每天检查一遍，发现故障或损坏应在30分钟内到场，12小时内维修完毕，属于市政设施设备的，应及时报采购人联系相关部门进行维修；</w:t>
                  </w:r>
                </w:p>
                <w:p>
                  <w:pPr>
                    <w:pStyle w:val="null3"/>
                    <w:jc w:val="both"/>
                  </w:pPr>
                  <w:r>
                    <w:rPr>
                      <w:rFonts w:ascii="仿宋_GB2312" w:hAnsi="仿宋_GB2312" w:cs="仿宋_GB2312" w:eastAsia="仿宋_GB2312"/>
                      <w:sz w:val="21"/>
                    </w:rPr>
                    <w:t>办公大楼外观完好、整洁；地面、墙台面、吊顶、楼梯、通风道等，是建材贴面的，无脱落；是玻璃幕墙的，清洁明亮、无破损；是涂料的，无脱落污渍；室外招牌整洁统一无安全隐患，墙面装饰无破损；</w:t>
                  </w:r>
                </w:p>
                <w:p>
                  <w:pPr>
                    <w:pStyle w:val="null3"/>
                    <w:jc w:val="both"/>
                  </w:pPr>
                  <w:r>
                    <w:rPr>
                      <w:rFonts w:ascii="仿宋_GB2312" w:hAnsi="仿宋_GB2312" w:cs="仿宋_GB2312" w:eastAsia="仿宋_GB2312"/>
                      <w:sz w:val="21"/>
                    </w:rPr>
                    <w:t>随时检查采购人房屋门窗情况，发现故障，及时修缮；对采购人要求更换的门锁、窗户锁等进行修缮，确保房屋、门窗等公用设施的完好和正常使用；</w:t>
                  </w:r>
                </w:p>
                <w:p>
                  <w:pPr>
                    <w:pStyle w:val="null3"/>
                    <w:jc w:val="both"/>
                  </w:pPr>
                  <w:r>
                    <w:rPr>
                      <w:rFonts w:ascii="仿宋_GB2312" w:hAnsi="仿宋_GB2312" w:cs="仿宋_GB2312" w:eastAsia="仿宋_GB2312"/>
                      <w:sz w:val="21"/>
                    </w:rPr>
                    <w:t>确保室外场地、道路等公用设施的完好和正常使用；</w:t>
                  </w:r>
                </w:p>
                <w:p>
                  <w:pPr>
                    <w:pStyle w:val="null3"/>
                    <w:jc w:val="both"/>
                  </w:pPr>
                  <w:r>
                    <w:rPr>
                      <w:rFonts w:ascii="仿宋_GB2312" w:hAnsi="仿宋_GB2312" w:cs="仿宋_GB2312" w:eastAsia="仿宋_GB2312"/>
                      <w:sz w:val="21"/>
                    </w:rPr>
                    <w:t>完成各项零星维修任务，一般维修任务确保不超过12小时，确保零星维修合格率100%；紧急维修须15分钟内到达现场；</w:t>
                  </w:r>
                </w:p>
                <w:p>
                  <w:pPr>
                    <w:pStyle w:val="null3"/>
                    <w:jc w:val="both"/>
                  </w:pPr>
                  <w:r>
                    <w:rPr>
                      <w:rFonts w:ascii="仿宋_GB2312" w:hAnsi="仿宋_GB2312" w:cs="仿宋_GB2312" w:eastAsia="仿宋_GB2312"/>
                      <w:sz w:val="21"/>
                    </w:rPr>
                    <w:t>熟练掌握水泵房、发电机房等其他设备房设备的相关知识，熟练掌握各类设备的内部结构及工作原理，严格遵守操作流程，能快速准确地操作设备；</w:t>
                  </w:r>
                </w:p>
                <w:p>
                  <w:pPr>
                    <w:pStyle w:val="null3"/>
                    <w:jc w:val="both"/>
                  </w:pPr>
                  <w:r>
                    <w:rPr>
                      <w:rFonts w:ascii="仿宋_GB2312" w:hAnsi="仿宋_GB2312" w:cs="仿宋_GB2312" w:eastAsia="仿宋_GB2312"/>
                      <w:sz w:val="21"/>
                    </w:rPr>
                    <w:t>值班人员或巡视人员应按要求做好设备运行监测工作，如发现问题，应上报，同时采取有效的、安全的措施迅速排除故障，确保设备安全运行；</w:t>
                  </w:r>
                </w:p>
                <w:p>
                  <w:pPr>
                    <w:pStyle w:val="null3"/>
                    <w:jc w:val="both"/>
                  </w:pPr>
                  <w:r>
                    <w:rPr>
                      <w:rFonts w:ascii="仿宋_GB2312" w:hAnsi="仿宋_GB2312" w:cs="仿宋_GB2312" w:eastAsia="仿宋_GB2312"/>
                      <w:sz w:val="21"/>
                    </w:rPr>
                    <w:t>上述维修所需的材料由采购人提供。</w:t>
                  </w:r>
                </w:p>
              </w:tc>
            </w:tr>
          </w:tbl>
          <w:p>
            <w:pPr>
              <w:pStyle w:val="null3"/>
              <w:jc w:val="both"/>
              <w:outlineLvl w:val="1"/>
            </w:pPr>
            <w:r>
              <w:rPr>
                <w:rFonts w:ascii="仿宋_GB2312" w:hAnsi="仿宋_GB2312" w:cs="仿宋_GB2312" w:eastAsia="仿宋_GB2312"/>
                <w:sz w:val="24"/>
                <w:b/>
                <w:color w:val="000000"/>
              </w:rPr>
              <w:t>15.标识标牌维护</w:t>
            </w:r>
          </w:p>
          <w:tbl>
            <w:tblPr>
              <w:tblBorders>
                <w:top w:val="none" w:color="000000" w:sz="4"/>
                <w:left w:val="none" w:color="000000" w:sz="4"/>
                <w:bottom w:val="none" w:color="000000" w:sz="4"/>
                <w:right w:val="none" w:color="000000" w:sz="4"/>
                <w:insideH w:val="none"/>
                <w:insideV w:val="none"/>
              </w:tblBorders>
            </w:tblPr>
            <w:tblGrid>
              <w:gridCol w:w="835"/>
              <w:gridCol w:w="4762"/>
            </w:tblGrid>
            <w:tr>
              <w:tc>
                <w:tcPr>
                  <w:tcW w:type="dxa" w:w="83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服务内容</w:t>
                  </w:r>
                </w:p>
              </w:tc>
              <w:tc>
                <w:tcPr>
                  <w:tcW w:type="dxa" w:w="47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服务质量标准</w:t>
                  </w:r>
                </w:p>
              </w:tc>
            </w:tr>
            <w:tr>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标识标牌维护</w:t>
                  </w:r>
                </w:p>
              </w:tc>
              <w:tc>
                <w:tcPr>
                  <w:tcW w:type="dxa" w:w="47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负责单位内各类标识标牌的张贴、更换工作，确保所有安全标识、提示标识、警示标识、指引标识、指示牌位置张贴得当、标识清晰完整。在提供维修、清洗等服务时应使用</w:t>
                  </w:r>
                  <w:r>
                    <w:rPr>
                      <w:rFonts w:ascii="仿宋_GB2312" w:hAnsi="仿宋_GB2312" w:cs="仿宋_GB2312" w:eastAsia="仿宋_GB2312"/>
                      <w:sz w:val="21"/>
                    </w:rPr>
                    <w:t>“</w:t>
                  </w:r>
                  <w:r>
                    <w:rPr>
                      <w:rFonts w:ascii="仿宋_GB2312" w:hAnsi="仿宋_GB2312" w:cs="仿宋_GB2312" w:eastAsia="仿宋_GB2312"/>
                      <w:sz w:val="21"/>
                    </w:rPr>
                    <w:t>维修进行中</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小心地滑</w:t>
                  </w:r>
                  <w:r>
                    <w:rPr>
                      <w:rFonts w:ascii="仿宋_GB2312" w:hAnsi="仿宋_GB2312" w:cs="仿宋_GB2312" w:eastAsia="仿宋_GB2312"/>
                      <w:sz w:val="21"/>
                    </w:rPr>
                    <w:t>”</w:t>
                  </w:r>
                  <w:r>
                    <w:rPr>
                      <w:rFonts w:ascii="仿宋_GB2312" w:hAnsi="仿宋_GB2312" w:cs="仿宋_GB2312" w:eastAsia="仿宋_GB2312"/>
                      <w:sz w:val="21"/>
                    </w:rPr>
                    <w:t>等临时性服务状态标识。</w:t>
                  </w:r>
                </w:p>
              </w:tc>
            </w:tr>
          </w:tbl>
          <w:p>
            <w:pPr>
              <w:pStyle w:val="null3"/>
              <w:jc w:val="both"/>
              <w:outlineLvl w:val="1"/>
            </w:pPr>
            <w:r>
              <w:rPr>
                <w:rFonts w:ascii="仿宋_GB2312" w:hAnsi="仿宋_GB2312" w:cs="仿宋_GB2312" w:eastAsia="仿宋_GB2312"/>
                <w:sz w:val="24"/>
                <w:b/>
                <w:color w:val="000000"/>
              </w:rPr>
              <w:t>16.特种设备-电梯管理</w:t>
            </w:r>
          </w:p>
          <w:tbl>
            <w:tblPr>
              <w:tblBorders>
                <w:top w:val="none" w:color="000000" w:sz="4"/>
                <w:left w:val="none" w:color="000000" w:sz="4"/>
                <w:bottom w:val="none" w:color="000000" w:sz="4"/>
                <w:right w:val="none" w:color="000000" w:sz="4"/>
                <w:insideH w:val="none"/>
                <w:insideV w:val="none"/>
              </w:tblBorders>
            </w:tblPr>
            <w:tblGrid>
              <w:gridCol w:w="835"/>
              <w:gridCol w:w="4762"/>
            </w:tblGrid>
            <w:tr>
              <w:tc>
                <w:tcPr>
                  <w:tcW w:type="dxa" w:w="83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服务内容</w:t>
                  </w:r>
                </w:p>
              </w:tc>
              <w:tc>
                <w:tcPr>
                  <w:tcW w:type="dxa" w:w="47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服务质量标准</w:t>
                  </w:r>
                </w:p>
              </w:tc>
            </w:tr>
            <w:tr>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特种设备-电梯管理</w:t>
                  </w:r>
                </w:p>
              </w:tc>
              <w:tc>
                <w:tcPr>
                  <w:tcW w:type="dxa" w:w="47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建立电梯运行管理、设备管理、安全管理制度，确保电梯按规定时间运行；</w:t>
                  </w:r>
                </w:p>
                <w:p>
                  <w:pPr>
                    <w:pStyle w:val="null3"/>
                    <w:jc w:val="both"/>
                  </w:pPr>
                  <w:r>
                    <w:rPr>
                      <w:rFonts w:ascii="仿宋_GB2312" w:hAnsi="仿宋_GB2312" w:cs="仿宋_GB2312" w:eastAsia="仿宋_GB2312"/>
                      <w:sz w:val="21"/>
                    </w:rPr>
                    <w:t>有专业人员对电梯保养进行监督，并对电梯运行进行管理，做好日常电梯运行的巡检与记录；</w:t>
                  </w:r>
                </w:p>
                <w:p>
                  <w:pPr>
                    <w:pStyle w:val="null3"/>
                    <w:jc w:val="both"/>
                  </w:pPr>
                  <w:r>
                    <w:rPr>
                      <w:rFonts w:ascii="仿宋_GB2312" w:hAnsi="仿宋_GB2312" w:cs="仿宋_GB2312" w:eastAsia="仿宋_GB2312"/>
                      <w:sz w:val="21"/>
                    </w:rPr>
                    <w:t>电梯在办公时段有效运行，电梯准确启动，运行平稳，停层准确；</w:t>
                  </w:r>
                </w:p>
                <w:p>
                  <w:pPr>
                    <w:pStyle w:val="null3"/>
                    <w:jc w:val="both"/>
                  </w:pPr>
                  <w:r>
                    <w:rPr>
                      <w:rFonts w:ascii="仿宋_GB2312" w:hAnsi="仿宋_GB2312" w:cs="仿宋_GB2312" w:eastAsia="仿宋_GB2312"/>
                      <w:sz w:val="21"/>
                    </w:rPr>
                    <w:t>轿厢内、外按钮及灯具等配件保持完好维持轿厢整洁；</w:t>
                  </w:r>
                </w:p>
                <w:p>
                  <w:pPr>
                    <w:pStyle w:val="null3"/>
                    <w:jc w:val="both"/>
                  </w:pPr>
                  <w:r>
                    <w:rPr>
                      <w:rFonts w:ascii="仿宋_GB2312" w:hAnsi="仿宋_GB2312" w:cs="仿宋_GB2312" w:eastAsia="仿宋_GB2312"/>
                      <w:sz w:val="21"/>
                    </w:rPr>
                    <w:t>配合第三方电梯维保公司做好电梯维修维保，确保电梯安全运行；</w:t>
                  </w:r>
                </w:p>
                <w:p>
                  <w:pPr>
                    <w:pStyle w:val="null3"/>
                    <w:jc w:val="both"/>
                  </w:pPr>
                  <w:r>
                    <w:rPr>
                      <w:rFonts w:ascii="仿宋_GB2312" w:hAnsi="仿宋_GB2312" w:cs="仿宋_GB2312" w:eastAsia="仿宋_GB2312"/>
                      <w:sz w:val="21"/>
                    </w:rPr>
                    <w:t>发生电梯困人或其他重大事件时，在三方维保人员到达前场前，由专业人员负责进行抢修和处理。</w:t>
                  </w:r>
                </w:p>
              </w:tc>
            </w:tr>
          </w:tbl>
          <w:p>
            <w:pPr>
              <w:pStyle w:val="null3"/>
              <w:jc w:val="both"/>
              <w:outlineLvl w:val="1"/>
            </w:pPr>
            <w:r>
              <w:rPr>
                <w:rFonts w:ascii="仿宋_GB2312" w:hAnsi="仿宋_GB2312" w:cs="仿宋_GB2312" w:eastAsia="仿宋_GB2312"/>
                <w:sz w:val="24"/>
                <w:b/>
                <w:color w:val="000000"/>
              </w:rPr>
              <w:t>17.特种设备-高压灭菌锅管理</w:t>
            </w:r>
          </w:p>
          <w:tbl>
            <w:tblPr>
              <w:tblBorders>
                <w:top w:val="none" w:color="000000" w:sz="4"/>
                <w:left w:val="none" w:color="000000" w:sz="4"/>
                <w:bottom w:val="none" w:color="000000" w:sz="4"/>
                <w:right w:val="none" w:color="000000" w:sz="4"/>
                <w:insideH w:val="none"/>
                <w:insideV w:val="none"/>
              </w:tblBorders>
            </w:tblPr>
            <w:tblGrid>
              <w:gridCol w:w="835"/>
              <w:gridCol w:w="4762"/>
            </w:tblGrid>
            <w:tr>
              <w:tc>
                <w:tcPr>
                  <w:tcW w:type="dxa" w:w="83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服务内容</w:t>
                  </w:r>
                </w:p>
              </w:tc>
              <w:tc>
                <w:tcPr>
                  <w:tcW w:type="dxa" w:w="47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服务质量标准</w:t>
                  </w:r>
                </w:p>
              </w:tc>
            </w:tr>
            <w:tr>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特种设备-高压灭菌锅管理</w:t>
                  </w:r>
                </w:p>
              </w:tc>
              <w:tc>
                <w:tcPr>
                  <w:tcW w:type="dxa" w:w="47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有专业人员协助采购人操作消毒供应室内的高压灭菌锅对实验室重复使用的器具进行消毒和对实验室产生的医疗废弃物进行高压灭菌处理；</w:t>
                  </w:r>
                </w:p>
                <w:p>
                  <w:pPr>
                    <w:pStyle w:val="null3"/>
                    <w:jc w:val="both"/>
                  </w:pPr>
                  <w:r>
                    <w:rPr>
                      <w:rFonts w:ascii="仿宋_GB2312" w:hAnsi="仿宋_GB2312" w:cs="仿宋_GB2312" w:eastAsia="仿宋_GB2312"/>
                      <w:sz w:val="21"/>
                    </w:rPr>
                    <w:t>建立高压灭菌锅运行管理、设备管理、安全管理制度，确保高压灭菌锅安全运行；</w:t>
                  </w:r>
                </w:p>
                <w:p>
                  <w:pPr>
                    <w:pStyle w:val="null3"/>
                    <w:jc w:val="both"/>
                  </w:pPr>
                  <w:r>
                    <w:rPr>
                      <w:rFonts w:ascii="仿宋_GB2312" w:hAnsi="仿宋_GB2312" w:cs="仿宋_GB2312" w:eastAsia="仿宋_GB2312"/>
                      <w:sz w:val="21"/>
                    </w:rPr>
                    <w:t>高压灭菌锅使用完后，负责对锅体及房间进行清洁，并做好记录；</w:t>
                  </w:r>
                </w:p>
                <w:p>
                  <w:pPr>
                    <w:pStyle w:val="null3"/>
                    <w:jc w:val="both"/>
                  </w:pPr>
                  <w:r>
                    <w:rPr>
                      <w:rFonts w:ascii="仿宋_GB2312" w:hAnsi="仿宋_GB2312" w:cs="仿宋_GB2312" w:eastAsia="仿宋_GB2312"/>
                      <w:sz w:val="21"/>
                    </w:rPr>
                    <w:t>配合第三方维保公司做好高压灭菌锅的维修维保和检定，确保设备正常运行。</w:t>
                  </w:r>
                </w:p>
              </w:tc>
            </w:tr>
          </w:tbl>
          <w:p>
            <w:pPr>
              <w:pStyle w:val="null3"/>
              <w:jc w:val="both"/>
              <w:outlineLvl w:val="1"/>
            </w:pPr>
            <w:r>
              <w:rPr>
                <w:rFonts w:ascii="仿宋_GB2312" w:hAnsi="仿宋_GB2312" w:cs="仿宋_GB2312" w:eastAsia="仿宋_GB2312"/>
                <w:sz w:val="24"/>
                <w:b/>
                <w:color w:val="000000"/>
              </w:rPr>
              <w:t>18.专业设备-中央空调、分体空调、冰蓄冷空调、实验室送排风系统管理</w:t>
            </w:r>
          </w:p>
          <w:tbl>
            <w:tblPr>
              <w:tblBorders>
                <w:top w:val="none" w:color="000000" w:sz="4"/>
                <w:left w:val="none" w:color="000000" w:sz="4"/>
                <w:bottom w:val="none" w:color="000000" w:sz="4"/>
                <w:right w:val="none" w:color="000000" w:sz="4"/>
                <w:insideH w:val="none"/>
                <w:insideV w:val="none"/>
              </w:tblBorders>
            </w:tblPr>
            <w:tblGrid>
              <w:gridCol w:w="1206"/>
              <w:gridCol w:w="4391"/>
            </w:tblGrid>
            <w:tr>
              <w:tc>
                <w:tcPr>
                  <w:tcW w:type="dxa" w:w="120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服务内容</w:t>
                  </w:r>
                </w:p>
              </w:tc>
              <w:tc>
                <w:tcPr>
                  <w:tcW w:type="dxa" w:w="43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服务质量标准</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专业设备-中央空调、分体空调、冰蓄冷空调、实验室送排风系统管理</w:t>
                  </w:r>
                </w:p>
              </w:tc>
              <w:tc>
                <w:tcPr>
                  <w:tcW w:type="dxa" w:w="4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熟练掌握中央空调、分体空调、冰蓄冷空调及天然气锅炉、实验室送排风系统；</w:t>
                  </w:r>
                </w:p>
                <w:p>
                  <w:pPr>
                    <w:pStyle w:val="null3"/>
                    <w:jc w:val="both"/>
                  </w:pPr>
                  <w:r>
                    <w:rPr>
                      <w:rFonts w:ascii="仿宋_GB2312" w:hAnsi="仿宋_GB2312" w:cs="仿宋_GB2312" w:eastAsia="仿宋_GB2312"/>
                      <w:sz w:val="21"/>
                    </w:rPr>
                    <w:t>建立运行管理、设备管理、安全管理制度，确保空调及送排风系统按规定时间运行；</w:t>
                  </w:r>
                </w:p>
                <w:p>
                  <w:pPr>
                    <w:pStyle w:val="null3"/>
                    <w:jc w:val="both"/>
                  </w:pPr>
                  <w:r>
                    <w:rPr>
                      <w:rFonts w:ascii="仿宋_GB2312" w:hAnsi="仿宋_GB2312" w:cs="仿宋_GB2312" w:eastAsia="仿宋_GB2312"/>
                      <w:sz w:val="21"/>
                    </w:rPr>
                    <w:t>负责空调及送排风系统的日常开关，调节，并对设备运行状态进行检查，对不涉及换件的故障进行检修，并做好检查记录；</w:t>
                  </w:r>
                </w:p>
                <w:p>
                  <w:pPr>
                    <w:pStyle w:val="null3"/>
                    <w:jc w:val="both"/>
                  </w:pPr>
                  <w:r>
                    <w:rPr>
                      <w:rFonts w:ascii="仿宋_GB2312" w:hAnsi="仿宋_GB2312" w:cs="仿宋_GB2312" w:eastAsia="仿宋_GB2312"/>
                      <w:sz w:val="21"/>
                    </w:rPr>
                    <w:t>配合第三方空调维保公司做好空调维修维保，确保空调正常运行。</w:t>
                  </w:r>
                </w:p>
              </w:tc>
            </w:tr>
          </w:tbl>
          <w:p>
            <w:pPr>
              <w:pStyle w:val="null3"/>
              <w:jc w:val="both"/>
              <w:outlineLvl w:val="1"/>
            </w:pPr>
            <w:r>
              <w:rPr>
                <w:rFonts w:ascii="仿宋_GB2312" w:hAnsi="仿宋_GB2312" w:cs="仿宋_GB2312" w:eastAsia="仿宋_GB2312"/>
                <w:sz w:val="24"/>
                <w:b/>
                <w:color w:val="000000"/>
              </w:rPr>
              <w:t>19.专业设备-二次供水设备维护</w:t>
            </w:r>
          </w:p>
          <w:tbl>
            <w:tblPr>
              <w:tblBorders>
                <w:top w:val="none" w:color="000000" w:sz="4"/>
                <w:left w:val="none" w:color="000000" w:sz="4"/>
                <w:bottom w:val="none" w:color="000000" w:sz="4"/>
                <w:right w:val="none" w:color="000000" w:sz="4"/>
                <w:insideH w:val="none"/>
                <w:insideV w:val="none"/>
              </w:tblBorders>
            </w:tblPr>
            <w:tblGrid>
              <w:gridCol w:w="1206"/>
              <w:gridCol w:w="4391"/>
            </w:tblGrid>
            <w:tr>
              <w:tc>
                <w:tcPr>
                  <w:tcW w:type="dxa" w:w="120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服务内容</w:t>
                  </w:r>
                </w:p>
              </w:tc>
              <w:tc>
                <w:tcPr>
                  <w:tcW w:type="dxa" w:w="43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服务质量标准</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专业设备-二次供水设备维护</w:t>
                  </w:r>
                </w:p>
              </w:tc>
              <w:tc>
                <w:tcPr>
                  <w:tcW w:type="dxa" w:w="4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负责二次供水设备的日常检查、调节等，并对设备运行状态进行检查，对不涉及换件的故障进行检修，做好检查记录；</w:t>
                  </w:r>
                </w:p>
                <w:p>
                  <w:pPr>
                    <w:pStyle w:val="null3"/>
                    <w:jc w:val="both"/>
                  </w:pPr>
                  <w:r>
                    <w:rPr>
                      <w:rFonts w:ascii="仿宋_GB2312" w:hAnsi="仿宋_GB2312" w:cs="仿宋_GB2312" w:eastAsia="仿宋_GB2312"/>
                      <w:sz w:val="21"/>
                    </w:rPr>
                    <w:t>每半年清洗一次水箱，每季度做一次水质检测，确保水质达标；</w:t>
                  </w:r>
                </w:p>
                <w:p>
                  <w:pPr>
                    <w:pStyle w:val="null3"/>
                    <w:jc w:val="both"/>
                  </w:pPr>
                  <w:r>
                    <w:rPr>
                      <w:rFonts w:ascii="仿宋_GB2312" w:hAnsi="仿宋_GB2312" w:cs="仿宋_GB2312" w:eastAsia="仿宋_GB2312"/>
                      <w:sz w:val="21"/>
                    </w:rPr>
                    <w:t>配合第三方公司做好设施设备的维修工作。</w:t>
                  </w:r>
                </w:p>
              </w:tc>
            </w:tr>
          </w:tbl>
          <w:p>
            <w:pPr>
              <w:pStyle w:val="null3"/>
              <w:jc w:val="both"/>
              <w:outlineLvl w:val="1"/>
            </w:pPr>
            <w:r>
              <w:rPr>
                <w:rFonts w:ascii="仿宋_GB2312" w:hAnsi="仿宋_GB2312" w:cs="仿宋_GB2312" w:eastAsia="仿宋_GB2312"/>
                <w:sz w:val="24"/>
                <w:b/>
                <w:color w:val="000000"/>
              </w:rPr>
              <w:t>20.专业设备-应急发电设备维护</w:t>
            </w:r>
          </w:p>
          <w:tbl>
            <w:tblPr>
              <w:tblBorders>
                <w:top w:val="none" w:color="000000" w:sz="4"/>
                <w:left w:val="none" w:color="000000" w:sz="4"/>
                <w:bottom w:val="none" w:color="000000" w:sz="4"/>
                <w:right w:val="none" w:color="000000" w:sz="4"/>
                <w:insideH w:val="none"/>
                <w:insideV w:val="none"/>
              </w:tblBorders>
            </w:tblPr>
            <w:tblGrid>
              <w:gridCol w:w="1206"/>
              <w:gridCol w:w="4391"/>
            </w:tblGrid>
            <w:tr>
              <w:tc>
                <w:tcPr>
                  <w:tcW w:type="dxa" w:w="120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服务内容</w:t>
                  </w:r>
                </w:p>
              </w:tc>
              <w:tc>
                <w:tcPr>
                  <w:tcW w:type="dxa" w:w="43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服务质量标准</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专业设备-应急发电设备维护</w:t>
                  </w:r>
                </w:p>
              </w:tc>
              <w:tc>
                <w:tcPr>
                  <w:tcW w:type="dxa" w:w="4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建立应急发电设备运行管理、设备管理、安全管理制度，确保设备正常运行；</w:t>
                  </w:r>
                </w:p>
                <w:p>
                  <w:pPr>
                    <w:pStyle w:val="null3"/>
                    <w:jc w:val="both"/>
                  </w:pPr>
                  <w:r>
                    <w:rPr>
                      <w:rFonts w:ascii="仿宋_GB2312" w:hAnsi="仿宋_GB2312" w:cs="仿宋_GB2312" w:eastAsia="仿宋_GB2312"/>
                      <w:sz w:val="21"/>
                    </w:rPr>
                    <w:t>需要应急发电时，能熟练操作发电设备供电。</w:t>
                  </w:r>
                </w:p>
                <w:p>
                  <w:pPr>
                    <w:pStyle w:val="null3"/>
                    <w:jc w:val="both"/>
                  </w:pPr>
                  <w:r>
                    <w:rPr>
                      <w:rFonts w:ascii="仿宋_GB2312" w:hAnsi="仿宋_GB2312" w:cs="仿宋_GB2312" w:eastAsia="仿宋_GB2312"/>
                      <w:sz w:val="21"/>
                    </w:rPr>
                    <w:t>日常做好对应急发电设备的检查和保养，每月对应急发电设备进行一次开机运行检查，每半年做一次检修保养，做好检查记录；</w:t>
                  </w:r>
                </w:p>
                <w:p>
                  <w:pPr>
                    <w:pStyle w:val="null3"/>
                    <w:jc w:val="both"/>
                  </w:pPr>
                  <w:r>
                    <w:rPr>
                      <w:rFonts w:ascii="仿宋_GB2312" w:hAnsi="仿宋_GB2312" w:cs="仿宋_GB2312" w:eastAsia="仿宋_GB2312"/>
                      <w:sz w:val="21"/>
                    </w:rPr>
                    <w:t>配合第三方公司做好设施设备的维修工作。</w:t>
                  </w:r>
                </w:p>
              </w:tc>
            </w:tr>
          </w:tbl>
          <w:p>
            <w:pPr>
              <w:pStyle w:val="null3"/>
              <w:jc w:val="both"/>
              <w:outlineLvl w:val="1"/>
            </w:pPr>
            <w:r>
              <w:rPr>
                <w:rFonts w:ascii="仿宋_GB2312" w:hAnsi="仿宋_GB2312" w:cs="仿宋_GB2312" w:eastAsia="仿宋_GB2312"/>
                <w:sz w:val="24"/>
                <w:b/>
                <w:color w:val="000000"/>
              </w:rPr>
              <w:t>21.专业设备-污水处理系统管理</w:t>
            </w:r>
          </w:p>
          <w:tbl>
            <w:tblPr>
              <w:tblBorders>
                <w:top w:val="none" w:color="000000" w:sz="4"/>
                <w:left w:val="none" w:color="000000" w:sz="4"/>
                <w:bottom w:val="none" w:color="000000" w:sz="4"/>
                <w:right w:val="none" w:color="000000" w:sz="4"/>
                <w:insideH w:val="none"/>
                <w:insideV w:val="none"/>
              </w:tblBorders>
            </w:tblPr>
            <w:tblGrid>
              <w:gridCol w:w="1206"/>
              <w:gridCol w:w="4391"/>
            </w:tblGrid>
            <w:tr>
              <w:tc>
                <w:tcPr>
                  <w:tcW w:type="dxa" w:w="120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服务内容</w:t>
                  </w:r>
                </w:p>
              </w:tc>
              <w:tc>
                <w:tcPr>
                  <w:tcW w:type="dxa" w:w="43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服务质量标准</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专业设备-污水处理系统管理</w:t>
                  </w:r>
                </w:p>
              </w:tc>
              <w:tc>
                <w:tcPr>
                  <w:tcW w:type="dxa" w:w="4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负责日常污水处理系统设备的操作和管理；</w:t>
                  </w:r>
                </w:p>
                <w:p>
                  <w:pPr>
                    <w:pStyle w:val="null3"/>
                    <w:jc w:val="both"/>
                  </w:pPr>
                  <w:r>
                    <w:rPr>
                      <w:rFonts w:ascii="仿宋_GB2312" w:hAnsi="仿宋_GB2312" w:cs="仿宋_GB2312" w:eastAsia="仿宋_GB2312"/>
                      <w:sz w:val="21"/>
                    </w:rPr>
                    <w:t>每日监测污水余氯是否达标，并做好监测记录；</w:t>
                  </w:r>
                </w:p>
                <w:p>
                  <w:pPr>
                    <w:pStyle w:val="null3"/>
                    <w:jc w:val="both"/>
                  </w:pPr>
                  <w:r>
                    <w:rPr>
                      <w:rFonts w:ascii="仿宋_GB2312" w:hAnsi="仿宋_GB2312" w:cs="仿宋_GB2312" w:eastAsia="仿宋_GB2312"/>
                      <w:sz w:val="21"/>
                    </w:rPr>
                    <w:t>日常做好污水处理设备的检查和保养，对不涉及换件的故障进行检修，做好检查记录；</w:t>
                  </w:r>
                </w:p>
                <w:p>
                  <w:pPr>
                    <w:pStyle w:val="null3"/>
                    <w:jc w:val="both"/>
                  </w:pPr>
                  <w:r>
                    <w:rPr>
                      <w:rFonts w:ascii="仿宋_GB2312" w:hAnsi="仿宋_GB2312" w:cs="仿宋_GB2312" w:eastAsia="仿宋_GB2312"/>
                      <w:sz w:val="21"/>
                    </w:rPr>
                    <w:t>配合第三方公司做好设施设备的维修工作。</w:t>
                  </w:r>
                </w:p>
              </w:tc>
            </w:tr>
          </w:tbl>
          <w:p>
            <w:pPr>
              <w:pStyle w:val="null3"/>
              <w:jc w:val="both"/>
              <w:outlineLvl w:val="1"/>
            </w:pPr>
            <w:r>
              <w:rPr>
                <w:rFonts w:ascii="仿宋_GB2312" w:hAnsi="仿宋_GB2312" w:cs="仿宋_GB2312" w:eastAsia="仿宋_GB2312"/>
                <w:sz w:val="24"/>
                <w:b/>
                <w:color w:val="000000"/>
              </w:rPr>
              <w:t>22.会务服务和接待</w:t>
            </w:r>
          </w:p>
          <w:tbl>
            <w:tblPr>
              <w:tblBorders>
                <w:top w:val="none" w:color="000000" w:sz="4"/>
                <w:left w:val="none" w:color="000000" w:sz="4"/>
                <w:bottom w:val="none" w:color="000000" w:sz="4"/>
                <w:right w:val="none" w:color="000000" w:sz="4"/>
                <w:insideH w:val="none"/>
                <w:insideV w:val="none"/>
              </w:tblBorders>
            </w:tblPr>
            <w:tblGrid>
              <w:gridCol w:w="1206"/>
              <w:gridCol w:w="4391"/>
            </w:tblGrid>
            <w:tr>
              <w:tc>
                <w:tcPr>
                  <w:tcW w:type="dxa" w:w="120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服务内容</w:t>
                  </w:r>
                </w:p>
              </w:tc>
              <w:tc>
                <w:tcPr>
                  <w:tcW w:type="dxa" w:w="43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服务质量标准</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会务服务和接待</w:t>
                  </w:r>
                </w:p>
              </w:tc>
              <w:tc>
                <w:tcPr>
                  <w:tcW w:type="dxa" w:w="4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按采购人要求做好各类会议保障；</w:t>
                  </w:r>
                </w:p>
                <w:p>
                  <w:pPr>
                    <w:pStyle w:val="null3"/>
                    <w:jc w:val="both"/>
                  </w:pPr>
                  <w:r>
                    <w:rPr>
                      <w:rFonts w:ascii="仿宋_GB2312" w:hAnsi="仿宋_GB2312" w:cs="仿宋_GB2312" w:eastAsia="仿宋_GB2312"/>
                      <w:sz w:val="21"/>
                    </w:rPr>
                    <w:t>会前提供会场筹备、布置服务；</w:t>
                  </w:r>
                </w:p>
                <w:p>
                  <w:pPr>
                    <w:pStyle w:val="null3"/>
                    <w:jc w:val="both"/>
                  </w:pPr>
                  <w:r>
                    <w:rPr>
                      <w:rFonts w:ascii="仿宋_GB2312" w:hAnsi="仿宋_GB2312" w:cs="仿宋_GB2312" w:eastAsia="仿宋_GB2312"/>
                      <w:sz w:val="21"/>
                    </w:rPr>
                    <w:t>提供音响、话筒、灯光调试等服务；</w:t>
                  </w:r>
                </w:p>
                <w:p>
                  <w:pPr>
                    <w:pStyle w:val="null3"/>
                    <w:jc w:val="both"/>
                  </w:pPr>
                  <w:r>
                    <w:rPr>
                      <w:rFonts w:ascii="仿宋_GB2312" w:hAnsi="仿宋_GB2312" w:cs="仿宋_GB2312" w:eastAsia="仿宋_GB2312"/>
                      <w:sz w:val="21"/>
                    </w:rPr>
                    <w:t>会议期间提供茶水服务的人员；</w:t>
                  </w:r>
                </w:p>
              </w:tc>
            </w:tr>
          </w:tbl>
          <w:p>
            <w:pPr>
              <w:pStyle w:val="null3"/>
              <w:jc w:val="both"/>
              <w:outlineLvl w:val="1"/>
            </w:pPr>
            <w:r>
              <w:rPr>
                <w:rFonts w:ascii="仿宋_GB2312" w:hAnsi="仿宋_GB2312" w:cs="仿宋_GB2312" w:eastAsia="仿宋_GB2312"/>
                <w:sz w:val="24"/>
                <w:b/>
                <w:color w:val="000000"/>
              </w:rPr>
              <w:t>23.布草清洗服务</w:t>
            </w:r>
          </w:p>
          <w:tbl>
            <w:tblPr>
              <w:tblBorders>
                <w:top w:val="none" w:color="000000" w:sz="4"/>
                <w:left w:val="none" w:color="000000" w:sz="4"/>
                <w:bottom w:val="none" w:color="000000" w:sz="4"/>
                <w:right w:val="none" w:color="000000" w:sz="4"/>
                <w:insideH w:val="none"/>
                <w:insideV w:val="none"/>
              </w:tblBorders>
            </w:tblPr>
            <w:tblGrid>
              <w:gridCol w:w="1024"/>
              <w:gridCol w:w="4580"/>
            </w:tblGrid>
            <w:tr>
              <w:tc>
                <w:tcPr>
                  <w:tcW w:type="dxa" w:w="102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服务内容</w:t>
                  </w:r>
                </w:p>
              </w:tc>
              <w:tc>
                <w:tcPr>
                  <w:tcW w:type="dxa" w:w="458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服务质量标准</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布草清洗服务</w:t>
                  </w:r>
                </w:p>
              </w:tc>
              <w:tc>
                <w:tcPr>
                  <w:tcW w:type="dxa" w:w="4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根据采购人要求对值班室床上用品进行清洗、消毒（洗衣机清洗、消毒药品消毒，采购人提供机器和药品）；对采购人工作服进行清洗。</w:t>
                  </w:r>
                </w:p>
                <w:p>
                  <w:pPr>
                    <w:pStyle w:val="null3"/>
                    <w:jc w:val="both"/>
                  </w:pPr>
                  <w:r>
                    <w:rPr>
                      <w:rFonts w:ascii="仿宋_GB2312" w:hAnsi="仿宋_GB2312" w:cs="仿宋_GB2312" w:eastAsia="仿宋_GB2312"/>
                      <w:sz w:val="21"/>
                    </w:rPr>
                    <w:t>清洗量：床单约10套/日；工作服约20件/日。</w:t>
                  </w:r>
                </w:p>
              </w:tc>
            </w:tr>
          </w:tbl>
          <w:p>
            <w:pPr>
              <w:pStyle w:val="null3"/>
              <w:jc w:val="both"/>
              <w:outlineLvl w:val="1"/>
            </w:pPr>
            <w:r>
              <w:rPr>
                <w:rFonts w:ascii="仿宋_GB2312" w:hAnsi="仿宋_GB2312" w:cs="仿宋_GB2312" w:eastAsia="仿宋_GB2312"/>
                <w:sz w:val="24"/>
                <w:b/>
                <w:color w:val="000000"/>
              </w:rPr>
              <w:t>24.实验器具清洗服务</w:t>
            </w:r>
          </w:p>
          <w:tbl>
            <w:tblPr>
              <w:tblBorders>
                <w:top w:val="none" w:color="000000" w:sz="4"/>
                <w:left w:val="none" w:color="000000" w:sz="4"/>
                <w:bottom w:val="none" w:color="000000" w:sz="4"/>
                <w:right w:val="none" w:color="000000" w:sz="4"/>
                <w:insideH w:val="none"/>
                <w:insideV w:val="none"/>
              </w:tblBorders>
            </w:tblPr>
            <w:tblGrid>
              <w:gridCol w:w="1024"/>
              <w:gridCol w:w="4580"/>
            </w:tblGrid>
            <w:tr>
              <w:tc>
                <w:tcPr>
                  <w:tcW w:type="dxa" w:w="102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服务内容</w:t>
                  </w:r>
                </w:p>
              </w:tc>
              <w:tc>
                <w:tcPr>
                  <w:tcW w:type="dxa" w:w="458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服务质量标准</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实验器具清洗服务</w:t>
                  </w:r>
                </w:p>
              </w:tc>
              <w:tc>
                <w:tcPr>
                  <w:tcW w:type="dxa" w:w="4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根据采购人要求对实验室的平板、试管、吸管、锥形瓶、剪镊等重复使用的玻璃和金属器皿清洗 、打包、灭菌和烘干，并将实验所需培养基和各类器皿以及实验室产生的医疗废弃物等物品送到消毒供应室进行高压灭菌处理，并对高压灭菌后的废弃物转运到中心特垃房，高压灭菌完成后对高压灭菌锅及房间进行清洁。</w:t>
                  </w:r>
                </w:p>
              </w:tc>
            </w:tr>
          </w:tbl>
          <w:p>
            <w:pPr>
              <w:pStyle w:val="null3"/>
              <w:jc w:val="both"/>
              <w:outlineLvl w:val="1"/>
            </w:pPr>
            <w:r>
              <w:rPr>
                <w:rFonts w:ascii="仿宋_GB2312" w:hAnsi="仿宋_GB2312" w:cs="仿宋_GB2312" w:eastAsia="仿宋_GB2312"/>
                <w:sz w:val="24"/>
                <w:b/>
                <w:color w:val="000000"/>
              </w:rPr>
              <w:t>25.疫苗库管服务</w:t>
            </w:r>
          </w:p>
          <w:tbl>
            <w:tblPr>
              <w:tblBorders>
                <w:top w:val="none" w:color="000000" w:sz="4"/>
                <w:left w:val="none" w:color="000000" w:sz="4"/>
                <w:bottom w:val="none" w:color="000000" w:sz="4"/>
                <w:right w:val="none" w:color="000000" w:sz="4"/>
                <w:insideH w:val="none"/>
                <w:insideV w:val="none"/>
              </w:tblBorders>
            </w:tblPr>
            <w:tblGrid>
              <w:gridCol w:w="1024"/>
              <w:gridCol w:w="4580"/>
            </w:tblGrid>
            <w:tr>
              <w:tc>
                <w:tcPr>
                  <w:tcW w:type="dxa" w:w="102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服务内容</w:t>
                  </w:r>
                </w:p>
              </w:tc>
              <w:tc>
                <w:tcPr>
                  <w:tcW w:type="dxa" w:w="458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服务质量标准</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疫苗库管服务</w:t>
                  </w:r>
                </w:p>
              </w:tc>
              <w:tc>
                <w:tcPr>
                  <w:tcW w:type="dxa" w:w="4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疫苗配送：每月到四川省疾病预防控制中心领取免疫规划疫苗，若有需要安排临时性领苗，负责运输温度记录和突发事件报告及处理。</w:t>
                  </w:r>
                </w:p>
                <w:p>
                  <w:pPr>
                    <w:pStyle w:val="null3"/>
                    <w:jc w:val="both"/>
                  </w:pPr>
                  <w:r>
                    <w:rPr>
                      <w:rFonts w:ascii="仿宋_GB2312" w:hAnsi="仿宋_GB2312" w:cs="仿宋_GB2312" w:eastAsia="仿宋_GB2312"/>
                      <w:sz w:val="21"/>
                    </w:rPr>
                    <w:t>冷库整理：负责整理库区物资，盘点疫苗数量；打扫库区卫生（含冷库和值班室）。</w:t>
                  </w:r>
                </w:p>
                <w:p>
                  <w:pPr>
                    <w:pStyle w:val="null3"/>
                    <w:jc w:val="both"/>
                  </w:pPr>
                  <w:r>
                    <w:rPr>
                      <w:rFonts w:ascii="仿宋_GB2312" w:hAnsi="仿宋_GB2312" w:cs="仿宋_GB2312" w:eastAsia="仿宋_GB2312"/>
                      <w:sz w:val="21"/>
                    </w:rPr>
                    <w:t>冷库安全检查：负责检查所有冷库运行是否正常，检查冷库设施设备有无异常情况，若发现问题及时向科室管理人员报告。</w:t>
                  </w:r>
                </w:p>
                <w:p>
                  <w:pPr>
                    <w:pStyle w:val="null3"/>
                    <w:jc w:val="both"/>
                  </w:pPr>
                  <w:r>
                    <w:rPr>
                      <w:rFonts w:ascii="仿宋_GB2312" w:hAnsi="仿宋_GB2312" w:cs="仿宋_GB2312" w:eastAsia="仿宋_GB2312"/>
                      <w:sz w:val="21"/>
                    </w:rPr>
                    <w:t>冷库温度监测：白天对冷库温度进行监测并记录，记录次数每天不少于2次，每次间隔不少于6个小时。夜间通过远程信息化平台对冷库温度进行监测并在工作群里进行报送，报送次数不少于1次。若发现温度异常及时向科室管理人员报告，按需及时赶赴现场。</w:t>
                  </w:r>
                </w:p>
                <w:p>
                  <w:pPr>
                    <w:pStyle w:val="null3"/>
                    <w:jc w:val="both"/>
                  </w:pPr>
                  <w:r>
                    <w:rPr>
                      <w:rFonts w:ascii="仿宋_GB2312" w:hAnsi="仿宋_GB2312" w:cs="仿宋_GB2312" w:eastAsia="仿宋_GB2312"/>
                      <w:sz w:val="21"/>
                    </w:rPr>
                    <w:t>值班：国家法定节假日和周末，根据科室工作安排进行值班，工作内容不变。</w:t>
                  </w:r>
                </w:p>
                <w:p>
                  <w:pPr>
                    <w:pStyle w:val="null3"/>
                    <w:jc w:val="both"/>
                  </w:pPr>
                  <w:r>
                    <w:rPr>
                      <w:rFonts w:ascii="仿宋_GB2312" w:hAnsi="仿宋_GB2312" w:cs="仿宋_GB2312" w:eastAsia="仿宋_GB2312"/>
                      <w:sz w:val="21"/>
                    </w:rPr>
                    <w:t>日常疫苗搬运：负责协助科室工作人员押运疫苗冷藏车、搬运疫苗、清点数量、发放疫苗。</w:t>
                  </w:r>
                </w:p>
                <w:p>
                  <w:pPr>
                    <w:pStyle w:val="null3"/>
                    <w:jc w:val="both"/>
                  </w:pPr>
                  <w:r>
                    <w:rPr>
                      <w:rFonts w:ascii="仿宋_GB2312" w:hAnsi="仿宋_GB2312" w:cs="仿宋_GB2312" w:eastAsia="仿宋_GB2312"/>
                      <w:sz w:val="21"/>
                    </w:rPr>
                    <w:t>搬运清点：负责协助工作人员完成疫苗入库、出库工作，包括将疫苗从冷藏车卸货、将疫苗搬运到库房、扫描清点数量、入库摆放整齐；出库扫码点数、搬运出库、整理搬运后的库房。保障疫苗搬运及时准确，无掉落无遗失无差错、搬运前后疫苗库房整齐干净。</w:t>
                  </w:r>
                </w:p>
                <w:p>
                  <w:pPr>
                    <w:pStyle w:val="null3"/>
                    <w:jc w:val="both"/>
                  </w:pPr>
                  <w:r>
                    <w:rPr>
                      <w:rFonts w:ascii="仿宋_GB2312" w:hAnsi="仿宋_GB2312" w:cs="仿宋_GB2312" w:eastAsia="仿宋_GB2312"/>
                      <w:sz w:val="21"/>
                    </w:rPr>
                    <w:t>其他：工作期间服从科室管理人员安排，完成管理人员交待的其他与冷库相关的临时性工作。</w:t>
                  </w:r>
                </w:p>
              </w:tc>
            </w:tr>
          </w:tbl>
          <w:p>
            <w:pPr>
              <w:pStyle w:val="null3"/>
              <w:jc w:val="both"/>
              <w:outlineLvl w:val="1"/>
            </w:pPr>
            <w:r>
              <w:rPr>
                <w:rFonts w:ascii="仿宋_GB2312" w:hAnsi="仿宋_GB2312" w:cs="仿宋_GB2312" w:eastAsia="仿宋_GB2312"/>
                <w:sz w:val="24"/>
                <w:b/>
                <w:color w:val="000000"/>
              </w:rPr>
              <w:t>26.桶装水发放服务</w:t>
            </w:r>
          </w:p>
          <w:tbl>
            <w:tblPr>
              <w:tblBorders>
                <w:top w:val="none" w:color="000000" w:sz="4"/>
                <w:left w:val="none" w:color="000000" w:sz="4"/>
                <w:bottom w:val="none" w:color="000000" w:sz="4"/>
                <w:right w:val="none" w:color="000000" w:sz="4"/>
                <w:insideH w:val="none"/>
                <w:insideV w:val="none"/>
              </w:tblBorders>
            </w:tblPr>
            <w:tblGrid>
              <w:gridCol w:w="1111"/>
              <w:gridCol w:w="4486"/>
            </w:tblGrid>
            <w:tr>
              <w:tc>
                <w:tcPr>
                  <w:tcW w:type="dxa" w:w="111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服务内容</w:t>
                  </w:r>
                </w:p>
              </w:tc>
              <w:tc>
                <w:tcPr>
                  <w:tcW w:type="dxa" w:w="448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服务质量标准</w:t>
                  </w:r>
                </w:p>
              </w:tc>
            </w:tr>
            <w:tr>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桶装水发放服务</w:t>
                  </w:r>
                </w:p>
              </w:tc>
              <w:tc>
                <w:tcPr>
                  <w:tcW w:type="dxa" w:w="44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负责办公室、会议室桶装饮用水接收、发放、定期更换；</w:t>
                  </w:r>
                </w:p>
                <w:p>
                  <w:pPr>
                    <w:pStyle w:val="null3"/>
                    <w:jc w:val="both"/>
                  </w:pPr>
                  <w:r>
                    <w:rPr>
                      <w:rFonts w:ascii="仿宋_GB2312" w:hAnsi="仿宋_GB2312" w:cs="仿宋_GB2312" w:eastAsia="仿宋_GB2312"/>
                      <w:sz w:val="21"/>
                    </w:rPr>
                    <w:t>接采购人科室电话通知后，及时送到并更换；</w:t>
                  </w:r>
                </w:p>
                <w:p>
                  <w:pPr>
                    <w:pStyle w:val="null3"/>
                    <w:jc w:val="both"/>
                  </w:pPr>
                  <w:r>
                    <w:rPr>
                      <w:rFonts w:ascii="仿宋_GB2312" w:hAnsi="仿宋_GB2312" w:cs="仿宋_GB2312" w:eastAsia="仿宋_GB2312"/>
                      <w:sz w:val="21"/>
                    </w:rPr>
                    <w:t>对用水收发做好登记。</w:t>
                  </w:r>
                </w:p>
              </w:tc>
            </w:tr>
          </w:tbl>
          <w:p>
            <w:pPr>
              <w:pStyle w:val="null3"/>
              <w:jc w:val="both"/>
              <w:outlineLvl w:val="1"/>
            </w:pPr>
            <w:r>
              <w:rPr>
                <w:rFonts w:ascii="仿宋_GB2312" w:hAnsi="仿宋_GB2312" w:cs="仿宋_GB2312" w:eastAsia="仿宋_GB2312"/>
                <w:sz w:val="24"/>
                <w:b/>
                <w:color w:val="000000"/>
              </w:rPr>
              <w:t>27.装修管理</w:t>
            </w:r>
          </w:p>
          <w:tbl>
            <w:tblPr>
              <w:tblBorders>
                <w:top w:val="none" w:color="000000" w:sz="4"/>
                <w:left w:val="none" w:color="000000" w:sz="4"/>
                <w:bottom w:val="none" w:color="000000" w:sz="4"/>
                <w:right w:val="none" w:color="000000" w:sz="4"/>
                <w:insideH w:val="none"/>
                <w:insideV w:val="none"/>
              </w:tblBorders>
            </w:tblPr>
            <w:tblGrid>
              <w:gridCol w:w="954"/>
              <w:gridCol w:w="4643"/>
            </w:tblGrid>
            <w:tr>
              <w:tc>
                <w:tcPr>
                  <w:tcW w:type="dxa" w:w="95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服务内容</w:t>
                  </w:r>
                </w:p>
              </w:tc>
              <w:tc>
                <w:tcPr>
                  <w:tcW w:type="dxa" w:w="464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服务质量标准</w:t>
                  </w:r>
                </w:p>
              </w:tc>
            </w:tr>
            <w:tr>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装修管理</w:t>
                  </w:r>
                </w:p>
              </w:tc>
              <w:tc>
                <w:tcPr>
                  <w:tcW w:type="dxa" w:w="46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对房屋内装修进行严格的监督管理，确保不因装修而危及大楼结构安全、人身安全和影响正常工作秩序；</w:t>
                  </w:r>
                </w:p>
                <w:p>
                  <w:pPr>
                    <w:pStyle w:val="null3"/>
                    <w:jc w:val="both"/>
                  </w:pPr>
                  <w:r>
                    <w:rPr>
                      <w:rFonts w:ascii="仿宋_GB2312" w:hAnsi="仿宋_GB2312" w:cs="仿宋_GB2312" w:eastAsia="仿宋_GB2312"/>
                      <w:sz w:val="21"/>
                    </w:rPr>
                    <w:t>监督使用人或施工单位，装修垃圾必须装袋清运，日产日清。如特殊情况，需临时堆放过夜，必须设置围挡，防止尘土飞扬；</w:t>
                  </w:r>
                </w:p>
                <w:p>
                  <w:pPr>
                    <w:pStyle w:val="null3"/>
                    <w:jc w:val="both"/>
                  </w:pPr>
                  <w:r>
                    <w:rPr>
                      <w:rFonts w:ascii="仿宋_GB2312" w:hAnsi="仿宋_GB2312" w:cs="仿宋_GB2312" w:eastAsia="仿宋_GB2312"/>
                      <w:sz w:val="21"/>
                    </w:rPr>
                    <w:t>对于违章搭建应进行劝阻、制止或报告。</w:t>
                  </w:r>
                </w:p>
              </w:tc>
            </w:tr>
          </w:tbl>
          <w:p>
            <w:pPr>
              <w:pStyle w:val="null3"/>
              <w:jc w:val="both"/>
              <w:outlineLvl w:val="1"/>
            </w:pPr>
            <w:r>
              <w:rPr>
                <w:rFonts w:ascii="仿宋_GB2312" w:hAnsi="仿宋_GB2312" w:cs="仿宋_GB2312" w:eastAsia="仿宋_GB2312"/>
                <w:sz w:val="24"/>
                <w:b/>
                <w:color w:val="000000"/>
              </w:rPr>
              <w:t>28.满意度调查</w:t>
            </w:r>
          </w:p>
          <w:tbl>
            <w:tblPr>
              <w:tblBorders>
                <w:top w:val="none" w:color="000000" w:sz="4"/>
                <w:left w:val="none" w:color="000000" w:sz="4"/>
                <w:bottom w:val="none" w:color="000000" w:sz="4"/>
                <w:right w:val="none" w:color="000000" w:sz="4"/>
                <w:insideH w:val="none"/>
                <w:insideV w:val="none"/>
              </w:tblBorders>
            </w:tblPr>
            <w:tblGrid>
              <w:gridCol w:w="1111"/>
              <w:gridCol w:w="4486"/>
            </w:tblGrid>
            <w:tr>
              <w:tc>
                <w:tcPr>
                  <w:tcW w:type="dxa" w:w="111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服务内容</w:t>
                  </w:r>
                </w:p>
              </w:tc>
              <w:tc>
                <w:tcPr>
                  <w:tcW w:type="dxa" w:w="448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服务质量标准</w:t>
                  </w:r>
                </w:p>
              </w:tc>
            </w:tr>
            <w:tr>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满意度调查</w:t>
                  </w:r>
                </w:p>
              </w:tc>
              <w:tc>
                <w:tcPr>
                  <w:tcW w:type="dxa" w:w="44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对物业管理服务作年度满意度调查；</w:t>
                  </w:r>
                </w:p>
                <w:p>
                  <w:pPr>
                    <w:pStyle w:val="null3"/>
                    <w:jc w:val="both"/>
                  </w:pPr>
                  <w:r>
                    <w:rPr>
                      <w:rFonts w:ascii="仿宋_GB2312" w:hAnsi="仿宋_GB2312" w:cs="仿宋_GB2312" w:eastAsia="仿宋_GB2312"/>
                      <w:sz w:val="21"/>
                    </w:rPr>
                    <w:t>满意率须达85%以上。</w:t>
                  </w:r>
                </w:p>
              </w:tc>
            </w:tr>
          </w:tbl>
          <w:p>
            <w:pPr>
              <w:pStyle w:val="null3"/>
              <w:jc w:val="both"/>
              <w:outlineLvl w:val="1"/>
            </w:pPr>
            <w:r>
              <w:rPr>
                <w:rFonts w:ascii="仿宋_GB2312" w:hAnsi="仿宋_GB2312" w:cs="仿宋_GB2312" w:eastAsia="仿宋_GB2312"/>
                <w:sz w:val="24"/>
                <w:b/>
                <w:color w:val="000000"/>
              </w:rPr>
              <w:t>29.物品搬运等临时性工作</w:t>
            </w:r>
          </w:p>
          <w:tbl>
            <w:tblPr>
              <w:tblBorders>
                <w:top w:val="none" w:color="000000" w:sz="4"/>
                <w:left w:val="none" w:color="000000" w:sz="4"/>
                <w:bottom w:val="none" w:color="000000" w:sz="4"/>
                <w:right w:val="none" w:color="000000" w:sz="4"/>
                <w:insideH w:val="none"/>
                <w:insideV w:val="none"/>
              </w:tblBorders>
            </w:tblPr>
            <w:tblGrid>
              <w:gridCol w:w="1111"/>
              <w:gridCol w:w="4486"/>
            </w:tblGrid>
            <w:tr>
              <w:tc>
                <w:tcPr>
                  <w:tcW w:type="dxa" w:w="111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服务内容</w:t>
                  </w:r>
                </w:p>
              </w:tc>
              <w:tc>
                <w:tcPr>
                  <w:tcW w:type="dxa" w:w="448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服务质量标准</w:t>
                  </w:r>
                </w:p>
              </w:tc>
            </w:tr>
            <w:tr>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物品搬运等临时性工作</w:t>
                  </w:r>
                </w:p>
              </w:tc>
              <w:tc>
                <w:tcPr>
                  <w:tcW w:type="dxa" w:w="44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协助采购人做好疫苗搬运工作，每月预估1-2次，平均每次600件左右；</w:t>
                  </w:r>
                </w:p>
                <w:p>
                  <w:pPr>
                    <w:pStyle w:val="null3"/>
                    <w:jc w:val="both"/>
                  </w:pPr>
                  <w:r>
                    <w:rPr>
                      <w:rFonts w:ascii="仿宋_GB2312" w:hAnsi="仿宋_GB2312" w:cs="仿宋_GB2312" w:eastAsia="仿宋_GB2312"/>
                      <w:sz w:val="21"/>
                    </w:rPr>
                    <w:t>协助采购人对采购的包装类食材（如米、面、油等）物资的搬运；</w:t>
                  </w:r>
                </w:p>
                <w:p>
                  <w:pPr>
                    <w:pStyle w:val="null3"/>
                    <w:jc w:val="both"/>
                  </w:pPr>
                  <w:r>
                    <w:rPr>
                      <w:rFonts w:ascii="仿宋_GB2312" w:hAnsi="仿宋_GB2312" w:cs="仿宋_GB2312" w:eastAsia="仿宋_GB2312"/>
                      <w:sz w:val="21"/>
                    </w:rPr>
                    <w:t>搞好临时搬运服务：如办公室调整、公共物品搬迁、废旧物品资料销毁等工作。</w:t>
                  </w:r>
                </w:p>
              </w:tc>
            </w:tr>
          </w:tbl>
          <w:p>
            <w:pPr>
              <w:pStyle w:val="null3"/>
              <w:jc w:val="both"/>
              <w:outlineLvl w:val="1"/>
            </w:pPr>
            <w:r>
              <w:rPr>
                <w:rFonts w:ascii="仿宋_GB2312" w:hAnsi="仿宋_GB2312" w:cs="仿宋_GB2312" w:eastAsia="仿宋_GB2312"/>
                <w:sz w:val="24"/>
                <w:b/>
                <w:color w:val="000000"/>
              </w:rPr>
              <w:t>30.重大活动后勤保障</w:t>
            </w:r>
          </w:p>
          <w:tbl>
            <w:tblPr>
              <w:tblBorders>
                <w:top w:val="none" w:color="000000" w:sz="4"/>
                <w:left w:val="none" w:color="000000" w:sz="4"/>
                <w:bottom w:val="none" w:color="000000" w:sz="4"/>
                <w:right w:val="none" w:color="000000" w:sz="4"/>
                <w:insideH w:val="none"/>
                <w:insideV w:val="none"/>
              </w:tblBorders>
            </w:tblPr>
            <w:tblGrid>
              <w:gridCol w:w="1111"/>
              <w:gridCol w:w="4486"/>
            </w:tblGrid>
            <w:tr>
              <w:tc>
                <w:tcPr>
                  <w:tcW w:type="dxa" w:w="111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服务内容</w:t>
                  </w:r>
                </w:p>
              </w:tc>
              <w:tc>
                <w:tcPr>
                  <w:tcW w:type="dxa" w:w="448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服务质量标准</w:t>
                  </w:r>
                </w:p>
              </w:tc>
            </w:tr>
            <w:tr>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重大活动后勤保障</w:t>
                  </w:r>
                </w:p>
              </w:tc>
              <w:tc>
                <w:tcPr>
                  <w:tcW w:type="dxa" w:w="44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根据采购人重大活动安排，制定完备的服务工作流程、细则及服务工作计划并严格执行，保障重大活动的顺利执行。</w:t>
                  </w:r>
                </w:p>
                <w:p>
                  <w:pPr>
                    <w:pStyle w:val="null3"/>
                    <w:jc w:val="both"/>
                  </w:pPr>
                  <w:r>
                    <w:rPr>
                      <w:rFonts w:ascii="仿宋_GB2312" w:hAnsi="仿宋_GB2312" w:cs="仿宋_GB2312" w:eastAsia="仿宋_GB2312"/>
                      <w:sz w:val="21"/>
                    </w:rPr>
                    <w:t>活动接待及服务人员应仪表端庄、举止文明、知晓相关礼仪，并经过专业培训。</w:t>
                  </w:r>
                </w:p>
                <w:p>
                  <w:pPr>
                    <w:pStyle w:val="null3"/>
                    <w:jc w:val="both"/>
                  </w:pPr>
                  <w:r>
                    <w:rPr>
                      <w:rFonts w:ascii="仿宋_GB2312" w:hAnsi="仿宋_GB2312" w:cs="仿宋_GB2312" w:eastAsia="仿宋_GB2312"/>
                      <w:sz w:val="21"/>
                    </w:rPr>
                    <w:t>加强日常维护检查，确保系统的完好；设备出现故障时，需有应急预案，确保活动的正常进行。</w:t>
                  </w:r>
                </w:p>
                <w:p>
                  <w:pPr>
                    <w:pStyle w:val="null3"/>
                    <w:jc w:val="both"/>
                  </w:pPr>
                  <w:r>
                    <w:rPr>
                      <w:rFonts w:ascii="仿宋_GB2312" w:hAnsi="仿宋_GB2312" w:cs="仿宋_GB2312" w:eastAsia="仿宋_GB2312"/>
                      <w:sz w:val="21"/>
                    </w:rPr>
                    <w:t>提供重大活动期间的安全警戒与秩序维护服务。</w:t>
                  </w:r>
                </w:p>
                <w:p>
                  <w:pPr>
                    <w:pStyle w:val="null3"/>
                    <w:jc w:val="both"/>
                  </w:pPr>
                  <w:r>
                    <w:rPr>
                      <w:rFonts w:ascii="仿宋_GB2312" w:hAnsi="仿宋_GB2312" w:cs="仿宋_GB2312" w:eastAsia="仿宋_GB2312"/>
                      <w:sz w:val="21"/>
                    </w:rPr>
                    <w:t>提供重大活动的场地布置、礼仪接待服务。</w:t>
                  </w:r>
                </w:p>
                <w:p>
                  <w:pPr>
                    <w:pStyle w:val="null3"/>
                    <w:jc w:val="both"/>
                  </w:pPr>
                  <w:r>
                    <w:rPr>
                      <w:rFonts w:ascii="仿宋_GB2312" w:hAnsi="仿宋_GB2312" w:cs="仿宋_GB2312" w:eastAsia="仿宋_GB2312"/>
                      <w:sz w:val="21"/>
                    </w:rPr>
                    <w:t>提供重大活动结束后清场服务。</w:t>
                  </w:r>
                </w:p>
              </w:tc>
            </w:tr>
          </w:tbl>
          <w:p>
            <w:pPr>
              <w:pStyle w:val="null3"/>
              <w:jc w:val="both"/>
              <w:outlineLvl w:val="0"/>
            </w:pPr>
            <w:r>
              <w:rPr>
                <w:rFonts w:ascii="仿宋_GB2312" w:hAnsi="仿宋_GB2312" w:cs="仿宋_GB2312" w:eastAsia="仿宋_GB2312"/>
                <w:sz w:val="24"/>
                <w:b/>
                <w:color w:val="000000"/>
              </w:rPr>
              <w:t>★四、物业管理服务人员岗位（说明：除要求在投标文件中提供证明材料的内容外，其余内容均在投标文件中响应或承诺）</w:t>
            </w:r>
          </w:p>
          <w:p>
            <w:pPr>
              <w:pStyle w:val="null3"/>
              <w:jc w:val="both"/>
              <w:outlineLvl w:val="1"/>
            </w:pPr>
            <w:r>
              <w:rPr>
                <w:rFonts w:ascii="仿宋_GB2312" w:hAnsi="仿宋_GB2312" w:cs="仿宋_GB2312" w:eastAsia="仿宋_GB2312"/>
                <w:sz w:val="24"/>
                <w:b/>
                <w:color w:val="000000"/>
              </w:rPr>
              <w:t>（一）人员岗位要求</w:t>
            </w:r>
          </w:p>
          <w:tbl>
            <w:tblPr>
              <w:tblBorders>
                <w:top w:val="none" w:color="000000" w:sz="4"/>
                <w:left w:val="none" w:color="000000" w:sz="4"/>
                <w:bottom w:val="none" w:color="000000" w:sz="4"/>
                <w:right w:val="none" w:color="000000" w:sz="4"/>
                <w:insideH w:val="none"/>
                <w:insideV w:val="none"/>
              </w:tblBorders>
            </w:tblPr>
            <w:tblGrid>
              <w:gridCol w:w="567"/>
              <w:gridCol w:w="670"/>
              <w:gridCol w:w="678"/>
              <w:gridCol w:w="662"/>
              <w:gridCol w:w="3019"/>
            </w:tblGrid>
            <w:tr>
              <w:tc>
                <w:tcPr>
                  <w:tcW w:type="dxa" w:w="56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部门</w:t>
                  </w:r>
                </w:p>
              </w:tc>
              <w:tc>
                <w:tcPr>
                  <w:tcW w:type="dxa" w:w="6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岗位</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岗位编制（该岗位同一时段内需要在岗人数）</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岗位人力配置数量（根据服务时长及岗位编制要求，配置的人数）</w:t>
                  </w:r>
                </w:p>
              </w:tc>
              <w:tc>
                <w:tcPr>
                  <w:tcW w:type="dxa" w:w="30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备注（岗位所需服务时长或时段、需具备的上岗资格证等）</w:t>
                  </w:r>
                </w:p>
              </w:tc>
            </w:tr>
            <w:tr>
              <w:tc>
                <w:tcPr>
                  <w:tcW w:type="dxa" w:w="5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服务中心</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项目经理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w:t>
                  </w:r>
                </w:p>
              </w:tc>
              <w:tc>
                <w:tcPr>
                  <w:tcW w:type="dxa" w:w="30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rPr>
                    <w:t>年龄：</w:t>
                  </w:r>
                  <w:r>
                    <w:rPr>
                      <w:rFonts w:ascii="仿宋_GB2312" w:hAnsi="仿宋_GB2312" w:cs="仿宋_GB2312" w:eastAsia="仿宋_GB2312"/>
                      <w:sz w:val="21"/>
                    </w:rPr>
                    <w:t>18岁以上，男性60岁以下，女性50岁以下；</w:t>
                  </w:r>
                </w:p>
                <w:p>
                  <w:pPr>
                    <w:pStyle w:val="null3"/>
                    <w:jc w:val="both"/>
                  </w:pPr>
                  <w:r>
                    <w:rPr>
                      <w:rFonts w:ascii="仿宋_GB2312" w:hAnsi="仿宋_GB2312" w:cs="仿宋_GB2312" w:eastAsia="仿宋_GB2312"/>
                      <w:sz w:val="21"/>
                      <w:b/>
                    </w:rPr>
                    <w:t>工作时间：</w:t>
                  </w:r>
                  <w:r>
                    <w:rPr>
                      <w:rFonts w:ascii="仿宋_GB2312" w:hAnsi="仿宋_GB2312" w:cs="仿宋_GB2312" w:eastAsia="仿宋_GB2312"/>
                      <w:sz w:val="21"/>
                    </w:rPr>
                    <w:t>工作日上午8:30- 12:00，下午13:00- 17:30；休息日、法定休假日正常休息；全年在岗时间不得低于岗位要求时间的95%。</w:t>
                  </w:r>
                </w:p>
                <w:p>
                  <w:pPr>
                    <w:pStyle w:val="null3"/>
                    <w:jc w:val="both"/>
                  </w:pPr>
                  <w:r>
                    <w:rPr>
                      <w:rFonts w:ascii="仿宋_GB2312" w:hAnsi="仿宋_GB2312" w:cs="仿宋_GB2312" w:eastAsia="仿宋_GB2312"/>
                      <w:sz w:val="21"/>
                      <w:b/>
                    </w:rPr>
                    <w:t>工作经验：</w:t>
                  </w:r>
                  <w:r>
                    <w:rPr>
                      <w:rFonts w:ascii="仿宋_GB2312" w:hAnsi="仿宋_GB2312" w:cs="仿宋_GB2312" w:eastAsia="仿宋_GB2312"/>
                      <w:sz w:val="21"/>
                    </w:rPr>
                    <w:t>具有3年及以上非住宅类物业项目经理（或相同语意）及会务服务（或相同语意）经历。</w:t>
                  </w:r>
                </w:p>
                <w:p>
                  <w:pPr>
                    <w:pStyle w:val="null3"/>
                    <w:jc w:val="both"/>
                  </w:pPr>
                  <w:r>
                    <w:rPr>
                      <w:rFonts w:ascii="仿宋_GB2312" w:hAnsi="仿宋_GB2312" w:cs="仿宋_GB2312" w:eastAsia="仿宋_GB2312"/>
                      <w:sz w:val="21"/>
                      <w:b/>
                    </w:rPr>
                    <w:t>其他证书要求：</w:t>
                  </w:r>
                  <w:r>
                    <w:rPr>
                      <w:rFonts w:ascii="仿宋_GB2312" w:hAnsi="仿宋_GB2312" w:cs="仿宋_GB2312" w:eastAsia="仿宋_GB2312"/>
                      <w:sz w:val="21"/>
                    </w:rPr>
                    <w:t>大学本科及以上学历。</w:t>
                  </w:r>
                  <w:r>
                    <w:rPr>
                      <w:rFonts w:ascii="仿宋_GB2312" w:hAnsi="仿宋_GB2312" w:cs="仿宋_GB2312" w:eastAsia="仿宋_GB2312"/>
                      <w:sz w:val="21"/>
                      <w:b/>
                    </w:rPr>
                    <w:t>（说明：提供有效学历证书复印件）</w:t>
                  </w:r>
                </w:p>
              </w:tc>
            </w:tr>
            <w:tr>
              <w:tc>
                <w:tcPr>
                  <w:tcW w:type="dxa" w:w="567"/>
                  <w:vMerge/>
                  <w:tcBorders>
                    <w:top w:val="none" w:color="000000" w:sz="4"/>
                    <w:left w:val="single" w:color="000000" w:sz="4"/>
                    <w:bottom w:val="single" w:color="000000" w:sz="4"/>
                    <w:right w:val="single" w:color="000000" w:sz="4"/>
                  </w:tcBorders>
                </w:tc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会务服务和接待</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w:t>
                  </w:r>
                </w:p>
              </w:tc>
              <w:tc>
                <w:tcPr>
                  <w:tcW w:type="dxa" w:w="30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rPr>
                    <w:t>年龄：</w:t>
                  </w:r>
                  <w:r>
                    <w:rPr>
                      <w:rFonts w:ascii="仿宋_GB2312" w:hAnsi="仿宋_GB2312" w:cs="仿宋_GB2312" w:eastAsia="仿宋_GB2312"/>
                      <w:sz w:val="21"/>
                    </w:rPr>
                    <w:t>18岁以上，男性60岁以下，女性50岁以下；</w:t>
                  </w:r>
                </w:p>
                <w:p>
                  <w:pPr>
                    <w:pStyle w:val="null3"/>
                    <w:jc w:val="both"/>
                  </w:pPr>
                  <w:r>
                    <w:rPr>
                      <w:rFonts w:ascii="仿宋_GB2312" w:hAnsi="仿宋_GB2312" w:cs="仿宋_GB2312" w:eastAsia="仿宋_GB2312"/>
                      <w:sz w:val="21"/>
                      <w:b/>
                    </w:rPr>
                    <w:t>工作时间：</w:t>
                  </w:r>
                  <w:r>
                    <w:rPr>
                      <w:rFonts w:ascii="仿宋_GB2312" w:hAnsi="仿宋_GB2312" w:cs="仿宋_GB2312" w:eastAsia="仿宋_GB2312"/>
                      <w:sz w:val="21"/>
                    </w:rPr>
                    <w:t>工作日上午8:30-12:00，下午13:00- 17:30；休息日、法定休假日正常休息；全年在岗时间不得低于岗位要求时间的95%。</w:t>
                  </w:r>
                </w:p>
                <w:p>
                  <w:pPr>
                    <w:pStyle w:val="null3"/>
                    <w:jc w:val="both"/>
                  </w:pPr>
                  <w:r>
                    <w:rPr>
                      <w:rFonts w:ascii="仿宋_GB2312" w:hAnsi="仿宋_GB2312" w:cs="仿宋_GB2312" w:eastAsia="仿宋_GB2312"/>
                      <w:sz w:val="21"/>
                      <w:b/>
                    </w:rPr>
                    <w:t>工作经验：</w:t>
                  </w:r>
                  <w:r>
                    <w:rPr>
                      <w:rFonts w:ascii="仿宋_GB2312" w:hAnsi="仿宋_GB2312" w:cs="仿宋_GB2312" w:eastAsia="仿宋_GB2312"/>
                      <w:sz w:val="21"/>
                    </w:rPr>
                    <w:t>具有1年及以上非住宅类物业项目会务服务（或相同语意）经历。</w:t>
                  </w:r>
                </w:p>
                <w:p>
                  <w:pPr>
                    <w:pStyle w:val="null3"/>
                    <w:jc w:val="both"/>
                  </w:pPr>
                  <w:r>
                    <w:rPr>
                      <w:rFonts w:ascii="仿宋_GB2312" w:hAnsi="仿宋_GB2312" w:cs="仿宋_GB2312" w:eastAsia="仿宋_GB2312"/>
                      <w:sz w:val="21"/>
                      <w:b/>
                    </w:rPr>
                    <w:t>其他证书要求：</w:t>
                  </w:r>
                  <w:r>
                    <w:rPr>
                      <w:rFonts w:ascii="仿宋_GB2312" w:hAnsi="仿宋_GB2312" w:cs="仿宋_GB2312" w:eastAsia="仿宋_GB2312"/>
                      <w:sz w:val="21"/>
                    </w:rPr>
                    <w:t>具有大学专科及以上学历。</w:t>
                  </w:r>
                  <w:r>
                    <w:rPr>
                      <w:rFonts w:ascii="仿宋_GB2312" w:hAnsi="仿宋_GB2312" w:cs="仿宋_GB2312" w:eastAsia="仿宋_GB2312"/>
                      <w:sz w:val="21"/>
                      <w:b/>
                    </w:rPr>
                    <w:t>（说明：提供有效学历证书复印件）</w:t>
                  </w:r>
                </w:p>
              </w:tc>
            </w:tr>
            <w:tr>
              <w:tc>
                <w:tcPr>
                  <w:tcW w:type="dxa" w:w="567"/>
                  <w:vMerge/>
                  <w:tcBorders>
                    <w:top w:val="none" w:color="000000" w:sz="4"/>
                    <w:left w:val="single" w:color="000000" w:sz="4"/>
                    <w:bottom w:val="single" w:color="000000" w:sz="4"/>
                    <w:right w:val="single" w:color="000000" w:sz="4"/>
                  </w:tcBorders>
                </w:tc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实验室器皿洗涤</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w:t>
                  </w:r>
                </w:p>
              </w:tc>
              <w:tc>
                <w:tcPr>
                  <w:tcW w:type="dxa" w:w="30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rPr>
                    <w:t>年龄：</w:t>
                  </w:r>
                  <w:r>
                    <w:rPr>
                      <w:rFonts w:ascii="仿宋_GB2312" w:hAnsi="仿宋_GB2312" w:cs="仿宋_GB2312" w:eastAsia="仿宋_GB2312"/>
                      <w:sz w:val="21"/>
                    </w:rPr>
                    <w:t>18岁以上，男性60岁以下，女性50岁以下；</w:t>
                  </w:r>
                </w:p>
                <w:p>
                  <w:pPr>
                    <w:pStyle w:val="null3"/>
                    <w:jc w:val="both"/>
                  </w:pPr>
                  <w:r>
                    <w:rPr>
                      <w:rFonts w:ascii="仿宋_GB2312" w:hAnsi="仿宋_GB2312" w:cs="仿宋_GB2312" w:eastAsia="仿宋_GB2312"/>
                      <w:sz w:val="21"/>
                      <w:b/>
                    </w:rPr>
                    <w:t>工作时间：</w:t>
                  </w:r>
                  <w:r>
                    <w:rPr>
                      <w:rFonts w:ascii="仿宋_GB2312" w:hAnsi="仿宋_GB2312" w:cs="仿宋_GB2312" w:eastAsia="仿宋_GB2312"/>
                      <w:sz w:val="21"/>
                    </w:rPr>
                    <w:t>工作日上午8:30- 12:00，下午13:00-17:30；休息日、法定休假日正常休息；全年在岗时间不得低于岗位要求时间的95%；</w:t>
                  </w:r>
                </w:p>
                <w:p>
                  <w:pPr>
                    <w:pStyle w:val="null3"/>
                    <w:jc w:val="both"/>
                  </w:pPr>
                  <w:r>
                    <w:rPr>
                      <w:rFonts w:ascii="仿宋_GB2312" w:hAnsi="仿宋_GB2312" w:cs="仿宋_GB2312" w:eastAsia="仿宋_GB2312"/>
                      <w:sz w:val="21"/>
                      <w:b/>
                    </w:rPr>
                    <w:t>工作经验：</w:t>
                  </w:r>
                  <w:r>
                    <w:rPr>
                      <w:rFonts w:ascii="仿宋_GB2312" w:hAnsi="仿宋_GB2312" w:cs="仿宋_GB2312" w:eastAsia="仿宋_GB2312"/>
                      <w:sz w:val="21"/>
                    </w:rPr>
                    <w:t>具有1年及以上作为实验室器皿洗涤（或相同语意）服务经历。</w:t>
                  </w:r>
                </w:p>
                <w:p>
                  <w:pPr>
                    <w:pStyle w:val="null3"/>
                    <w:jc w:val="both"/>
                  </w:pPr>
                  <w:r>
                    <w:rPr>
                      <w:rFonts w:ascii="仿宋_GB2312" w:hAnsi="仿宋_GB2312" w:cs="仿宋_GB2312" w:eastAsia="仿宋_GB2312"/>
                      <w:sz w:val="21"/>
                      <w:b/>
                    </w:rPr>
                    <w:t>专业能力：</w:t>
                  </w:r>
                  <w:r>
                    <w:rPr>
                      <w:rFonts w:ascii="仿宋_GB2312" w:hAnsi="仿宋_GB2312" w:cs="仿宋_GB2312" w:eastAsia="仿宋_GB2312"/>
                      <w:sz w:val="21"/>
                    </w:rPr>
                    <w:t>具有医疗机构颁发的医院感染管理岗位培训合格证明。</w:t>
                  </w:r>
                  <w:r>
                    <w:rPr>
                      <w:rFonts w:ascii="仿宋_GB2312" w:hAnsi="仿宋_GB2312" w:cs="仿宋_GB2312" w:eastAsia="仿宋_GB2312"/>
                      <w:sz w:val="21"/>
                      <w:b/>
                    </w:rPr>
                    <w:t>（说明：提供有效证明复印件）</w:t>
                  </w:r>
                </w:p>
              </w:tc>
            </w:tr>
            <w:tr>
              <w:tc>
                <w:tcPr>
                  <w:tcW w:type="dxa" w:w="567"/>
                  <w:vMerge/>
                  <w:tcBorders>
                    <w:top w:val="none" w:color="000000" w:sz="4"/>
                    <w:left w:val="single" w:color="000000" w:sz="4"/>
                    <w:bottom w:val="single" w:color="000000" w:sz="4"/>
                    <w:right w:val="single" w:color="000000" w:sz="4"/>
                  </w:tcBorders>
                </w:tc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疫苗库管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至少1人（即有1人调休的工作日可以为1人在岗）</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c>
                <w:tcPr>
                  <w:tcW w:type="dxa" w:w="30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rPr>
                    <w:t>年龄：</w:t>
                  </w:r>
                  <w:r>
                    <w:rPr>
                      <w:rFonts w:ascii="仿宋_GB2312" w:hAnsi="仿宋_GB2312" w:cs="仿宋_GB2312" w:eastAsia="仿宋_GB2312"/>
                      <w:sz w:val="21"/>
                    </w:rPr>
                    <w:t>18岁以上，男性60岁以下，女性50岁以下；</w:t>
                  </w:r>
                </w:p>
                <w:p>
                  <w:pPr>
                    <w:pStyle w:val="null3"/>
                    <w:jc w:val="both"/>
                  </w:pPr>
                  <w:r>
                    <w:rPr>
                      <w:rFonts w:ascii="仿宋_GB2312" w:hAnsi="仿宋_GB2312" w:cs="仿宋_GB2312" w:eastAsia="仿宋_GB2312"/>
                      <w:sz w:val="21"/>
                      <w:b/>
                    </w:rPr>
                    <w:t>工作时间：</w:t>
                  </w:r>
                  <w:r>
                    <w:rPr>
                      <w:rFonts w:ascii="仿宋_GB2312" w:hAnsi="仿宋_GB2312" w:cs="仿宋_GB2312" w:eastAsia="仿宋_GB2312"/>
                      <w:sz w:val="21"/>
                    </w:rPr>
                    <w:t>工作日上午8:30- 12:00，下午13:00-17:30；休息日、法定休假日期间安排1人值班（值班期间工作时间与工作日相同）；全年在岗时间不得低于岗位要求时间的95%；休息日加班：104人次/年；法定休假日加班：13人次/年。</w:t>
                  </w:r>
                </w:p>
                <w:p>
                  <w:pPr>
                    <w:pStyle w:val="null3"/>
                    <w:jc w:val="both"/>
                  </w:pPr>
                  <w:r>
                    <w:rPr>
                      <w:rFonts w:ascii="仿宋_GB2312" w:hAnsi="仿宋_GB2312" w:cs="仿宋_GB2312" w:eastAsia="仿宋_GB2312"/>
                      <w:sz w:val="21"/>
                      <w:b/>
                    </w:rPr>
                    <w:t>工作经验：</w:t>
                  </w:r>
                  <w:r>
                    <w:rPr>
                      <w:rFonts w:ascii="仿宋_GB2312" w:hAnsi="仿宋_GB2312" w:cs="仿宋_GB2312" w:eastAsia="仿宋_GB2312"/>
                      <w:sz w:val="21"/>
                    </w:rPr>
                    <w:t>具有冷链运输相关知识或经验。</w:t>
                  </w:r>
                </w:p>
              </w:tc>
            </w:tr>
            <w:tr>
              <w:tc>
                <w:tcPr>
                  <w:tcW w:type="dxa" w:w="5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安保部</w:t>
                  </w:r>
                </w:p>
                <w:p>
                  <w:pPr>
                    <w:pStyle w:val="null3"/>
                    <w:jc w:val="both"/>
                  </w:pPr>
                  <w:r>
                    <w:rPr>
                      <w:rFonts w:ascii="仿宋_GB2312" w:hAnsi="仿宋_GB2312" w:cs="仿宋_GB2312" w:eastAsia="仿宋_GB2312"/>
                      <w:sz w:val="21"/>
                    </w:rPr>
                    <w:t>（秩序维护）</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门岗兼领班</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白班3人；除白班外2人</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9</w:t>
                  </w:r>
                </w:p>
              </w:tc>
              <w:tc>
                <w:tcPr>
                  <w:tcW w:type="dxa" w:w="30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rPr>
                    <w:t>年龄：</w:t>
                  </w:r>
                  <w:r>
                    <w:rPr>
                      <w:rFonts w:ascii="仿宋_GB2312" w:hAnsi="仿宋_GB2312" w:cs="仿宋_GB2312" w:eastAsia="仿宋_GB2312"/>
                      <w:sz w:val="21"/>
                    </w:rPr>
                    <w:t>18岁以上，男性60岁以下，女性50岁以下；</w:t>
                  </w:r>
                </w:p>
                <w:p>
                  <w:pPr>
                    <w:pStyle w:val="null3"/>
                    <w:jc w:val="both"/>
                  </w:pPr>
                  <w:r>
                    <w:rPr>
                      <w:rFonts w:ascii="仿宋_GB2312" w:hAnsi="仿宋_GB2312" w:cs="仿宋_GB2312" w:eastAsia="仿宋_GB2312"/>
                      <w:sz w:val="21"/>
                      <w:b/>
                    </w:rPr>
                    <w:t>工作时间：</w:t>
                  </w:r>
                  <w:r>
                    <w:rPr>
                      <w:rFonts w:ascii="仿宋_GB2312" w:hAnsi="仿宋_GB2312" w:cs="仿宋_GB2312" w:eastAsia="仿宋_GB2312"/>
                      <w:sz w:val="21"/>
                    </w:rPr>
                    <w:t>全年三班倒；全年在岗时间不得低于岗位要求时间的95%。休息日加班：232人次/年；法定休假日加班：91人次/年。</w:t>
                  </w:r>
                </w:p>
                <w:p>
                  <w:pPr>
                    <w:pStyle w:val="null3"/>
                    <w:jc w:val="both"/>
                  </w:pPr>
                  <w:r>
                    <w:rPr>
                      <w:rFonts w:ascii="仿宋_GB2312" w:hAnsi="仿宋_GB2312" w:cs="仿宋_GB2312" w:eastAsia="仿宋_GB2312"/>
                      <w:sz w:val="21"/>
                      <w:b/>
                    </w:rPr>
                    <w:t>工作经验：</w:t>
                  </w:r>
                  <w:r>
                    <w:rPr>
                      <w:rFonts w:ascii="仿宋_GB2312" w:hAnsi="仿宋_GB2312" w:cs="仿宋_GB2312" w:eastAsia="仿宋_GB2312"/>
                      <w:sz w:val="21"/>
                    </w:rPr>
                    <w:t>具有1年及以上非住宅类物业项目秩序维护服务（或相同语意）工作经验。</w:t>
                  </w:r>
                </w:p>
                <w:p>
                  <w:pPr>
                    <w:pStyle w:val="null3"/>
                    <w:jc w:val="both"/>
                  </w:pPr>
                  <w:r>
                    <w:rPr>
                      <w:rFonts w:ascii="仿宋_GB2312" w:hAnsi="仿宋_GB2312" w:cs="仿宋_GB2312" w:eastAsia="仿宋_GB2312"/>
                      <w:sz w:val="21"/>
                      <w:b/>
                    </w:rPr>
                    <w:t>专业能力：</w:t>
                  </w:r>
                  <w:r>
                    <w:rPr>
                      <w:rFonts w:ascii="仿宋_GB2312" w:hAnsi="仿宋_GB2312" w:cs="仿宋_GB2312" w:eastAsia="仿宋_GB2312"/>
                      <w:sz w:val="21"/>
                    </w:rPr>
                    <w:t>持公安部门颁发的保安员证。（说明：提供有效证书复印件）</w:t>
                  </w:r>
                </w:p>
              </w:tc>
            </w:tr>
            <w:tr>
              <w:tc>
                <w:tcPr>
                  <w:tcW w:type="dxa" w:w="567"/>
                  <w:vMerge/>
                  <w:tcBorders>
                    <w:top w:val="none" w:color="000000" w:sz="4"/>
                    <w:left w:val="single" w:color="000000" w:sz="4"/>
                    <w:bottom w:val="single" w:color="000000" w:sz="4"/>
                    <w:right w:val="single" w:color="000000" w:sz="4"/>
                  </w:tcBorders>
                </w:tc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车辆管理和安全巡逻岗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4</w:t>
                  </w:r>
                </w:p>
              </w:tc>
              <w:tc>
                <w:tcPr>
                  <w:tcW w:type="dxa" w:w="30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rPr>
                    <w:t>年龄：</w:t>
                  </w:r>
                  <w:r>
                    <w:rPr>
                      <w:rFonts w:ascii="仿宋_GB2312" w:hAnsi="仿宋_GB2312" w:cs="仿宋_GB2312" w:eastAsia="仿宋_GB2312"/>
                      <w:sz w:val="21"/>
                    </w:rPr>
                    <w:t>18岁以上，男性60岁以下，女性50岁以下；</w:t>
                  </w:r>
                </w:p>
                <w:p>
                  <w:pPr>
                    <w:pStyle w:val="null3"/>
                    <w:jc w:val="both"/>
                  </w:pPr>
                  <w:r>
                    <w:rPr>
                      <w:rFonts w:ascii="仿宋_GB2312" w:hAnsi="仿宋_GB2312" w:cs="仿宋_GB2312" w:eastAsia="仿宋_GB2312"/>
                      <w:sz w:val="21"/>
                      <w:b/>
                    </w:rPr>
                    <w:t>工作时间：</w:t>
                  </w:r>
                  <w:r>
                    <w:rPr>
                      <w:rFonts w:ascii="仿宋_GB2312" w:hAnsi="仿宋_GB2312" w:cs="仿宋_GB2312" w:eastAsia="仿宋_GB2312"/>
                      <w:sz w:val="21"/>
                    </w:rPr>
                    <w:t>全年三班倒；全年在岗时间不得低于岗位要求时间的95%。休息日加班：64人次/年；法定休假日加班：39人次/年。</w:t>
                  </w:r>
                </w:p>
                <w:p>
                  <w:pPr>
                    <w:pStyle w:val="null3"/>
                    <w:jc w:val="both"/>
                  </w:pPr>
                  <w:r>
                    <w:rPr>
                      <w:rFonts w:ascii="仿宋_GB2312" w:hAnsi="仿宋_GB2312" w:cs="仿宋_GB2312" w:eastAsia="仿宋_GB2312"/>
                      <w:sz w:val="21"/>
                      <w:b/>
                    </w:rPr>
                    <w:t>工作经验：</w:t>
                  </w:r>
                  <w:r>
                    <w:rPr>
                      <w:rFonts w:ascii="仿宋_GB2312" w:hAnsi="仿宋_GB2312" w:cs="仿宋_GB2312" w:eastAsia="仿宋_GB2312"/>
                      <w:sz w:val="21"/>
                    </w:rPr>
                    <w:t>具有1年及以上非住宅类物业项目秩序维护服务（或相同语意）工作经验。</w:t>
                  </w:r>
                </w:p>
                <w:p>
                  <w:pPr>
                    <w:pStyle w:val="null3"/>
                    <w:jc w:val="both"/>
                  </w:pPr>
                  <w:r>
                    <w:rPr>
                      <w:rFonts w:ascii="仿宋_GB2312" w:hAnsi="仿宋_GB2312" w:cs="仿宋_GB2312" w:eastAsia="仿宋_GB2312"/>
                      <w:sz w:val="21"/>
                      <w:b/>
                    </w:rPr>
                    <w:t>专业能力：</w:t>
                  </w:r>
                  <w:r>
                    <w:rPr>
                      <w:rFonts w:ascii="仿宋_GB2312" w:hAnsi="仿宋_GB2312" w:cs="仿宋_GB2312" w:eastAsia="仿宋_GB2312"/>
                      <w:sz w:val="21"/>
                    </w:rPr>
                    <w:t>持公安部门颁发的保安员证。（说明：提供有效证书复印件）</w:t>
                  </w:r>
                </w:p>
              </w:tc>
            </w:tr>
            <w:tr>
              <w:tc>
                <w:tcPr>
                  <w:tcW w:type="dxa" w:w="567"/>
                  <w:vMerge/>
                  <w:tcBorders>
                    <w:top w:val="none" w:color="000000" w:sz="4"/>
                    <w:left w:val="single" w:color="000000" w:sz="4"/>
                    <w:bottom w:val="single" w:color="000000" w:sz="4"/>
                    <w:right w:val="single" w:color="000000" w:sz="4"/>
                  </w:tcBorders>
                </w:tc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安防监控岗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4</w:t>
                  </w:r>
                </w:p>
              </w:tc>
              <w:tc>
                <w:tcPr>
                  <w:tcW w:type="dxa" w:w="30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rPr>
                    <w:t>年龄：</w:t>
                  </w:r>
                  <w:r>
                    <w:rPr>
                      <w:rFonts w:ascii="仿宋_GB2312" w:hAnsi="仿宋_GB2312" w:cs="仿宋_GB2312" w:eastAsia="仿宋_GB2312"/>
                      <w:sz w:val="21"/>
                    </w:rPr>
                    <w:t>18岁以上，男性60岁以下，女性50岁以下；</w:t>
                  </w:r>
                </w:p>
                <w:p>
                  <w:pPr>
                    <w:pStyle w:val="null3"/>
                    <w:jc w:val="both"/>
                  </w:pPr>
                  <w:r>
                    <w:rPr>
                      <w:rFonts w:ascii="仿宋_GB2312" w:hAnsi="仿宋_GB2312" w:cs="仿宋_GB2312" w:eastAsia="仿宋_GB2312"/>
                      <w:sz w:val="21"/>
                      <w:b/>
                    </w:rPr>
                    <w:t>工作时间：</w:t>
                  </w:r>
                  <w:r>
                    <w:rPr>
                      <w:rFonts w:ascii="仿宋_GB2312" w:hAnsi="仿宋_GB2312" w:cs="仿宋_GB2312" w:eastAsia="仿宋_GB2312"/>
                      <w:sz w:val="21"/>
                    </w:rPr>
                    <w:t>全年三班倒；全年在岗时间不得低于岗位要求时间的100%，人员空缺需安排具备同等资质的人员顶班。休息日加班：64人次/年；法定休假日加班：39人次/年。</w:t>
                  </w:r>
                </w:p>
                <w:p>
                  <w:pPr>
                    <w:pStyle w:val="null3"/>
                    <w:jc w:val="both"/>
                  </w:pPr>
                  <w:r>
                    <w:rPr>
                      <w:rFonts w:ascii="仿宋_GB2312" w:hAnsi="仿宋_GB2312" w:cs="仿宋_GB2312" w:eastAsia="仿宋_GB2312"/>
                      <w:sz w:val="21"/>
                      <w:b/>
                    </w:rPr>
                    <w:t>工作经验：</w:t>
                  </w:r>
                  <w:r>
                    <w:rPr>
                      <w:rFonts w:ascii="仿宋_GB2312" w:hAnsi="仿宋_GB2312" w:cs="仿宋_GB2312" w:eastAsia="仿宋_GB2312"/>
                      <w:sz w:val="21"/>
                    </w:rPr>
                    <w:t>具有1年及以上安防监控室岗位（或相同语意）工作经验。</w:t>
                  </w:r>
                </w:p>
                <w:p>
                  <w:pPr>
                    <w:pStyle w:val="null3"/>
                    <w:jc w:val="both"/>
                  </w:pPr>
                  <w:r>
                    <w:rPr>
                      <w:rFonts w:ascii="仿宋_GB2312" w:hAnsi="仿宋_GB2312" w:cs="仿宋_GB2312" w:eastAsia="仿宋_GB2312"/>
                      <w:sz w:val="21"/>
                      <w:b/>
                    </w:rPr>
                    <w:t>专业能力：</w:t>
                  </w:r>
                  <w:r>
                    <w:rPr>
                      <w:rFonts w:ascii="仿宋_GB2312" w:hAnsi="仿宋_GB2312" w:cs="仿宋_GB2312" w:eastAsia="仿宋_GB2312"/>
                      <w:sz w:val="21"/>
                    </w:rPr>
                    <w:t>持公安部门颁发的保安员证。（说明：提供有效证书复印件）</w:t>
                  </w:r>
                </w:p>
              </w:tc>
            </w:tr>
            <w:tr>
              <w:tc>
                <w:tcPr>
                  <w:tcW w:type="dxa" w:w="567"/>
                  <w:vMerge/>
                  <w:tcBorders>
                    <w:top w:val="none" w:color="000000" w:sz="4"/>
                    <w:left w:val="single" w:color="000000" w:sz="4"/>
                    <w:bottom w:val="single" w:color="000000" w:sz="4"/>
                    <w:right w:val="single" w:color="000000" w:sz="4"/>
                  </w:tcBorders>
                </w:tc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消防监控岗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8</w:t>
                  </w:r>
                </w:p>
              </w:tc>
              <w:tc>
                <w:tcPr>
                  <w:tcW w:type="dxa" w:w="30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rPr>
                    <w:t>年龄：</w:t>
                  </w:r>
                  <w:r>
                    <w:rPr>
                      <w:rFonts w:ascii="仿宋_GB2312" w:hAnsi="仿宋_GB2312" w:cs="仿宋_GB2312" w:eastAsia="仿宋_GB2312"/>
                      <w:sz w:val="21"/>
                    </w:rPr>
                    <w:t>18岁以上，男性60岁以下，女性50岁以下；</w:t>
                  </w:r>
                </w:p>
                <w:p>
                  <w:pPr>
                    <w:pStyle w:val="null3"/>
                    <w:jc w:val="both"/>
                  </w:pPr>
                  <w:r>
                    <w:rPr>
                      <w:rFonts w:ascii="仿宋_GB2312" w:hAnsi="仿宋_GB2312" w:cs="仿宋_GB2312" w:eastAsia="仿宋_GB2312"/>
                      <w:sz w:val="21"/>
                      <w:b/>
                    </w:rPr>
                    <w:t>工作时间：</w:t>
                  </w:r>
                  <w:r>
                    <w:rPr>
                      <w:rFonts w:ascii="仿宋_GB2312" w:hAnsi="仿宋_GB2312" w:cs="仿宋_GB2312" w:eastAsia="仿宋_GB2312"/>
                      <w:sz w:val="21"/>
                    </w:rPr>
                    <w:t>全年三班倒；全年在岗时间不得低于岗位要求时间的100%，人员空缺需安排具备同等资质的人员顶班。休息日加班：128人次/年；法定休假日加班：78人次/年。</w:t>
                  </w:r>
                </w:p>
                <w:p>
                  <w:pPr>
                    <w:pStyle w:val="null3"/>
                    <w:jc w:val="both"/>
                  </w:pPr>
                  <w:r>
                    <w:rPr>
                      <w:rFonts w:ascii="仿宋_GB2312" w:hAnsi="仿宋_GB2312" w:cs="仿宋_GB2312" w:eastAsia="仿宋_GB2312"/>
                      <w:sz w:val="21"/>
                      <w:b/>
                    </w:rPr>
                    <w:t>工作经验：</w:t>
                  </w:r>
                  <w:r>
                    <w:rPr>
                      <w:rFonts w:ascii="仿宋_GB2312" w:hAnsi="仿宋_GB2312" w:cs="仿宋_GB2312" w:eastAsia="仿宋_GB2312"/>
                      <w:sz w:val="21"/>
                    </w:rPr>
                    <w:t>具有1年及以上消防监控室岗位（或相同语意）工作经验。</w:t>
                  </w:r>
                </w:p>
                <w:p>
                  <w:pPr>
                    <w:pStyle w:val="null3"/>
                    <w:jc w:val="both"/>
                  </w:pPr>
                  <w:r>
                    <w:rPr>
                      <w:rFonts w:ascii="仿宋_GB2312" w:hAnsi="仿宋_GB2312" w:cs="仿宋_GB2312" w:eastAsia="仿宋_GB2312"/>
                      <w:sz w:val="21"/>
                      <w:b/>
                    </w:rPr>
                    <w:t>专业能力：</w:t>
                  </w:r>
                  <w:r>
                    <w:rPr>
                      <w:rFonts w:ascii="仿宋_GB2312" w:hAnsi="仿宋_GB2312" w:cs="仿宋_GB2312" w:eastAsia="仿宋_GB2312"/>
                      <w:sz w:val="21"/>
                    </w:rPr>
                    <w:t>持有效的政府部门消防设施操作员证或建（构）筑物消防员证书（说明：提供有效证书复印件，证书职业方向为消防设施监控操作或未明确职业方向,若证书上已明确职业方向仅为消防设施检测维修保养的则不满足本要求）。</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保洁绿化部（</w:t>
                  </w:r>
                  <w:r>
                    <w:rPr>
                      <w:rFonts w:ascii="仿宋_GB2312" w:hAnsi="仿宋_GB2312" w:cs="仿宋_GB2312" w:eastAsia="仿宋_GB2312"/>
                      <w:sz w:val="21"/>
                      <w:b/>
                    </w:rPr>
                    <w:t>环境卫生</w:t>
                  </w:r>
                  <w:r>
                    <w:rPr>
                      <w:rFonts w:ascii="仿宋_GB2312" w:hAnsi="仿宋_GB2312" w:cs="仿宋_GB2312" w:eastAsia="仿宋_GB2312"/>
                      <w:sz w:val="21"/>
                    </w:rPr>
                    <w:t>）</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保洁及布草洗涤、搬运和垃圾清运（含生活垃圾、餐厨垃圾、医废、危废转运）、园林绿化</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工作日至少6人（即有1人调休的工作日可为6人在岗）；</w:t>
                  </w:r>
                </w:p>
                <w:p>
                  <w:pPr>
                    <w:pStyle w:val="null3"/>
                    <w:jc w:val="left"/>
                  </w:pPr>
                  <w:r>
                    <w:rPr>
                      <w:rFonts w:ascii="仿宋_GB2312" w:hAnsi="仿宋_GB2312" w:cs="仿宋_GB2312" w:eastAsia="仿宋_GB2312"/>
                      <w:sz w:val="21"/>
                      <w:color w:val="000000"/>
                    </w:rPr>
                    <w:t>非</w:t>
                  </w:r>
                  <w:r>
                    <w:rPr>
                      <w:rFonts w:ascii="仿宋_GB2312" w:hAnsi="仿宋_GB2312" w:cs="仿宋_GB2312" w:eastAsia="仿宋_GB2312"/>
                      <w:sz w:val="21"/>
                      <w:color w:val="000000"/>
                    </w:rPr>
                    <w:t>工作日1人</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7</w:t>
                  </w:r>
                </w:p>
              </w:tc>
              <w:tc>
                <w:tcPr>
                  <w:tcW w:type="dxa" w:w="30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rPr>
                    <w:t>年龄：</w:t>
                  </w:r>
                  <w:r>
                    <w:rPr>
                      <w:rFonts w:ascii="仿宋_GB2312" w:hAnsi="仿宋_GB2312" w:cs="仿宋_GB2312" w:eastAsia="仿宋_GB2312"/>
                      <w:sz w:val="21"/>
                    </w:rPr>
                    <w:t>18岁以上，男性60岁以下，女性50岁以下；</w:t>
                  </w:r>
                </w:p>
                <w:p>
                  <w:pPr>
                    <w:pStyle w:val="null3"/>
                    <w:jc w:val="both"/>
                  </w:pPr>
                  <w:r>
                    <w:rPr>
                      <w:rFonts w:ascii="仿宋_GB2312" w:hAnsi="仿宋_GB2312" w:cs="仿宋_GB2312" w:eastAsia="仿宋_GB2312"/>
                      <w:sz w:val="21"/>
                      <w:b/>
                    </w:rPr>
                    <w:t>工作时间</w:t>
                  </w:r>
                  <w:r>
                    <w:rPr>
                      <w:rFonts w:ascii="仿宋_GB2312" w:hAnsi="仿宋_GB2312" w:cs="仿宋_GB2312" w:eastAsia="仿宋_GB2312"/>
                      <w:sz w:val="21"/>
                    </w:rPr>
                    <w:t>：全年工作时间上午8:30- 12:00，下午13:00-17:30；全年在岗时间不得低于岗位要求时间的95%。非工作日的每日工作时间参考工作日的工作时间。</w:t>
                  </w:r>
                </w:p>
                <w:p>
                  <w:pPr>
                    <w:pStyle w:val="null3"/>
                    <w:jc w:val="both"/>
                  </w:pPr>
                  <w:r>
                    <w:rPr>
                      <w:rFonts w:ascii="仿宋_GB2312" w:hAnsi="仿宋_GB2312" w:cs="仿宋_GB2312" w:eastAsia="仿宋_GB2312"/>
                      <w:sz w:val="21"/>
                      <w:b/>
                    </w:rPr>
                    <w:t>工作经验：</w:t>
                  </w:r>
                  <w:r>
                    <w:rPr>
                      <w:rFonts w:ascii="仿宋_GB2312" w:hAnsi="仿宋_GB2312" w:cs="仿宋_GB2312" w:eastAsia="仿宋_GB2312"/>
                      <w:sz w:val="21"/>
                    </w:rPr>
                    <w:t>具有1年以上非住宅类物业项目保洁服务工作经验（或相同语意）工作经验。</w:t>
                  </w:r>
                </w:p>
                <w:p>
                  <w:pPr>
                    <w:pStyle w:val="null3"/>
                    <w:jc w:val="both"/>
                  </w:pPr>
                  <w:r>
                    <w:rPr>
                      <w:rFonts w:ascii="仿宋_GB2312" w:hAnsi="仿宋_GB2312" w:cs="仿宋_GB2312" w:eastAsia="仿宋_GB2312"/>
                      <w:sz w:val="21"/>
                      <w:b/>
                    </w:rPr>
                    <w:t>专业能力：</w:t>
                  </w:r>
                  <w:r>
                    <w:rPr>
                      <w:rFonts w:ascii="仿宋_GB2312" w:hAnsi="仿宋_GB2312" w:cs="仿宋_GB2312" w:eastAsia="仿宋_GB2312"/>
                      <w:sz w:val="21"/>
                    </w:rPr>
                    <w:t>至少2人具有中华人民共和国特种作业操作证（作业类别：高处作业—高处安装、维护、拆除作业）；至少1人具有效的中级及以上园林绿化或市政工程（园林绿化工程）职称证书。至少1人具有有效的健康证。（说明：1.提供有效证书复印件，证书需要复审的，还应提供复审证明；2.前两类持证人员应为不同人员）。</w:t>
                  </w:r>
                </w:p>
              </w:tc>
            </w:tr>
            <w:tr>
              <w:tc>
                <w:tcPr>
                  <w:tcW w:type="dxa" w:w="5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工程部（设施设备维护及专项服务）</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综合维修兼领班</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4</w:t>
                  </w:r>
                </w:p>
              </w:tc>
              <w:tc>
                <w:tcPr>
                  <w:tcW w:type="dxa" w:w="30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年龄：18岁以上，男性60岁以下，女性50岁以下；</w:t>
                  </w:r>
                  <w:r>
                    <w:br/>
                  </w:r>
                  <w:r>
                    <w:rPr>
                      <w:rFonts w:ascii="仿宋_GB2312" w:hAnsi="仿宋_GB2312" w:cs="仿宋_GB2312" w:eastAsia="仿宋_GB2312"/>
                      <w:sz w:val="22"/>
                      <w:color w:val="000000"/>
                    </w:rPr>
                    <w:t xml:space="preserve"> 工作时间：①综合维修兼领班全年三班倒；全年在岗时间不得低于岗位要求时间的95%。休息日加班：64人次/年；法定休假日加班：39人次/年。②特种设备操作工工作日上午8:30-12:00，下午13:00-17:30；休息日、法定休假日正常休息；全年在岗时间不得低于岗位要求时间的95%。</w:t>
                  </w:r>
                  <w:r>
                    <w:br/>
                  </w:r>
                  <w:r>
                    <w:rPr>
                      <w:rFonts w:ascii="仿宋_GB2312" w:hAnsi="仿宋_GB2312" w:cs="仿宋_GB2312" w:eastAsia="仿宋_GB2312"/>
                      <w:sz w:val="22"/>
                      <w:color w:val="000000"/>
                    </w:rPr>
                    <w:t xml:space="preserve"> 工作经验：其中综合维修兼领班具有3年以上非住宅类物业项目设施设备维护主管（或相同语意）工作经验。</w:t>
                  </w:r>
                  <w:r>
                    <w:br/>
                  </w:r>
                  <w:r>
                    <w:rPr>
                      <w:rFonts w:ascii="仿宋_GB2312" w:hAnsi="仿宋_GB2312" w:cs="仿宋_GB2312" w:eastAsia="仿宋_GB2312"/>
                      <w:sz w:val="22"/>
                      <w:color w:val="000000"/>
                    </w:rPr>
                    <w:t xml:space="preserve"> 专业能力：①其中2人持有效的行政主管部门颁发的《中华人民共和国特种作业操作证》（低压电工作业) ；②其中2人具有中级及以上（建筑工程类或机电类或工民建类或给排水类或电气工程类或电气自动化类或建筑装饰装修类或建筑智能化系统类）职称证书。③本项人员（综合维修兼领班及特种设备操作工）具有有效的行政主管部门颁发的《中华人民共和国特种作业操作证》（制冷与空调设备运行操作作业或制冷与空调设备安装修理作业）；具有有效的行政主管部门颁发的特种设备安全管理和作业人员证（固定式压力容器操作证R1，工业锅炉司炉（G1）），具有有效的行政主管部门颁发的特种设备安全管理和作业人员证（A或A4）。（说明：提供有效证书复印件，需要复审的，还应提供复审记录）（说明：</w:t>
                  </w:r>
                  <w:r>
                    <w:rPr>
                      <w:rFonts w:ascii="仿宋_GB2312" w:hAnsi="仿宋_GB2312" w:cs="仿宋_GB2312" w:eastAsia="仿宋_GB2312"/>
                      <w:sz w:val="22"/>
                      <w:color w:val="000000"/>
                    </w:rPr>
                    <w:t>1.提供有效证书复印件，特种作业操作证书需要复审的，还应提供复审记录。2.第③条所要求的证书，可由本项5名人员（综合维修兼领班4人+特种设备操作工1人）中的一人同时具备，或由本项所述人员多人分别具备，确保第③条所有证书类型均被覆盖即可。 ）</w:t>
                  </w:r>
                </w:p>
                <w:p>
                  <w:pPr>
                    <w:pStyle w:val="null3"/>
                    <w:jc w:val="both"/>
                  </w:pPr>
                  <w:r>
                    <w:rPr>
                      <w:rFonts w:ascii="仿宋_GB2312" w:hAnsi="仿宋_GB2312" w:cs="仿宋_GB2312" w:eastAsia="仿宋_GB2312"/>
                    </w:rPr>
                    <w:t xml:space="preserve"> </w:t>
                  </w:r>
                </w:p>
              </w:tc>
            </w:tr>
            <w:tr>
              <w:tc>
                <w:tcPr>
                  <w:tcW w:type="dxa" w:w="567"/>
                  <w:vMerge/>
                  <w:tcBorders>
                    <w:top w:val="none" w:color="000000" w:sz="4"/>
                    <w:left w:val="single" w:color="000000" w:sz="4"/>
                    <w:bottom w:val="single" w:color="000000" w:sz="4"/>
                    <w:right w:val="single" w:color="000000" w:sz="4"/>
                  </w:tcBorders>
                </w:tc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特种设备操作工</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w:t>
                  </w:r>
                </w:p>
              </w:tc>
              <w:tc>
                <w:tcPr>
                  <w:tcW w:type="dxa" w:w="3019"/>
                  <w:vMerge/>
                  <w:tcBorders>
                    <w:top w:val="none" w:color="000000" w:sz="4"/>
                    <w:left w:val="none" w:color="000000" w:sz="4"/>
                    <w:bottom w:val="single" w:color="000000" w:sz="4"/>
                    <w:right w:val="single" w:color="000000" w:sz="4"/>
                  </w:tcBorders>
                </w:tcPr>
                <w:p/>
              </w:tc>
            </w:tr>
          </w:tbl>
          <w:p>
            <w:pPr>
              <w:pStyle w:val="null3"/>
              <w:ind w:firstLine="480"/>
              <w:jc w:val="both"/>
            </w:pPr>
            <w:r>
              <w:rPr>
                <w:rFonts w:ascii="仿宋_GB2312" w:hAnsi="仿宋_GB2312" w:cs="仿宋_GB2312" w:eastAsia="仿宋_GB2312"/>
                <w:sz w:val="24"/>
                <w:color w:val="000000"/>
              </w:rPr>
              <w:t>说明：上表中凡要求“全年在岗时间不得低于岗位要求时间的95%”的岗位人员，若不在岗均应执行请假手续（列明请假具体原因），其非在岗时间不得用于本项目休息日上班人员调休。</w:t>
            </w:r>
          </w:p>
          <w:p>
            <w:pPr>
              <w:pStyle w:val="null3"/>
              <w:jc w:val="both"/>
              <w:outlineLvl w:val="1"/>
            </w:pPr>
            <w:r>
              <w:rPr>
                <w:rFonts w:ascii="仿宋_GB2312" w:hAnsi="仿宋_GB2312" w:cs="仿宋_GB2312" w:eastAsia="仿宋_GB2312"/>
                <w:sz w:val="24"/>
                <w:b/>
                <w:color w:val="000000"/>
              </w:rPr>
              <w:t>（二）人员管理要求</w:t>
            </w:r>
          </w:p>
          <w:p>
            <w:pPr>
              <w:pStyle w:val="null3"/>
              <w:ind w:firstLine="480"/>
              <w:jc w:val="both"/>
            </w:pPr>
            <w:r>
              <w:rPr>
                <w:rFonts w:ascii="仿宋_GB2312" w:hAnsi="仿宋_GB2312" w:cs="仿宋_GB2312" w:eastAsia="仿宋_GB2312"/>
                <w:sz w:val="24"/>
                <w:color w:val="000000"/>
              </w:rPr>
              <w:t>（1）品德行为良好，严格遵守考勤制度，按时完成工作任务。若因工作安排或时间临时调整，应服从采购方与供应商的统一调度。</w:t>
            </w:r>
          </w:p>
          <w:p>
            <w:pPr>
              <w:pStyle w:val="null3"/>
              <w:ind w:firstLine="480"/>
              <w:jc w:val="both"/>
            </w:pPr>
            <w:r>
              <w:rPr>
                <w:rFonts w:ascii="仿宋_GB2312" w:hAnsi="仿宋_GB2312" w:cs="仿宋_GB2312" w:eastAsia="仿宋_GB2312"/>
                <w:sz w:val="24"/>
                <w:color w:val="000000"/>
              </w:rPr>
              <w:t>（2）身体健康，无传染性疾病、精神类疾病等影响履行职责的病史，具备相应岗位所要求的体能和技能。</w:t>
            </w:r>
          </w:p>
          <w:p>
            <w:pPr>
              <w:pStyle w:val="null3"/>
              <w:ind w:firstLine="480"/>
              <w:jc w:val="both"/>
            </w:pPr>
            <w:r>
              <w:rPr>
                <w:rFonts w:ascii="仿宋_GB2312" w:hAnsi="仿宋_GB2312" w:cs="仿宋_GB2312" w:eastAsia="仿宋_GB2312"/>
                <w:sz w:val="24"/>
                <w:color w:val="000000"/>
              </w:rPr>
              <w:t>（3）具备良好的服务精神和沟通能力，在工作中积极配合采购人相关部门的检查与指导，发现问题和困难，应迅速反馈。</w:t>
            </w:r>
          </w:p>
          <w:p>
            <w:pPr>
              <w:pStyle w:val="null3"/>
              <w:ind w:firstLine="480"/>
              <w:jc w:val="both"/>
            </w:pPr>
            <w:r>
              <w:rPr>
                <w:rFonts w:ascii="仿宋_GB2312" w:hAnsi="仿宋_GB2312" w:cs="仿宋_GB2312" w:eastAsia="仿宋_GB2312"/>
                <w:sz w:val="24"/>
                <w:color w:val="000000"/>
              </w:rPr>
              <w:t>（4）自觉爱护作业工具、器械以及采购人的公共设施，妥善保管保洁用品、绿化养护药剂等物资，避免浪费。当发现工具损坏或物资不足时，应及时申报和处理。</w:t>
            </w:r>
          </w:p>
          <w:p>
            <w:pPr>
              <w:pStyle w:val="null3"/>
              <w:ind w:firstLine="480"/>
              <w:jc w:val="both"/>
            </w:pPr>
            <w:r>
              <w:rPr>
                <w:rFonts w:ascii="仿宋_GB2312" w:hAnsi="仿宋_GB2312" w:cs="仿宋_GB2312" w:eastAsia="仿宋_GB2312"/>
                <w:sz w:val="24"/>
                <w:color w:val="000000"/>
              </w:rPr>
              <w:t>（5）采购人有权要求投标方在领取中标通知书后、签订合同前，配备本项目所需的全部人员。采购人有权核查中标供应商投标文件中明确拟派人员的证明材料，以及中标供应商与拟派人员签订的劳动合同。</w:t>
            </w:r>
          </w:p>
          <w:p>
            <w:pPr>
              <w:pStyle w:val="null3"/>
              <w:ind w:firstLine="480"/>
              <w:jc w:val="both"/>
            </w:pPr>
            <w:r>
              <w:rPr>
                <w:rFonts w:ascii="仿宋_GB2312" w:hAnsi="仿宋_GB2312" w:cs="仿宋_GB2312" w:eastAsia="仿宋_GB2312"/>
                <w:sz w:val="24"/>
                <w:color w:val="000000"/>
              </w:rPr>
              <w:t>（6）按照规定使用相关工具器械，熟悉各类工具、器械的正确操作方法。在使用化学消毒、除四害药剂时，应严格遵守操作规程，做好个人防护，设置警示标志，防止对人员和环境造成损害。</w:t>
            </w:r>
          </w:p>
          <w:p>
            <w:pPr>
              <w:pStyle w:val="null3"/>
              <w:ind w:firstLine="480"/>
              <w:jc w:val="both"/>
            </w:pPr>
            <w:r>
              <w:rPr>
                <w:rFonts w:ascii="仿宋_GB2312" w:hAnsi="仿宋_GB2312" w:cs="仿宋_GB2312" w:eastAsia="仿宋_GB2312"/>
                <w:sz w:val="24"/>
                <w:color w:val="000000"/>
              </w:rPr>
              <w:t>（7）投标人的服务人员工资及社保标准不得低于项目所在地成都市最新的最低工资标准及社保标准。拟投入本项目的所有人员均应按照《中华人民共和国劳动合同法》签订劳动合同。若发生工伤、疾病甚至死亡等情况，一切责任和费用均由投标人承担。</w:t>
            </w:r>
          </w:p>
          <w:p>
            <w:pPr>
              <w:pStyle w:val="null3"/>
              <w:ind w:firstLine="480"/>
              <w:jc w:val="both"/>
            </w:pPr>
            <w:r>
              <w:rPr>
                <w:rFonts w:ascii="仿宋_GB2312" w:hAnsi="仿宋_GB2312" w:cs="仿宋_GB2312" w:eastAsia="仿宋_GB2312"/>
                <w:sz w:val="24"/>
                <w:color w:val="000000"/>
              </w:rPr>
              <w:t>（8）投标人需定期对服务人员进行培训，提升其专业技能和服务意识。培训内容应涵盖但不限于安全操作、应急处理、沟通技巧等方面。</w:t>
            </w:r>
          </w:p>
          <w:p>
            <w:pPr>
              <w:pStyle w:val="null3"/>
              <w:ind w:firstLine="480"/>
              <w:jc w:val="both"/>
              <w:outlineLvl w:val="0"/>
            </w:pPr>
            <w:r>
              <w:rPr>
                <w:rFonts w:ascii="仿宋_GB2312" w:hAnsi="仿宋_GB2312" w:cs="仿宋_GB2312" w:eastAsia="仿宋_GB2312"/>
                <w:sz w:val="24"/>
                <w:b/>
                <w:color w:val="000000"/>
              </w:rPr>
              <w:t>★五、商务要求（说明：在投标文件中承诺或响应）</w:t>
            </w:r>
          </w:p>
          <w:tbl>
            <w:tblPr>
              <w:tblBorders>
                <w:top w:val="none" w:color="000000" w:sz="4"/>
                <w:left w:val="none" w:color="000000" w:sz="4"/>
                <w:bottom w:val="none" w:color="000000" w:sz="4"/>
                <w:right w:val="none" w:color="000000" w:sz="4"/>
                <w:insideH w:val="none"/>
                <w:insideV w:val="none"/>
              </w:tblBorders>
            </w:tblPr>
            <w:tblGrid>
              <w:gridCol w:w="1018"/>
              <w:gridCol w:w="4580"/>
            </w:tblGrid>
            <w:tr>
              <w:tc>
                <w:tcPr>
                  <w:tcW w:type="dxa" w:w="101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类别</w:t>
                  </w:r>
                </w:p>
              </w:tc>
              <w:tc>
                <w:tcPr>
                  <w:tcW w:type="dxa" w:w="458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具体要求</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服务时间要求</w:t>
                  </w:r>
                </w:p>
              </w:tc>
              <w:tc>
                <w:tcPr>
                  <w:tcW w:type="dxa" w:w="4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2026年6月-2029年6月；共计3年，合同一年一签。每年考核验收合格后，经双方协商一致，可续签下一年合同。</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履约地点要求</w:t>
                  </w:r>
                </w:p>
              </w:tc>
              <w:tc>
                <w:tcPr>
                  <w:tcW w:type="dxa" w:w="4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成都市武侯区龙祥路4号</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付款要求</w:t>
                  </w:r>
                </w:p>
              </w:tc>
              <w:tc>
                <w:tcPr>
                  <w:tcW w:type="dxa" w:w="4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（1）合同签订生效后，采购人收到供应商提供的正规等额发票后10个工作日内，采购人按照合同总金额的50%预付合同履约期前6个月的服务费；</w:t>
                  </w:r>
                </w:p>
                <w:p>
                  <w:pPr>
                    <w:pStyle w:val="null3"/>
                    <w:jc w:val="both"/>
                  </w:pPr>
                  <w:r>
                    <w:rPr>
                      <w:rFonts w:ascii="仿宋_GB2312" w:hAnsi="仿宋_GB2312" w:cs="仿宋_GB2312" w:eastAsia="仿宋_GB2312"/>
                      <w:sz w:val="21"/>
                    </w:rPr>
                    <w:t>（2）经采购人对供应商前6个月的服务进行第一次考核和阶段性验收合格且采购人收到供应商提供的正规等额发票等完整结算材料后10个工作日内，采购人按照合同总金额的25%预付合同履约期第7至9个月的服务费；</w:t>
                  </w:r>
                </w:p>
                <w:p>
                  <w:pPr>
                    <w:pStyle w:val="null3"/>
                    <w:jc w:val="both"/>
                  </w:pPr>
                  <w:r>
                    <w:rPr>
                      <w:rFonts w:ascii="仿宋_GB2312" w:hAnsi="仿宋_GB2312" w:cs="仿宋_GB2312" w:eastAsia="仿宋_GB2312"/>
                      <w:sz w:val="21"/>
                    </w:rPr>
                    <w:t>（3）供应商12个月合同服务期满且完成所有工作，经采购人第二次考核和整体验收合格，且采购人收到供应商提供的正规等额发票等完整结算材料后10个工作日内，采购人按照合同总金额的25%支付服务费。</w:t>
                  </w:r>
                </w:p>
                <w:p>
                  <w:pPr>
                    <w:pStyle w:val="null3"/>
                    <w:jc w:val="both"/>
                  </w:pPr>
                  <w:r>
                    <w:rPr>
                      <w:rFonts w:ascii="仿宋_GB2312" w:hAnsi="仿宋_GB2312" w:cs="仿宋_GB2312" w:eastAsia="仿宋_GB2312"/>
                      <w:sz w:val="21"/>
                    </w:rPr>
                    <w:t>（4）若支付期间遇到财政支付平台关闭、财政拨付延迟等原因，经考核供应商前期服务情况，采购人与供应商协商可提前支付或延迟支付款项。</w:t>
                  </w:r>
                </w:p>
                <w:p>
                  <w:pPr>
                    <w:pStyle w:val="null3"/>
                    <w:jc w:val="both"/>
                  </w:pPr>
                  <w:r>
                    <w:rPr>
                      <w:rFonts w:ascii="仿宋_GB2312" w:hAnsi="仿宋_GB2312" w:cs="仿宋_GB2312" w:eastAsia="仿宋_GB2312"/>
                      <w:sz w:val="21"/>
                    </w:rPr>
                    <w:t>（5）供应商原因、财政拨付、遇法定休假日、双方存在争议等合理理由致使采购人迟延支付的，不视为采购人违约，供应商不得擅自停止履行合同义务。</w:t>
                  </w:r>
                </w:p>
                <w:p>
                  <w:pPr>
                    <w:pStyle w:val="null3"/>
                    <w:jc w:val="both"/>
                  </w:pPr>
                  <w:r>
                    <w:rPr>
                      <w:rFonts w:ascii="仿宋_GB2312" w:hAnsi="仿宋_GB2312" w:cs="仿宋_GB2312" w:eastAsia="仿宋_GB2312"/>
                      <w:sz w:val="21"/>
                    </w:rPr>
                    <w:t>（6）供应商违约需支付违约金、赔偿金等款项或存在考核扣款的，采购人有权从结算款中直接扣除相应的款项，不足部分由供应商另行补足。</w:t>
                  </w:r>
                </w:p>
                <w:p>
                  <w:pPr>
                    <w:pStyle w:val="null3"/>
                    <w:jc w:val="both"/>
                  </w:pPr>
                  <w:r>
                    <w:rPr>
                      <w:rFonts w:ascii="仿宋_GB2312" w:hAnsi="仿宋_GB2312" w:cs="仿宋_GB2312" w:eastAsia="仿宋_GB2312"/>
                      <w:sz w:val="21"/>
                    </w:rPr>
                    <w:t>（7）合同提前解除时，采购人无需向供应商支付尚未如约提供服务期间所对应的服务费，若采购人已先行支付的，供应商应足额退款。</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违约责任与解决争议的方法</w:t>
                  </w:r>
                </w:p>
              </w:tc>
              <w:tc>
                <w:tcPr>
                  <w:tcW w:type="dxa" w:w="4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采购人违约责任</w:t>
                  </w:r>
                </w:p>
                <w:p>
                  <w:pPr>
                    <w:pStyle w:val="null3"/>
                    <w:jc w:val="both"/>
                  </w:pPr>
                  <w:r>
                    <w:rPr>
                      <w:rFonts w:ascii="仿宋_GB2312" w:hAnsi="仿宋_GB2312" w:cs="仿宋_GB2312" w:eastAsia="仿宋_GB2312"/>
                      <w:sz w:val="21"/>
                    </w:rPr>
                    <w:t>1.采购人无正当理由拒绝付款，采购人应偿付拒付金额的百分之十的违约金。</w:t>
                  </w:r>
                </w:p>
                <w:p>
                  <w:pPr>
                    <w:pStyle w:val="null3"/>
                    <w:jc w:val="both"/>
                  </w:pPr>
                  <w:r>
                    <w:rPr>
                      <w:rFonts w:ascii="仿宋_GB2312" w:hAnsi="仿宋_GB2312" w:cs="仿宋_GB2312" w:eastAsia="仿宋_GB2312"/>
                      <w:sz w:val="21"/>
                    </w:rPr>
                    <w:t>2.采购人无合理理由逾期支付服务款项的，除应及时付足服务款项外，应向投标人偿付欠款总额万分之一/天的违约金，累计不超过欠付款总额的百分之十，逾期付款超过三十天的，投标人有权终止合同。</w:t>
                  </w:r>
                </w:p>
                <w:p>
                  <w:pPr>
                    <w:pStyle w:val="null3"/>
                    <w:jc w:val="both"/>
                  </w:pPr>
                  <w:r>
                    <w:rPr>
                      <w:rFonts w:ascii="仿宋_GB2312" w:hAnsi="仿宋_GB2312" w:cs="仿宋_GB2312" w:eastAsia="仿宋_GB2312"/>
                      <w:sz w:val="21"/>
                    </w:rPr>
                    <w:t>3.采购人无正当理由解除合同或导致合同被解除，采购人应偿付剩余服务期对应款项的百分之十作为违约金。</w:t>
                  </w:r>
                </w:p>
                <w:p>
                  <w:pPr>
                    <w:pStyle w:val="null3"/>
                    <w:jc w:val="both"/>
                  </w:pPr>
                  <w:r>
                    <w:rPr>
                      <w:rFonts w:ascii="仿宋_GB2312" w:hAnsi="仿宋_GB2312" w:cs="仿宋_GB2312" w:eastAsia="仿宋_GB2312"/>
                      <w:sz w:val="21"/>
                    </w:rPr>
                    <w:t>4.采购人偿付的违约金不足以弥补投标人直接损失的，还应按投标人直接损失尚未弥补的部分，支付赔偿金给投标人。</w:t>
                  </w:r>
                </w:p>
                <w:p>
                  <w:pPr>
                    <w:pStyle w:val="null3"/>
                    <w:jc w:val="both"/>
                  </w:pPr>
                  <w:r>
                    <w:rPr>
                      <w:rFonts w:ascii="仿宋_GB2312" w:hAnsi="仿宋_GB2312" w:cs="仿宋_GB2312" w:eastAsia="仿宋_GB2312"/>
                      <w:sz w:val="21"/>
                    </w:rPr>
                    <w:t>（二）投标人违约责任</w:t>
                  </w:r>
                </w:p>
                <w:p>
                  <w:pPr>
                    <w:pStyle w:val="null3"/>
                    <w:jc w:val="both"/>
                  </w:pPr>
                  <w:r>
                    <w:rPr>
                      <w:rFonts w:ascii="仿宋_GB2312" w:hAnsi="仿宋_GB2312" w:cs="仿宋_GB2312" w:eastAsia="仿宋_GB2312"/>
                      <w:sz w:val="21"/>
                    </w:rPr>
                    <w:t>1.投标人服务质量不符合合同约定的，投标人须在采购人要求的时间内整改合格，否则，视作投标人不能按约定提供服务而违约，按本条本款下述第“2”项约定由投标人偿付违约金给采购人。</w:t>
                  </w:r>
                </w:p>
                <w:p>
                  <w:pPr>
                    <w:pStyle w:val="null3"/>
                    <w:jc w:val="both"/>
                  </w:pPr>
                  <w:r>
                    <w:rPr>
                      <w:rFonts w:ascii="仿宋_GB2312" w:hAnsi="仿宋_GB2312" w:cs="仿宋_GB2312" w:eastAsia="仿宋_GB2312"/>
                      <w:sz w:val="21"/>
                    </w:rPr>
                    <w:t>2.投标人不能按约定提供服务而违约的，每发生一次，按照合同总金额的千分之十支付违约金给采购人且还应继续承担服务义务；投标人不能按约定提供服务达到3次，采购人有权解除合同，投标人则应按合同总金额的百分之十向采购人偿付违约金并赔偿采购人由此产生的全部损失，并须就未如约履行部分全额退还采购人已经付给投标人的服务款项，采购人无需支付其余费用。</w:t>
                  </w:r>
                </w:p>
                <w:p>
                  <w:pPr>
                    <w:pStyle w:val="null3"/>
                    <w:jc w:val="both"/>
                  </w:pPr>
                  <w:r>
                    <w:rPr>
                      <w:rFonts w:ascii="仿宋_GB2312" w:hAnsi="仿宋_GB2312" w:cs="仿宋_GB2312" w:eastAsia="仿宋_GB2312"/>
                      <w:sz w:val="21"/>
                    </w:rPr>
                    <w:t>3.投标人无正当理由解除合同或导致合同被解除，投标人除应向采购人返还未如约履行部分所对应的已收款项外，投标人还应向采购人偿付合同总额百分之十的违约金并赔偿采购人的损失。</w:t>
                  </w:r>
                </w:p>
                <w:p>
                  <w:pPr>
                    <w:pStyle w:val="null3"/>
                    <w:jc w:val="both"/>
                  </w:pPr>
                  <w:r>
                    <w:rPr>
                      <w:rFonts w:ascii="仿宋_GB2312" w:hAnsi="仿宋_GB2312" w:cs="仿宋_GB2312" w:eastAsia="仿宋_GB2312"/>
                      <w:sz w:val="21"/>
                    </w:rPr>
                    <w:t>4.投标人违反合同其他约定且未按采购人要求整改的，投标人则应按合同总金额的百分之十向采购人偿付违约金并赔偿采购人由此产生的全部损失，采购人有权解除合同。</w:t>
                  </w:r>
                </w:p>
                <w:p>
                  <w:pPr>
                    <w:pStyle w:val="null3"/>
                    <w:jc w:val="both"/>
                  </w:pPr>
                  <w:r>
                    <w:rPr>
                      <w:rFonts w:ascii="仿宋_GB2312" w:hAnsi="仿宋_GB2312" w:cs="仿宋_GB2312" w:eastAsia="仿宋_GB2312"/>
                      <w:sz w:val="21"/>
                    </w:rPr>
                    <w:t>5.投标人偿付的违约金不足以弥补采购人合理损失的，还应按采购人合理损失尚未弥补的部分，支付赔偿金给采购人。投标人向采购人承担的损失赔偿责任范围包括但不限于采购人主张权利支付的律师费、诉讼费、保全费、保全担保费等维权费用以及采购人向第三方支付的赔偿款或向主管部门缴纳的罚款和采购人支付的招标成本等损失。</w:t>
                  </w:r>
                </w:p>
                <w:p>
                  <w:pPr>
                    <w:pStyle w:val="null3"/>
                    <w:jc w:val="both"/>
                  </w:pPr>
                  <w:r>
                    <w:rPr>
                      <w:rFonts w:ascii="仿宋_GB2312" w:hAnsi="仿宋_GB2312" w:cs="仿宋_GB2312" w:eastAsia="仿宋_GB2312"/>
                      <w:sz w:val="21"/>
                    </w:rPr>
                    <w:t>6.若投标人未履行、迟延履行或履行本合同项下义务不符合约定，采购人有权采取包括但不限于另行委托第三方完成相关服务、采取风险防控及补救措施等风险解除行为，由此产生的全部费用均投标人承担，采购人有权直接从结算款中扣除，不足部分由投标人另行补足。</w:t>
                  </w:r>
                </w:p>
                <w:p>
                  <w:pPr>
                    <w:pStyle w:val="null3"/>
                    <w:jc w:val="both"/>
                  </w:pPr>
                  <w:r>
                    <w:rPr>
                      <w:rFonts w:ascii="仿宋_GB2312" w:hAnsi="仿宋_GB2312" w:cs="仿宋_GB2312" w:eastAsia="仿宋_GB2312"/>
                      <w:sz w:val="21"/>
                    </w:rPr>
                    <w:t>解决争议的方法：</w:t>
                  </w:r>
                </w:p>
                <w:p>
                  <w:pPr>
                    <w:pStyle w:val="null3"/>
                    <w:jc w:val="both"/>
                  </w:pPr>
                  <w:r>
                    <w:rPr>
                      <w:rFonts w:ascii="仿宋_GB2312" w:hAnsi="仿宋_GB2312" w:cs="仿宋_GB2312" w:eastAsia="仿宋_GB2312"/>
                      <w:sz w:val="21"/>
                    </w:rPr>
                    <w:t>1.凡与本合同有关而引起的一切争议，双方应首先通过友好协商解决，如经协商后仍不能达成一致时，任何一方可以向法院提出诉讼。</w:t>
                  </w:r>
                </w:p>
                <w:p>
                  <w:pPr>
                    <w:pStyle w:val="null3"/>
                    <w:jc w:val="both"/>
                  </w:pPr>
                  <w:r>
                    <w:rPr>
                      <w:rFonts w:ascii="仿宋_GB2312" w:hAnsi="仿宋_GB2312" w:cs="仿宋_GB2312" w:eastAsia="仿宋_GB2312"/>
                      <w:sz w:val="21"/>
                    </w:rPr>
                    <w:t>2.基于本合同发生纠纷的诉讼管辖地为采购人所在地的人民法院。</w:t>
                  </w:r>
                </w:p>
                <w:p>
                  <w:pPr>
                    <w:pStyle w:val="null3"/>
                    <w:jc w:val="both"/>
                  </w:pPr>
                  <w:r>
                    <w:rPr>
                      <w:rFonts w:ascii="仿宋_GB2312" w:hAnsi="仿宋_GB2312" w:cs="仿宋_GB2312" w:eastAsia="仿宋_GB2312"/>
                      <w:sz w:val="21"/>
                    </w:rPr>
                    <w:t>3.在进行法院审理期间，除提交法院审理的事项外，合同其他部分仍继续履行，双方根据实际情况以及合同约定进行结算。</w:t>
                  </w:r>
                </w:p>
                <w:p>
                  <w:pPr>
                    <w:pStyle w:val="null3"/>
                    <w:jc w:val="both"/>
                  </w:pPr>
                  <w:r>
                    <w:rPr>
                      <w:rFonts w:ascii="仿宋_GB2312" w:hAnsi="仿宋_GB2312" w:cs="仿宋_GB2312" w:eastAsia="仿宋_GB2312"/>
                      <w:sz w:val="21"/>
                    </w:rPr>
                    <w:t>4.本合同按照中华人民共和国法律进行解释。</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xml:space="preserve">知识产权要求    </w:t>
                  </w:r>
                </w:p>
              </w:tc>
              <w:tc>
                <w:tcPr>
                  <w:tcW w:type="dxa" w:w="4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供应商应保证在本项目中使用的任何技术、产品和服务（包括部分使用），不会产生因第三方提出侵犯其专利权、商标权或其他知识产权等合法权益而引起的法律和经济纠纷，如存在前述情形，由供应商承担所有相关责任，并且赔偿由此给采购人带来的损失（包括但不限于采购人向第三方支付的赔偿款或向主管部门缴纳的罚款等）。</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合同其他条款</w:t>
                  </w:r>
                </w:p>
              </w:tc>
              <w:tc>
                <w:tcPr>
                  <w:tcW w:type="dxa" w:w="4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不可抗力：</w:t>
                  </w:r>
                </w:p>
                <w:p>
                  <w:pPr>
                    <w:pStyle w:val="null3"/>
                    <w:jc w:val="both"/>
                  </w:pPr>
                  <w:r>
                    <w:rPr>
                      <w:rFonts w:ascii="仿宋_GB2312" w:hAnsi="仿宋_GB2312" w:cs="仿宋_GB2312" w:eastAsia="仿宋_GB2312"/>
                      <w:sz w:val="21"/>
                    </w:rPr>
                    <w:t>1.本条所述的“不可抗力”是指受影响方无法控制、不可预见的事件，包括战争、严重火灾、洪水、台风、地震、疫情及其他双方认可的事件，不包括故意违约或疏忽。</w:t>
                  </w:r>
                </w:p>
                <w:p>
                  <w:pPr>
                    <w:pStyle w:val="null3"/>
                    <w:jc w:val="both"/>
                  </w:pPr>
                  <w:r>
                    <w:rPr>
                      <w:rFonts w:ascii="仿宋_GB2312" w:hAnsi="仿宋_GB2312" w:cs="仿宋_GB2312" w:eastAsia="仿宋_GB2312"/>
                      <w:sz w:val="21"/>
                    </w:rPr>
                    <w:t>2.在不可抗力事件发生后，遭遇不可抗力的一方应尽快以书面形式将不可抗力的情况和原因通知对方并减小损失，若怠于通知或怠于减小损失导致损失的，由怠于履行方自行承担由此产生的全部损失。</w:t>
                  </w:r>
                </w:p>
                <w:p>
                  <w:pPr>
                    <w:pStyle w:val="null3"/>
                    <w:jc w:val="both"/>
                  </w:pPr>
                  <w:r>
                    <w:rPr>
                      <w:rFonts w:ascii="仿宋_GB2312" w:hAnsi="仿宋_GB2312" w:cs="仿宋_GB2312" w:eastAsia="仿宋_GB2312"/>
                      <w:sz w:val="21"/>
                    </w:rPr>
                    <w:t>3.双方知晓不可抗力发生之日起30日内，双方应就本合同是否继续履行进行协商，若无履行必要或履行困难，双方可解除本合同且不视为违约。</w:t>
                  </w:r>
                </w:p>
                <w:p>
                  <w:pPr>
                    <w:pStyle w:val="null3"/>
                    <w:jc w:val="both"/>
                  </w:pPr>
                  <w:r>
                    <w:rPr>
                      <w:rFonts w:ascii="仿宋_GB2312" w:hAnsi="仿宋_GB2312" w:cs="仿宋_GB2312" w:eastAsia="仿宋_GB2312"/>
                      <w:sz w:val="21"/>
                    </w:rPr>
                    <w:t>4.因一方违约行为导致不可抗力发生的，违约方应承担违约责任。</w:t>
                  </w:r>
                </w:p>
                <w:p>
                  <w:pPr>
                    <w:pStyle w:val="null3"/>
                    <w:jc w:val="both"/>
                  </w:pPr>
                  <w:r>
                    <w:rPr>
                      <w:rFonts w:ascii="仿宋_GB2312" w:hAnsi="仿宋_GB2312" w:cs="仿宋_GB2312" w:eastAsia="仿宋_GB2312"/>
                      <w:sz w:val="21"/>
                    </w:rPr>
                    <w:t>保密条款：投标人及投标人员工应对本合同内容或在本合同履行期间取得或收到采购人商务、财务、技术、产品信息、用户资料或其它本项目产生的文件（简称"保密资料"）保守秘密，未经采购人事先书面同意，不得向本合同以外任何第三方披露。投标人应仅为履行本合同义务而复制和使用保密资料。本合同终止后10日内，投标人应归还本合同履行过程中所获取的采购人文件的原件和复印件，投标人不得留有存档。本保密义务应在本合同期满、解除或终止后永久有效。投标人违反本条约定，采购人有权解除合同并要求投标人按照合同总额的10%支付违约金并赔偿采购人的损失。</w:t>
                  </w:r>
                </w:p>
                <w:p>
                  <w:pPr>
                    <w:pStyle w:val="null3"/>
                    <w:jc w:val="both"/>
                  </w:pPr>
                  <w:r>
                    <w:rPr>
                      <w:rFonts w:ascii="仿宋_GB2312" w:hAnsi="仿宋_GB2312" w:cs="仿宋_GB2312" w:eastAsia="仿宋_GB2312"/>
                      <w:sz w:val="21"/>
                    </w:rPr>
                    <w:t>合同其他条款：</w:t>
                  </w:r>
                </w:p>
                <w:p>
                  <w:pPr>
                    <w:pStyle w:val="null3"/>
                    <w:jc w:val="both"/>
                  </w:pPr>
                  <w:r>
                    <w:rPr>
                      <w:rFonts w:ascii="仿宋_GB2312" w:hAnsi="仿宋_GB2312" w:cs="仿宋_GB2312" w:eastAsia="仿宋_GB2312"/>
                      <w:sz w:val="21"/>
                    </w:rPr>
                    <w:t>1.采购人基于合同约定解除本合同，自解除通知载明的解除之日起，本合同即告解除。</w:t>
                  </w:r>
                </w:p>
                <w:p>
                  <w:pPr>
                    <w:pStyle w:val="null3"/>
                    <w:jc w:val="both"/>
                  </w:pPr>
                  <w:r>
                    <w:rPr>
                      <w:rFonts w:ascii="仿宋_GB2312" w:hAnsi="仿宋_GB2312" w:cs="仿宋_GB2312" w:eastAsia="仿宋_GB2312"/>
                      <w:sz w:val="21"/>
                    </w:rPr>
                    <w:t>2.本合同附件及本项目的招标文件、投标文件、《中标通知书》等均为本合同不可分割的部分。</w:t>
                  </w:r>
                </w:p>
                <w:p>
                  <w:pPr>
                    <w:pStyle w:val="null3"/>
                    <w:jc w:val="both"/>
                  </w:pPr>
                  <w:r>
                    <w:rPr>
                      <w:rFonts w:ascii="仿宋_GB2312" w:hAnsi="仿宋_GB2312" w:cs="仿宋_GB2312" w:eastAsia="仿宋_GB2312"/>
                      <w:sz w:val="21"/>
                    </w:rPr>
                    <w:t>3.若基于合同所涉采购项目质疑、投诉等经行政监管部门或者法院确认致使本合同无法继续履行的，本合同解除。若非供应商原因导致，则双方互不承担违约责任，且双方据实结算，若供应商原因导致则采购人有权要求供应商承担责任。</w:t>
                  </w:r>
                </w:p>
              </w:tc>
            </w:tr>
          </w:tbl>
          <w:p>
            <w:pPr>
              <w:pStyle w:val="null3"/>
              <w:ind w:firstLine="480"/>
              <w:jc w:val="both"/>
            </w:pPr>
            <w:r>
              <w:rPr>
                <w:rFonts w:ascii="仿宋_GB2312" w:hAnsi="仿宋_GB2312" w:cs="仿宋_GB2312" w:eastAsia="仿宋_GB2312"/>
                <w:sz w:val="24"/>
                <w:color w:val="000000"/>
              </w:rPr>
              <w:t>考核标准</w:t>
            </w:r>
          </w:p>
          <w:tbl>
            <w:tblPr>
              <w:tblBorders>
                <w:top w:val="none" w:color="000000" w:sz="4"/>
                <w:left w:val="none" w:color="000000" w:sz="4"/>
                <w:bottom w:val="none" w:color="000000" w:sz="4"/>
                <w:right w:val="none" w:color="000000" w:sz="4"/>
                <w:insideH w:val="none"/>
                <w:insideV w:val="none"/>
              </w:tblBorders>
            </w:tblPr>
            <w:tblGrid>
              <w:gridCol w:w="462"/>
              <w:gridCol w:w="577"/>
              <w:gridCol w:w="462"/>
              <w:gridCol w:w="3174"/>
              <w:gridCol w:w="462"/>
              <w:gridCol w:w="462"/>
            </w:tblGrid>
            <w:tr>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序号</w:t>
                  </w:r>
                </w:p>
              </w:tc>
              <w:tc>
                <w:tcPr>
                  <w:tcW w:type="dxa" w:w="5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项目</w:t>
                  </w:r>
                </w:p>
              </w:tc>
              <w:tc>
                <w:tcPr>
                  <w:tcW w:type="dxa" w:w="4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总分</w:t>
                  </w:r>
                </w:p>
              </w:tc>
              <w:tc>
                <w:tcPr>
                  <w:tcW w:type="dxa" w:w="317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考核标准</w:t>
                  </w:r>
                </w:p>
              </w:tc>
              <w:tc>
                <w:tcPr>
                  <w:tcW w:type="dxa" w:w="4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分值</w:t>
                  </w:r>
                </w:p>
              </w:tc>
              <w:tc>
                <w:tcPr>
                  <w:tcW w:type="dxa" w:w="4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评分</w:t>
                  </w:r>
                </w:p>
              </w:tc>
            </w:tr>
            <w:tr>
              <w:tc>
                <w:tcPr>
                  <w:tcW w:type="dxa" w:w="4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w:t>
                  </w:r>
                </w:p>
              </w:tc>
              <w:tc>
                <w:tcPr>
                  <w:tcW w:type="dxa" w:w="5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人员制度</w:t>
                  </w:r>
                </w:p>
              </w:tc>
              <w:tc>
                <w:tcPr>
                  <w:tcW w:type="dxa" w:w="4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9</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1、实行持证上岗制度</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2、项目投标时所承诺的项目工作人员，必须和承接此项目后开展工作的团队人员相符，未征得采购人同意不得更换团队成员。</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3、有健全的财务会计制度，运作规范</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4、健全考核制度，岗位职责，工作流程。建立各类应急预案。</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c>
                <w:tcPr>
                  <w:tcW w:type="dxa" w:w="5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秩序维护服务</w:t>
                  </w:r>
                </w:p>
              </w:tc>
              <w:tc>
                <w:tcPr>
                  <w:tcW w:type="dxa" w:w="4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26</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1、项目24小时有治安管理人员和值班电话。</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2、项目内公共秩序良好。发生刑事案件、火警事故、交通事故等紧急情况时，秩序维护人员应保护现场，并上报有关主管部门，无借故推诿和拖沓现象。</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3、安保人员着装整齐，熟悉项目情况，文明执勤、不徇私舞弊。</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4、安保人员执行严格的交接班制度，有书面的交接班记录，交班治安管理人员把需要在值班中继续注意或处理的问题向接班人员交代清楚。</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5、对进出项目的外来车辆进行登记，对携带大宗物品外出的实行登记制度。</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6、车辆停放规范有序，机动车和非机动车实行分区域停放。</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7、项目内建立消防责任制，工作人员掌握基本消防技能。消防设施设备完好、放置合理、定期检修，随时可以启用。消防台账账务相符。</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8、定期开展消防演习，消防培训。</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9、队员熟悉岗位职责和工作流程，掌握火灾、大风、暴雨等方面突发事件的应急措施及救生知识。休假日前有安全检查。</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w:t>
                  </w:r>
                </w:p>
              </w:tc>
              <w:tc>
                <w:tcPr>
                  <w:tcW w:type="dxa" w:w="5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环境卫生服务</w:t>
                  </w:r>
                </w:p>
              </w:tc>
              <w:tc>
                <w:tcPr>
                  <w:tcW w:type="dxa" w:w="4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14</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1、保洁服务管理制度完善并落实。实行标准化清扫保洁，保证重要办公室、会议室等内外和公共场地整洁、舒适。实行微笑服务，态度和蔼，不得与工作人员发生争执。</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2、公共区域的地面、墙面、楼梯、扶手、踢脚线、台阶、梯道大门、走廊、大厅、消火栓箱表面、灭火器、开关面板、消防报警按钮等整洁干净，无垃圾、无积灰、无污渍、无手印。</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3、电梯轿厢内外、灯具、沟槽、墙面、吊顶、灯罩、门、窗（含2米以下内外玻璃）整洁程度。公共区域的地面光洁及垃圾的收集处理及屋顶平台等保洁消毒情况。</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4、卫生间、茶水间地面清洁无异味，物品摆放有序，无垃圾、无污迹、无积水、无堆积杂物，洁具、台面、镜面等光洁无水迹，电器设施外观清洁。</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5、会议室内桌椅、设备保洁情况，室内绿化物、地下车库等整洁程度。</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6、室外广场、道路、停车场、雨水沟管道、“门前三包”等公共区域的地面干净无杂物、无积水和淤泥、污垢。</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7、垃圾、废弃物按分类要求收集，日产日清；化粪池进行清掏，保持常年清洁；垃圾桶（房）外侧表面清洁、内侧无残留物，无异味；定期开展消毒灭害活动，对窨井、明沟、垃圾桶（房）等喷洒药水。</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4</w:t>
                  </w:r>
                </w:p>
              </w:tc>
              <w:tc>
                <w:tcPr>
                  <w:tcW w:type="dxa" w:w="5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绿化</w:t>
                  </w:r>
                </w:p>
              </w:tc>
              <w:tc>
                <w:tcPr>
                  <w:tcW w:type="dxa" w:w="4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8</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1、花木植物摆放品种、数量、规格符合招标文件要求。</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2、项目内植物种植的成活率达到100%。病虫害防治率100%，危害率低于5%。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3、植株修剪及时，做到枝叶紧密、圆整，无脱节、无倾斜，无枯枝死叉。</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4、绿植长势良好，无残叶、杂草。</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5</w:t>
                  </w:r>
                </w:p>
              </w:tc>
              <w:tc>
                <w:tcPr>
                  <w:tcW w:type="dxa" w:w="5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设施设备维护服务</w:t>
                  </w:r>
                </w:p>
              </w:tc>
              <w:tc>
                <w:tcPr>
                  <w:tcW w:type="dxa" w:w="4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22</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1、工程维修保养制度及操作规程完善并落实。落实保证大楼各项设备设施安全有效运行。</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2、电气设备、照明完好率达到100%，供电线路及后备电源、照明灯具、中央空调室内机组的检查和维护，发现损坏做好维修。</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3、配备专职人员上岗，正确操作各项电气设备，做好原始记录；定期检查巡视高低压配电系统，并抄录各种表计，发现设备出现异常和故障，应通知有关部门进行检修，并做好记录。</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4、给排水设备运行正常，设施完好，无跑冒滴漏；机房整洁无积尘、积水、无杂物。</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5、锅炉设备、中央空调完好，运行正常。管道、阀门无跑冒滴漏现象及事故隐患。</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6、实行24小时工程运行维修值班制度。接到报修后30分钟内到现场排除故障，维修合格率100%，零返修。微笑服务，文明施工、安全操作，维修工作完成后做好现场清理工作。</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7、积极配合维保单位做好对大楼的各项设备的维护保养工作。发现问题及时处置，并做好记录。</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8、负责制定所管辖系统设备月度和年度的维修保养计划和备品、备件计划，定期报送监管部门审定，并负责组织安排维修保养计划的实施，制定工作标准，督导下属保证工作质量。</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6</w:t>
                  </w:r>
                </w:p>
              </w:tc>
              <w:tc>
                <w:tcPr>
                  <w:tcW w:type="dxa" w:w="5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综合服务</w:t>
                  </w:r>
                </w:p>
              </w:tc>
              <w:tc>
                <w:tcPr>
                  <w:tcW w:type="dxa" w:w="4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12</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1、会务服务保障响应及时，服务到位；会场布置满足开会要求；音响、话筒、灯光等设备在会议期间正常运行；会议期间茶水保障及时到位。</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2、按要求完成布草清洗、消毒工作，清洗后的布草干净、整洁、无污渍。</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3、按要求完成实验室器具的清洗、消毒工作。消毒设备操作规范，未发生安全事故，医废转运规范及时。</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4、疫苗库管人员履职到位，期间无安全事故发生，无违规操作行为，未出现因人员失职失责造成疫苗损坏、丢失的情况。</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5、按要求及时发放桶装水，做好发放记录，期间未出现桶装水发放不及时或发放错误的情况。</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6、严格落实监管责任，履行装修备案登记制度，对装修人员、材料、设施设备进行安全管理，对违规行为及时制止，确保装修期间不发生火灾、盗窃、人员伤亡事故，不破坏采购人正常工作秩序。</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7</w:t>
                  </w:r>
                </w:p>
              </w:tc>
              <w:tc>
                <w:tcPr>
                  <w:tcW w:type="dxa" w:w="5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其他服务</w:t>
                  </w:r>
                </w:p>
              </w:tc>
              <w:tc>
                <w:tcPr>
                  <w:tcW w:type="dxa" w:w="4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6</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1、根据采购人要求做好疫苗、食材及其他临时性搬运工作，做到响应及时，人员充足，搬运过程中不发生人员伤亡或财产损失的情况。</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2、提前制定好重大活动保障机制和应急预案，顺利完成采购人重大活动保障，期间未发生履职不到位或因失职失责对活动造成不良影响的情况。</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有突发公共事件应急预案，按要求定期开展培训和演练，未发生因处置不当对采购人造成不良影响的事件。</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8</w:t>
                  </w:r>
                </w:p>
              </w:tc>
              <w:tc>
                <w:tcPr>
                  <w:tcW w:type="dxa" w:w="5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投诉检查整改项</w:t>
                  </w:r>
                </w:p>
              </w:tc>
              <w:tc>
                <w:tcPr>
                  <w:tcW w:type="dxa" w:w="4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1、建立完善的投诉响应机制，并能妥善处理各类投诉及建议，给予投诉客户答复。</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2、检查整改有效落实。</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3、无其它违反甲方相关规定之事项。</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9</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总得分</w:t>
                  </w:r>
                </w:p>
              </w:tc>
              <w:tc>
                <w:tcPr>
                  <w:tcW w:type="dxa" w:w="4098"/>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实际考核得分</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5599"/>
                  <w:gridSpan w:val="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备注：（1）定期考核及扣罚：采购人定期对中标供应商工作进行考核，满分为100分，考核结果90分及以上为当次合格；90分（不含90分）以下为当次考核不合格，采购人有权要求供应商偿付合同总金额的百分之十作为违约金并要求供应商承担损失赔偿责任，采购人有权解除合同。</w:t>
                  </w:r>
                </w:p>
                <w:p>
                  <w:pPr>
                    <w:pStyle w:val="null3"/>
                    <w:jc w:val="both"/>
                  </w:pPr>
                  <w:r>
                    <w:rPr>
                      <w:rFonts w:ascii="仿宋_GB2312" w:hAnsi="仿宋_GB2312" w:cs="仿宋_GB2312" w:eastAsia="仿宋_GB2312"/>
                      <w:sz w:val="24"/>
                      <w:color w:val="000000"/>
                    </w:rPr>
                    <w:t>（2）定期考核均不合格，采购人有权不与供应商续签下一年度合同并要求供应商承担违约责任。</w:t>
                  </w:r>
                </w:p>
              </w:tc>
            </w:tr>
          </w:tbl>
          <w:p>
            <w:pPr>
              <w:pStyle w:val="null3"/>
              <w:jc w:val="both"/>
              <w:outlineLvl w:val="0"/>
            </w:pPr>
            <w:r>
              <w:rPr>
                <w:rFonts w:ascii="仿宋_GB2312" w:hAnsi="仿宋_GB2312" w:cs="仿宋_GB2312" w:eastAsia="仿宋_GB2312"/>
                <w:sz w:val="24"/>
                <w:b/>
                <w:color w:val="000000"/>
              </w:rPr>
              <w:t>★六、其他要求</w:t>
            </w:r>
          </w:p>
          <w:p>
            <w:pPr>
              <w:pStyle w:val="null3"/>
              <w:ind w:firstLine="480"/>
              <w:jc w:val="both"/>
            </w:pPr>
            <w:r>
              <w:rPr>
                <w:rFonts w:ascii="仿宋_GB2312" w:hAnsi="仿宋_GB2312" w:cs="仿宋_GB2312" w:eastAsia="仿宋_GB2312"/>
                <w:sz w:val="24"/>
                <w:color w:val="000000"/>
              </w:rPr>
              <w:t>提供2023年1月1日（含1日）以后至少2个非住宅类的物业项目合同，服务内容至少包括：秩序维护服务、环境卫生服务、基础设施维护、专业设备维护、综合服务（会务接待等）中的任意两项或多项。（说明：1、提供合同复印件、发票复印件和合同资金收款的银行票据复印件，合同资金为分期付款的，至少应提供一次合同期限内资金支付的银行票据复印件，并加盖投标人法定名称章。2、同一业主的多个合同，按一个业绩计算；3、合同中应体现相应服务内容。4、以合同签订时间为准。）</w:t>
            </w:r>
          </w:p>
          <w:p>
            <w:pPr>
              <w:pStyle w:val="null3"/>
              <w:jc w:val="both"/>
              <w:outlineLvl w:val="0"/>
            </w:pPr>
            <w:r>
              <w:rPr>
                <w:rFonts w:ascii="仿宋_GB2312" w:hAnsi="仿宋_GB2312" w:cs="仿宋_GB2312" w:eastAsia="仿宋_GB2312"/>
                <w:sz w:val="24"/>
                <w:b/>
                <w:color w:val="000000"/>
              </w:rPr>
              <w:t>★七、报价要求（说明：按照报价要求填报报价明细表）</w:t>
            </w:r>
          </w:p>
          <w:p>
            <w:pPr>
              <w:pStyle w:val="null3"/>
              <w:ind w:firstLine="480"/>
              <w:jc w:val="both"/>
            </w:pPr>
            <w:r>
              <w:rPr>
                <w:rFonts w:ascii="仿宋_GB2312" w:hAnsi="仿宋_GB2312" w:cs="仿宋_GB2312" w:eastAsia="仿宋_GB2312"/>
                <w:sz w:val="24"/>
                <w:color w:val="000000"/>
              </w:rPr>
              <w:t>（一）报价要求</w:t>
            </w:r>
          </w:p>
          <w:p>
            <w:pPr>
              <w:pStyle w:val="null3"/>
              <w:ind w:firstLine="480"/>
              <w:jc w:val="both"/>
            </w:pPr>
            <w:r>
              <w:rPr>
                <w:rFonts w:ascii="仿宋_GB2312" w:hAnsi="仿宋_GB2312" w:cs="仿宋_GB2312" w:eastAsia="仿宋_GB2312"/>
                <w:sz w:val="24"/>
                <w:color w:val="000000"/>
              </w:rPr>
              <w:t>1.投标报价为总包干价，应包括本项目涉及的所有服务内容。报价具体包含：员工工资（包含基本工资及休息日、法定休假日加班费等）；单位承担的社会保险和住房公积金；法定计提费用（工会经费、教育经费、残疾人就业保障金）；必备办公用设备；履行合同所需的工具及耗材；四害消杀费；化粪池、沉油池的清掏清洗费；管理费；企业合理利润；税费等。</w:t>
            </w:r>
          </w:p>
          <w:p>
            <w:pPr>
              <w:pStyle w:val="null3"/>
              <w:ind w:firstLine="480"/>
              <w:jc w:val="both"/>
            </w:pPr>
            <w:r>
              <w:rPr>
                <w:rFonts w:ascii="仿宋_GB2312" w:hAnsi="仿宋_GB2312" w:cs="仿宋_GB2312" w:eastAsia="仿宋_GB2312"/>
                <w:sz w:val="24"/>
                <w:color w:val="000000"/>
              </w:rPr>
              <w:t>2.因投标人自身原因造成漏报、少报皆由其自行承担责任，采购人不再补偿，以后工作过程中产生的费用均由投标人自行承担。</w:t>
            </w:r>
          </w:p>
          <w:p>
            <w:pPr>
              <w:pStyle w:val="null3"/>
              <w:ind w:firstLine="480"/>
              <w:jc w:val="both"/>
            </w:pPr>
            <w:r>
              <w:rPr>
                <w:rFonts w:ascii="仿宋_GB2312" w:hAnsi="仿宋_GB2312" w:cs="仿宋_GB2312" w:eastAsia="仿宋_GB2312"/>
                <w:sz w:val="24"/>
                <w:color w:val="000000"/>
              </w:rPr>
              <w:t>3.投标人报价应符合国家和地方关于税费、社保等的相关法律法规，结合项目所在地市场实际，并充分考虑项目所在地最低工资标准和社保缴费比率上调等因素。本项目服务期内如有最低工资标准、社保缴费基数等调整，按照最新的政策要求执行。</w:t>
            </w:r>
          </w:p>
          <w:p>
            <w:pPr>
              <w:pStyle w:val="null3"/>
              <w:ind w:firstLine="480"/>
              <w:jc w:val="both"/>
            </w:pPr>
            <w:r>
              <w:rPr>
                <w:rFonts w:ascii="仿宋_GB2312" w:hAnsi="仿宋_GB2312" w:cs="仿宋_GB2312" w:eastAsia="仿宋_GB2312"/>
                <w:sz w:val="24"/>
                <w:color w:val="000000"/>
              </w:rPr>
              <w:t>4.投标人报价应符合政府采购及国家相关政策规定，并按本招标文件要求提供分项报价明细表分项计入投标总报价具体要求如下：</w:t>
            </w:r>
          </w:p>
          <w:p>
            <w:pPr>
              <w:pStyle w:val="null3"/>
              <w:ind w:firstLine="480"/>
              <w:jc w:val="both"/>
            </w:pPr>
            <w:r>
              <w:rPr>
                <w:rFonts w:ascii="仿宋_GB2312" w:hAnsi="仿宋_GB2312" w:cs="仿宋_GB2312" w:eastAsia="仿宋_GB2312"/>
                <w:sz w:val="24"/>
                <w:color w:val="000000"/>
              </w:rPr>
              <w:t>(1)员工工资</w:t>
            </w:r>
          </w:p>
          <w:p>
            <w:pPr>
              <w:pStyle w:val="null3"/>
              <w:ind w:firstLine="480"/>
              <w:jc w:val="both"/>
            </w:pPr>
            <w:r>
              <w:rPr>
                <w:rFonts w:ascii="仿宋_GB2312" w:hAnsi="仿宋_GB2312" w:cs="仿宋_GB2312" w:eastAsia="仿宋_GB2312"/>
                <w:sz w:val="24"/>
                <w:color w:val="000000"/>
              </w:rPr>
              <w:t>①员工基本工资：基本工资不低于《成都市人民政府关于调整全市最低工资标准的通知》（成府规〔2025〕4号）规定的最低工资标准的第一档）。</w:t>
            </w:r>
          </w:p>
          <w:p>
            <w:pPr>
              <w:pStyle w:val="null3"/>
              <w:ind w:firstLine="480"/>
              <w:jc w:val="both"/>
            </w:pPr>
            <w:r>
              <w:rPr>
                <w:rFonts w:ascii="仿宋_GB2312" w:hAnsi="仿宋_GB2312" w:cs="仿宋_GB2312" w:eastAsia="仿宋_GB2312"/>
                <w:sz w:val="24"/>
                <w:color w:val="000000"/>
              </w:rPr>
              <w:t>②休息日加班工资</w:t>
            </w:r>
          </w:p>
          <w:p>
            <w:pPr>
              <w:pStyle w:val="null3"/>
              <w:ind w:firstLine="480"/>
              <w:jc w:val="both"/>
            </w:pPr>
            <w:r>
              <w:rPr>
                <w:rFonts w:ascii="仿宋_GB2312" w:hAnsi="仿宋_GB2312" w:cs="仿宋_GB2312" w:eastAsia="仿宋_GB2312"/>
                <w:sz w:val="24"/>
                <w:color w:val="000000"/>
              </w:rPr>
              <w:t>根据《中华人民共和国劳动法(2018修正)》第四十四条(二)休息日安排劳动者工作又不能安排补休的，支付不低于工资的百分之二百的工资报酬。日工资标准为基本工资÷21.75天。</w:t>
            </w:r>
          </w:p>
          <w:p>
            <w:pPr>
              <w:pStyle w:val="null3"/>
              <w:ind w:firstLine="480"/>
              <w:jc w:val="both"/>
            </w:pPr>
            <w:r>
              <w:rPr>
                <w:rFonts w:ascii="仿宋_GB2312" w:hAnsi="仿宋_GB2312" w:cs="仿宋_GB2312" w:eastAsia="仿宋_GB2312"/>
                <w:sz w:val="24"/>
                <w:color w:val="000000"/>
              </w:rPr>
              <w:t>③法定休假日加班工资</w:t>
            </w:r>
          </w:p>
          <w:p>
            <w:pPr>
              <w:pStyle w:val="null3"/>
              <w:ind w:firstLine="480"/>
              <w:jc w:val="both"/>
            </w:pPr>
            <w:r>
              <w:rPr>
                <w:rFonts w:ascii="仿宋_GB2312" w:hAnsi="仿宋_GB2312" w:cs="仿宋_GB2312" w:eastAsia="仿宋_GB2312"/>
                <w:sz w:val="24"/>
                <w:color w:val="000000"/>
              </w:rPr>
              <w:t>根据《中华人民共和国劳动法(2018修正)》第四十四条（三）法定休假日安排劳动者工作的，支付不低于工资的百分之三百的工资报酬。法定休假日按规定元旦、春节、清明节、劳动节、端午节、中秋节、国庆节，共13天计算。</w:t>
            </w:r>
          </w:p>
          <w:p>
            <w:pPr>
              <w:pStyle w:val="null3"/>
              <w:ind w:firstLine="480"/>
              <w:jc w:val="both"/>
            </w:pPr>
            <w:r>
              <w:rPr>
                <w:rFonts w:ascii="仿宋_GB2312" w:hAnsi="仿宋_GB2312" w:cs="仿宋_GB2312" w:eastAsia="仿宋_GB2312"/>
                <w:sz w:val="24"/>
                <w:color w:val="000000"/>
              </w:rPr>
              <w:t>(2)社会保险及住房公积金；</w:t>
            </w:r>
          </w:p>
          <w:p>
            <w:pPr>
              <w:pStyle w:val="null3"/>
              <w:ind w:firstLine="480"/>
              <w:jc w:val="both"/>
            </w:pPr>
            <w:r>
              <w:rPr>
                <w:rFonts w:ascii="仿宋_GB2312" w:hAnsi="仿宋_GB2312" w:cs="仿宋_GB2312" w:eastAsia="仿宋_GB2312"/>
                <w:sz w:val="24"/>
                <w:color w:val="000000"/>
              </w:rPr>
              <w:t>①社会保险：单位缴纳的社会保险应包含养老保险、失业保险（用人单位失业保险缴费费率为0.6%）、工伤保险、医疗保险及生育保险，上述保险缴纳比例、缴纳基数应符合四川省及成都市最新政策文件规定。</w:t>
            </w:r>
          </w:p>
          <w:p>
            <w:pPr>
              <w:pStyle w:val="null3"/>
              <w:ind w:firstLine="480"/>
              <w:jc w:val="both"/>
            </w:pPr>
            <w:r>
              <w:rPr>
                <w:rFonts w:ascii="仿宋_GB2312" w:hAnsi="仿宋_GB2312" w:cs="仿宋_GB2312" w:eastAsia="仿宋_GB2312"/>
                <w:sz w:val="24"/>
                <w:color w:val="000000"/>
              </w:rPr>
              <w:t>②住房公积金：单位缴存的公积金应符合《成都住房公积金缴存管理办法》《成都住房公积金管理中心关于印发&lt;成都住房公积金缴存管理实施细则&gt;的通知》（成公积金〔2021〕42号）等文件要求，缴存基数按照成都住房公积金管理委员会发布的最新文件要求执行。缴存基数及比例应符合成都住房公积金管理委员会确定的标准范围，职工月缴存额以元为单位进行计算，元以下应见角进元。结合其拟为本项目配置人员实际情况计算。住房公积金缴存比例不得低于5%，不得高于12%。</w:t>
            </w:r>
          </w:p>
          <w:p>
            <w:pPr>
              <w:pStyle w:val="null3"/>
              <w:ind w:firstLine="480"/>
              <w:jc w:val="both"/>
            </w:pPr>
            <w:r>
              <w:rPr>
                <w:rFonts w:ascii="仿宋_GB2312" w:hAnsi="仿宋_GB2312" w:cs="仿宋_GB2312" w:eastAsia="仿宋_GB2312"/>
                <w:sz w:val="24"/>
                <w:color w:val="000000"/>
              </w:rPr>
              <w:t>注：投标人所报公积金应充分考虑项目服务期跨年的情形，如项目服务期跨年，投标人计算住房公积金时，各年度住房公积金缴存基数分别为职工本人各年度的上一年度对应的月平均工资；服务期内每个自然年度公积金存在差异的，应分段计算后均摊至服务期，计入投标报价。（说明：本项目涉及的工资总额按照国家统计局发布的《关于工资总额组成的规定》执行。）</w:t>
            </w:r>
          </w:p>
          <w:p>
            <w:pPr>
              <w:pStyle w:val="null3"/>
              <w:ind w:firstLine="480"/>
              <w:jc w:val="both"/>
            </w:pPr>
            <w:r>
              <w:rPr>
                <w:rFonts w:ascii="仿宋_GB2312" w:hAnsi="仿宋_GB2312" w:cs="仿宋_GB2312" w:eastAsia="仿宋_GB2312"/>
                <w:sz w:val="24"/>
                <w:color w:val="000000"/>
              </w:rPr>
              <w:t>（3）法定计提费用：工会经费、教育经费、残疾人就业保障金。</w:t>
            </w:r>
          </w:p>
          <w:p>
            <w:pPr>
              <w:pStyle w:val="null3"/>
              <w:ind w:firstLine="480"/>
              <w:jc w:val="both"/>
            </w:pPr>
            <w:r>
              <w:rPr>
                <w:rFonts w:ascii="仿宋_GB2312" w:hAnsi="仿宋_GB2312" w:cs="仿宋_GB2312" w:eastAsia="仿宋_GB2312"/>
                <w:sz w:val="24"/>
                <w:color w:val="000000"/>
              </w:rPr>
              <w:t>①本项目应分摊的工会经费：工会经费应按照《中华人民共和国工会法》、《中国工会章程》等政策法规执行，本部分应分摊的工会经费年缴纳额=本部分全员年工资总额×2%。</w:t>
            </w:r>
          </w:p>
          <w:p>
            <w:pPr>
              <w:pStyle w:val="null3"/>
              <w:ind w:firstLine="480"/>
              <w:jc w:val="both"/>
            </w:pPr>
            <w:r>
              <w:rPr>
                <w:rFonts w:ascii="仿宋_GB2312" w:hAnsi="仿宋_GB2312" w:cs="仿宋_GB2312" w:eastAsia="仿宋_GB2312"/>
                <w:sz w:val="24"/>
                <w:color w:val="000000"/>
              </w:rPr>
              <w:t>②本项目应分摊的教育经费：按照国家法定要求进入费用报价。</w:t>
            </w:r>
          </w:p>
          <w:p>
            <w:pPr>
              <w:pStyle w:val="null3"/>
              <w:ind w:firstLine="480"/>
              <w:jc w:val="both"/>
            </w:pPr>
            <w:r>
              <w:rPr>
                <w:rFonts w:ascii="仿宋_GB2312" w:hAnsi="仿宋_GB2312" w:cs="仿宋_GB2312" w:eastAsia="仿宋_GB2312"/>
                <w:sz w:val="24"/>
                <w:color w:val="000000"/>
              </w:rPr>
              <w:t>《国务院关于大力推进职业教育改革与发展的决定》(国发〔2002〕16号)第十九条“各类企业要按《中华人民共和国职业教育法》的规定实施职业教育和职工培训，承担相应的费用一般企业按照职工工资总额的1.5%足额提取教育培训经费，从业人员技术素质要求高、培训任务重、经济效益较好的企业可按2.5%提取，列入成本开支……”。</w:t>
            </w:r>
          </w:p>
          <w:p>
            <w:pPr>
              <w:pStyle w:val="null3"/>
              <w:ind w:firstLine="480"/>
              <w:jc w:val="both"/>
            </w:pPr>
            <w:r>
              <w:rPr>
                <w:rFonts w:ascii="仿宋_GB2312" w:hAnsi="仿宋_GB2312" w:cs="仿宋_GB2312" w:eastAsia="仿宋_GB2312"/>
                <w:sz w:val="24"/>
                <w:color w:val="000000"/>
              </w:rPr>
              <w:t>③投标人缴纳的残疾人就业保障金应符合财政部及成都市[如《成都市残疾人就业保障金征收使用管理实施细则》（成财规〔2021〕1号）]等相关规定，投标人须根据自身实际情况进行报价。</w:t>
            </w:r>
          </w:p>
          <w:p>
            <w:pPr>
              <w:pStyle w:val="null3"/>
              <w:ind w:firstLine="480"/>
              <w:jc w:val="both"/>
            </w:pPr>
            <w:r>
              <w:rPr>
                <w:rFonts w:ascii="仿宋_GB2312" w:hAnsi="仿宋_GB2312" w:cs="仿宋_GB2312" w:eastAsia="仿宋_GB2312"/>
                <w:sz w:val="24"/>
                <w:color w:val="000000"/>
              </w:rPr>
              <w:t>本项目涉及的工资总额按照《关于工资总额组成的规定》执行。</w:t>
            </w:r>
          </w:p>
          <w:p>
            <w:pPr>
              <w:pStyle w:val="null3"/>
              <w:ind w:firstLine="480"/>
              <w:jc w:val="both"/>
            </w:pPr>
            <w:r>
              <w:rPr>
                <w:rFonts w:ascii="仿宋_GB2312" w:hAnsi="仿宋_GB2312" w:cs="仿宋_GB2312" w:eastAsia="仿宋_GB2312"/>
                <w:sz w:val="24"/>
                <w:color w:val="000000"/>
              </w:rPr>
              <w:t>(4)耗材必备办公用设备；履行合同所需的工具及耗材；四害消杀费；化粪池、沉油池的清掏清洗费：按照服务相关要求填报。</w:t>
            </w:r>
          </w:p>
          <w:p>
            <w:pPr>
              <w:pStyle w:val="null3"/>
              <w:ind w:firstLine="480"/>
              <w:jc w:val="both"/>
            </w:pPr>
            <w:r>
              <w:rPr>
                <w:rFonts w:ascii="仿宋_GB2312" w:hAnsi="仿宋_GB2312" w:cs="仿宋_GB2312" w:eastAsia="仿宋_GB2312"/>
                <w:sz w:val="24"/>
                <w:color w:val="000000"/>
              </w:rPr>
              <w:t>(5)企业合理利润</w:t>
            </w:r>
          </w:p>
          <w:p>
            <w:pPr>
              <w:pStyle w:val="null3"/>
              <w:ind w:firstLine="480"/>
              <w:jc w:val="both"/>
            </w:pPr>
            <w:r>
              <w:rPr>
                <w:rFonts w:ascii="仿宋_GB2312" w:hAnsi="仿宋_GB2312" w:cs="仿宋_GB2312" w:eastAsia="仿宋_GB2312"/>
                <w:sz w:val="24"/>
                <w:color w:val="000000"/>
              </w:rPr>
              <w:t>由投标人按自身经验结合本项目情况计算。</w:t>
            </w:r>
          </w:p>
          <w:p>
            <w:pPr>
              <w:pStyle w:val="null3"/>
              <w:ind w:firstLine="480"/>
              <w:jc w:val="both"/>
            </w:pPr>
            <w:r>
              <w:rPr>
                <w:rFonts w:ascii="仿宋_GB2312" w:hAnsi="仿宋_GB2312" w:cs="仿宋_GB2312" w:eastAsia="仿宋_GB2312"/>
                <w:sz w:val="24"/>
                <w:color w:val="000000"/>
              </w:rPr>
              <w:t>(6)企业管理费</w:t>
            </w:r>
          </w:p>
          <w:p>
            <w:pPr>
              <w:pStyle w:val="null3"/>
              <w:ind w:firstLine="480"/>
              <w:jc w:val="both"/>
            </w:pPr>
            <w:r>
              <w:rPr>
                <w:rFonts w:ascii="仿宋_GB2312" w:hAnsi="仿宋_GB2312" w:cs="仿宋_GB2312" w:eastAsia="仿宋_GB2312"/>
                <w:sz w:val="24"/>
                <w:color w:val="000000"/>
              </w:rPr>
              <w:t>由投标人按自身经验结合本项目情况计算。</w:t>
            </w:r>
          </w:p>
          <w:p>
            <w:pPr>
              <w:pStyle w:val="null3"/>
              <w:ind w:firstLine="480"/>
              <w:jc w:val="both"/>
            </w:pPr>
            <w:r>
              <w:rPr>
                <w:rFonts w:ascii="仿宋_GB2312" w:hAnsi="仿宋_GB2312" w:cs="仿宋_GB2312" w:eastAsia="仿宋_GB2312"/>
                <w:sz w:val="24"/>
                <w:color w:val="000000"/>
              </w:rPr>
              <w:t>(7)税费</w:t>
            </w:r>
          </w:p>
          <w:p>
            <w:pPr>
              <w:pStyle w:val="null3"/>
              <w:ind w:firstLine="480"/>
              <w:jc w:val="both"/>
            </w:pPr>
            <w:r>
              <w:rPr>
                <w:rFonts w:ascii="仿宋_GB2312" w:hAnsi="仿宋_GB2312" w:cs="仿宋_GB2312" w:eastAsia="仿宋_GB2312"/>
                <w:sz w:val="24"/>
                <w:color w:val="000000"/>
              </w:rPr>
              <w:t>税费应包含增值税及附加税费。投标人应明确增值税纳税人身份即明确是增值税一般纳税人还是小规模纳税人，在投标报价中应明确增值税税率，并考虑服务期内纳税人身份可能产生的变化。涉及投标人在服务期内增值税纳税人身份有变化的，应按增值税纳税人身份变化前后进行分段计算税费并平均到服务期内。</w:t>
            </w:r>
          </w:p>
          <w:p>
            <w:pPr>
              <w:pStyle w:val="null3"/>
              <w:ind w:firstLine="480"/>
              <w:jc w:val="both"/>
            </w:pPr>
            <w:r>
              <w:rPr>
                <w:rFonts w:ascii="仿宋_GB2312" w:hAnsi="仿宋_GB2312" w:cs="仿宋_GB2312" w:eastAsia="仿宋_GB2312"/>
                <w:sz w:val="24"/>
                <w:color w:val="000000"/>
              </w:rPr>
              <w:t>（8）分项报价明细表中各明细费用不得以“企业让利”、“已有耗材或设施设备库存”、“协议供货”等形式无偿、赠送提供服务，否则视为未实质性响应。</w:t>
            </w:r>
          </w:p>
          <w:p>
            <w:pPr>
              <w:pStyle w:val="null3"/>
              <w:ind w:firstLine="480"/>
              <w:jc w:val="both"/>
            </w:pPr>
            <w:r>
              <w:rPr>
                <w:rFonts w:ascii="仿宋_GB2312" w:hAnsi="仿宋_GB2312" w:cs="仿宋_GB2312" w:eastAsia="仿宋_GB2312"/>
                <w:sz w:val="24"/>
                <w:color w:val="000000"/>
              </w:rPr>
              <w:t>（9）投标人依法依规享受优惠（减免）等政策的，须提供政府部门出具的相应证明材料或政策文件（若对同一优惠（减免）政策同时有中央或省级或地市级等不同层级政策文件，应提供享受优惠（减免）申报地具体执行的政策文件），及投标人的情况说明。</w:t>
            </w:r>
          </w:p>
          <w:p>
            <w:pPr>
              <w:pStyle w:val="null3"/>
              <w:ind w:firstLine="480"/>
              <w:jc w:val="both"/>
            </w:pPr>
            <w:r>
              <w:rPr>
                <w:rFonts w:ascii="仿宋_GB2312" w:hAnsi="仿宋_GB2312" w:cs="仿宋_GB2312" w:eastAsia="仿宋_GB2312"/>
                <w:sz w:val="24"/>
                <w:color w:val="000000"/>
              </w:rPr>
              <w:t>如投标人依法依规享受优惠（减免）等政策涉及投标人拟配置服务人员的，须提供：</w:t>
            </w:r>
          </w:p>
          <w:p>
            <w:pPr>
              <w:pStyle w:val="null3"/>
              <w:ind w:firstLine="480"/>
              <w:jc w:val="both"/>
            </w:pPr>
            <w:r>
              <w:rPr>
                <w:rFonts w:ascii="仿宋_GB2312" w:hAnsi="仿宋_GB2312" w:cs="仿宋_GB2312" w:eastAsia="仿宋_GB2312"/>
                <w:sz w:val="24"/>
                <w:color w:val="000000"/>
              </w:rPr>
              <w:t>①政策文件（若对同一优惠（减免）政策同时有中央或省级或地市级等不同层级政策文件，应提供享受优惠（减免）申报地具体执行的政策文件）。</w:t>
            </w:r>
          </w:p>
          <w:p>
            <w:pPr>
              <w:pStyle w:val="null3"/>
              <w:ind w:firstLine="480"/>
              <w:jc w:val="both"/>
            </w:pPr>
            <w:r>
              <w:rPr>
                <w:rFonts w:ascii="仿宋_GB2312" w:hAnsi="仿宋_GB2312" w:cs="仿宋_GB2312" w:eastAsia="仿宋_GB2312"/>
                <w:sz w:val="24"/>
                <w:color w:val="000000"/>
              </w:rPr>
              <w:t>②投标人的情况说明，至少包含：人员姓名、身份证号、拟享受的具体优惠（减免）政策、享受优惠（减免）政策是否需要审批、人员享受优惠（减免）政策的开始时间、针对本项目可享受优惠（减免）政策的剩余期限、针对本项目拟减免的金额（供应商可自制表格）。</w:t>
            </w:r>
          </w:p>
          <w:p>
            <w:pPr>
              <w:pStyle w:val="null3"/>
              <w:ind w:firstLine="480"/>
              <w:jc w:val="both"/>
            </w:pPr>
            <w:r>
              <w:rPr>
                <w:rFonts w:ascii="仿宋_GB2312" w:hAnsi="仿宋_GB2312" w:cs="仿宋_GB2312" w:eastAsia="仿宋_GB2312"/>
                <w:sz w:val="24"/>
                <w:color w:val="000000"/>
              </w:rPr>
              <w:t>③相应人员的身份证复印件。</w:t>
            </w:r>
          </w:p>
          <w:p>
            <w:pPr>
              <w:pStyle w:val="null3"/>
              <w:ind w:firstLine="480"/>
              <w:jc w:val="both"/>
            </w:pPr>
            <w:r>
              <w:rPr>
                <w:rFonts w:ascii="仿宋_GB2312" w:hAnsi="仿宋_GB2312" w:cs="仿宋_GB2312" w:eastAsia="仿宋_GB2312"/>
                <w:sz w:val="24"/>
                <w:color w:val="000000"/>
              </w:rPr>
              <w:t>④证明投标人针对本项目前述拟配置服务人员现已享受优惠（减免）政策对应的证明材料，包括：1）若政策文件明确享受优惠（减免）需要政府部门审批的，应提供政府部门出具审批通过的证明材料且该证明材料与拟配置服务人员的姓名和身份证号能够相互对应；2）若政策文件享受优惠（减免）无需政府部门审批的，则提供对应的证明材料证明“现已享受优惠（减免）政策”；</w:t>
            </w:r>
          </w:p>
          <w:p>
            <w:pPr>
              <w:pStyle w:val="null3"/>
              <w:ind w:firstLine="480"/>
              <w:jc w:val="both"/>
            </w:pPr>
            <w:r>
              <w:rPr>
                <w:rFonts w:ascii="仿宋_GB2312" w:hAnsi="仿宋_GB2312" w:cs="仿宋_GB2312" w:eastAsia="仿宋_GB2312"/>
                <w:sz w:val="24"/>
                <w:color w:val="000000"/>
              </w:rPr>
              <w:t>⑤提供前述现已享受优惠（减免）政策人员属实的承诺。签订合同前采购人将核实相关信息，若发现投标人提供材料不实，将按中华人民共和国政府采购法及相关法律法规进行处理。</w:t>
            </w:r>
          </w:p>
          <w:p>
            <w:pPr>
              <w:pStyle w:val="null3"/>
              <w:ind w:firstLine="480"/>
              <w:jc w:val="both"/>
            </w:pPr>
            <w:r>
              <w:rPr>
                <w:rFonts w:ascii="仿宋_GB2312" w:hAnsi="仿宋_GB2312" w:cs="仿宋_GB2312" w:eastAsia="仿宋_GB2312"/>
                <w:sz w:val="24"/>
                <w:color w:val="000000"/>
              </w:rPr>
              <w:t>⑥提供拟配置服务人员是本项目服务人员的承诺。</w:t>
            </w:r>
          </w:p>
          <w:p>
            <w:pPr>
              <w:pStyle w:val="null3"/>
              <w:ind w:firstLine="480"/>
              <w:jc w:val="both"/>
            </w:pPr>
            <w:r>
              <w:rPr>
                <w:rFonts w:ascii="仿宋_GB2312" w:hAnsi="仿宋_GB2312" w:cs="仿宋_GB2312" w:eastAsia="仿宋_GB2312"/>
                <w:sz w:val="24"/>
                <w:color w:val="000000"/>
              </w:rPr>
              <w:t>若投标人或拟配置服务人员享受优惠（减免）等政策，享受期不能覆盖完本项目服务期限的，按已覆盖项目服务期与未覆盖项目服务期进行分段计算并平均到服务期内。投标人享受优惠(减免)的起算时间均按照2026年6月1日起计算。</w:t>
            </w:r>
          </w:p>
          <w:p>
            <w:pPr>
              <w:pStyle w:val="null3"/>
              <w:ind w:firstLine="480"/>
              <w:jc w:val="both"/>
            </w:pPr>
            <w:r>
              <w:rPr>
                <w:rFonts w:ascii="仿宋_GB2312" w:hAnsi="仿宋_GB2312" w:cs="仿宋_GB2312" w:eastAsia="仿宋_GB2312"/>
                <w:sz w:val="24"/>
                <w:color w:val="000000"/>
              </w:rPr>
              <w:t>上述优惠（减免）要求不包含残疾人就业保障金。</w:t>
            </w:r>
          </w:p>
          <w:p>
            <w:pPr>
              <w:pStyle w:val="null3"/>
              <w:ind w:firstLine="480"/>
              <w:jc w:val="both"/>
            </w:pPr>
            <w:r>
              <w:rPr>
                <w:rFonts w:ascii="仿宋_GB2312" w:hAnsi="仿宋_GB2312" w:cs="仿宋_GB2312" w:eastAsia="仿宋_GB2312"/>
                <w:sz w:val="24"/>
                <w:color w:val="000000"/>
              </w:rPr>
              <w:t>享受优惠或减免应对应到本项目具体分项报价中，不得用于其他分项报价抵扣，否则视为未实质性响应。</w:t>
            </w:r>
          </w:p>
          <w:p>
            <w:pPr>
              <w:pStyle w:val="null3"/>
              <w:ind w:firstLine="480"/>
              <w:jc w:val="both"/>
            </w:pPr>
            <w:r>
              <w:rPr>
                <w:rFonts w:ascii="仿宋_GB2312" w:hAnsi="仿宋_GB2312" w:cs="仿宋_GB2312" w:eastAsia="仿宋_GB2312"/>
                <w:sz w:val="24"/>
                <w:color w:val="000000"/>
              </w:rPr>
              <w:t>（10）若有投标人履约所需其他成本、或服务要求中要求报价但未在表中列出的项目，可在表中自行添加报价项目并计入投标总报价。投标报价中各费用若有适时政策变化，按最新政策执行。</w:t>
            </w:r>
          </w:p>
          <w:p>
            <w:pPr>
              <w:pStyle w:val="null3"/>
              <w:ind w:firstLine="480"/>
              <w:jc w:val="both"/>
            </w:pPr>
            <w:r>
              <w:rPr>
                <w:rFonts w:ascii="仿宋_GB2312" w:hAnsi="仿宋_GB2312" w:cs="仿宋_GB2312" w:eastAsia="仿宋_GB2312"/>
                <w:sz w:val="24"/>
                <w:color w:val="000000"/>
              </w:rPr>
              <w:t>报价明细表</w:t>
            </w:r>
          </w:p>
          <w:p>
            <w:pPr>
              <w:pStyle w:val="null3"/>
              <w:ind w:firstLine="480"/>
              <w:jc w:val="both"/>
            </w:pPr>
            <w:r>
              <w:rPr>
                <w:rFonts w:ascii="仿宋_GB2312" w:hAnsi="仿宋_GB2312" w:cs="仿宋_GB2312" w:eastAsia="仿宋_GB2312"/>
                <w:sz w:val="24"/>
                <w:color w:val="000000"/>
              </w:rPr>
              <w:t>表1 人员费用</w:t>
            </w:r>
          </w:p>
          <w:tbl>
            <w:tblPr>
              <w:tblBorders>
                <w:top w:val="none" w:color="000000" w:sz="4"/>
                <w:left w:val="none" w:color="000000" w:sz="4"/>
                <w:bottom w:val="none" w:color="000000" w:sz="4"/>
                <w:right w:val="none" w:color="000000" w:sz="4"/>
                <w:insideH w:val="none"/>
                <w:insideV w:val="none"/>
              </w:tblBorders>
            </w:tblPr>
            <w:tblGrid>
              <w:gridCol w:w="1050"/>
              <w:gridCol w:w="525"/>
              <w:gridCol w:w="583"/>
              <w:gridCol w:w="583"/>
              <w:gridCol w:w="525"/>
              <w:gridCol w:w="700"/>
              <w:gridCol w:w="816"/>
              <w:gridCol w:w="816"/>
            </w:tblGrid>
            <w:tr>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岗位</w:t>
                  </w:r>
                </w:p>
              </w:tc>
              <w:tc>
                <w:tcPr>
                  <w:tcW w:type="dxa" w:w="525"/>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1"/>
                    </w:rPr>
                    <w:t>人数（人）</w:t>
                  </w:r>
                </w:p>
              </w:tc>
              <w:tc>
                <w:tcPr>
                  <w:tcW w:type="dxa" w:w="583"/>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1"/>
                    </w:rPr>
                    <w:t>基本工资（元/人/月）</w:t>
                  </w:r>
                </w:p>
              </w:tc>
              <w:tc>
                <w:tcPr>
                  <w:tcW w:type="dxa" w:w="583"/>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1"/>
                    </w:rPr>
                    <w:t>社会保险费用（元/人/月）</w:t>
                  </w:r>
                </w:p>
              </w:tc>
              <w:tc>
                <w:tcPr>
                  <w:tcW w:type="dxa" w:w="525"/>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1"/>
                    </w:rPr>
                    <w:t>公积金（元/人/月）</w:t>
                  </w:r>
                </w:p>
              </w:tc>
              <w:tc>
                <w:tcPr>
                  <w:tcW w:type="dxa" w:w="700"/>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1"/>
                    </w:rPr>
                    <w:t>休息日加班费用（元/年）</w:t>
                  </w:r>
                </w:p>
              </w:tc>
              <w:tc>
                <w:tcPr>
                  <w:tcW w:type="dxa" w:w="816"/>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1"/>
                    </w:rPr>
                    <w:t>法定休假日加班费（元/年）</w:t>
                  </w:r>
                </w:p>
              </w:tc>
              <w:tc>
                <w:tcPr>
                  <w:tcW w:type="dxa" w:w="8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岗位年度小计（元/年）</w:t>
                  </w:r>
                </w:p>
              </w:tc>
            </w:tr>
            <w:tr>
              <w:tc>
                <w:tcPr>
                  <w:tcW w:type="dxa" w:w="1050"/>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color w:val="000000"/>
                    </w:rPr>
                    <w:t>项目经理</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5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5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7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81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1050"/>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color w:val="000000"/>
                    </w:rPr>
                    <w:t>会务服务和接待</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5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5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7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81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1050"/>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color w:val="000000"/>
                    </w:rPr>
                    <w:t>实验室器皿洗涤</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5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5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7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81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1050"/>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color w:val="000000"/>
                    </w:rPr>
                    <w:t>疫苗库管</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5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5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7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81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1050"/>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color w:val="000000"/>
                    </w:rPr>
                    <w:t>门岗兼领班</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5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5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7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81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1050"/>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color w:val="000000"/>
                    </w:rPr>
                    <w:t>车辆管理和安全巡逻岗</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5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5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7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81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1050"/>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color w:val="000000"/>
                    </w:rPr>
                    <w:t>安防监控岗</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5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5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7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81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1050"/>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color w:val="000000"/>
                    </w:rPr>
                    <w:t>消防监控岗</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5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5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7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81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1050"/>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color w:val="000000"/>
                    </w:rPr>
                    <w:t>保洁及布草洗涤、搬运和垃圾清运（含生活垃圾、餐厨垃圾、医废、危废转运）、园林绿化</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5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5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7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81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1050"/>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color w:val="000000"/>
                    </w:rPr>
                    <w:t>综合维修兼领班</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5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5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7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81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1050"/>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color w:val="000000"/>
                    </w:rPr>
                    <w:t>合计</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p>
              </w:tc>
              <w:tc>
                <w:tcPr>
                  <w:tcW w:type="dxa" w:w="5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w:t>
                  </w:r>
                </w:p>
              </w:tc>
              <w:tc>
                <w:tcPr>
                  <w:tcW w:type="dxa" w:w="58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w:t>
                  </w:r>
                </w:p>
              </w:tc>
              <w:tc>
                <w:tcPr>
                  <w:tcW w:type="dxa" w:w="7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p>
              </w:tc>
              <w:tc>
                <w:tcPr>
                  <w:tcW w:type="dxa" w:w="816"/>
                  <w:tcBorders>
                    <w:top w:val="none" w:color="000000" w:sz="4"/>
                    <w:left w:val="none" w:color="000000" w:sz="4"/>
                    <w:bottom w:val="single" w:color="000000" w:sz="4"/>
                    <w:right w:val="single" w:color="000000" w:sz="4"/>
                  </w:tcBorders>
                  <w:tcMar>
                    <w:top w:type="dxa" w:w="0"/>
                    <w:left w:type="dxa" w:w="0"/>
                    <w:bottom w:type="dxa" w:w="0"/>
                    <w:right w:type="dxa" w:w="0"/>
                  </w:tcMar>
                </w:tcP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rFonts w:ascii="仿宋_GB2312" w:hAnsi="仿宋_GB2312" w:cs="仿宋_GB2312" w:eastAsia="仿宋_GB2312"/>
                <w:sz w:val="24"/>
                <w:color w:val="000000"/>
              </w:rPr>
              <w:t>表2 其他相关费用</w:t>
            </w:r>
          </w:p>
          <w:tbl>
            <w:tblPr>
              <w:tblBorders>
                <w:top w:val="none" w:color="000000" w:sz="4"/>
                <w:left w:val="none" w:color="000000" w:sz="4"/>
                <w:bottom w:val="none" w:color="000000" w:sz="4"/>
                <w:right w:val="none" w:color="000000" w:sz="4"/>
                <w:insideH w:val="none"/>
                <w:insideV w:val="none"/>
              </w:tblBorders>
            </w:tblPr>
            <w:tblGrid>
              <w:gridCol w:w="343"/>
              <w:gridCol w:w="3142"/>
              <w:gridCol w:w="914"/>
              <w:gridCol w:w="1200"/>
            </w:tblGrid>
            <w:tr>
              <w:tc>
                <w:tcPr>
                  <w:tcW w:type="dxa" w:w="34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序号</w:t>
                  </w:r>
                </w:p>
              </w:tc>
              <w:tc>
                <w:tcPr>
                  <w:tcW w:type="dxa" w:w="31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报价项目</w:t>
                  </w:r>
                </w:p>
              </w:tc>
              <w:tc>
                <w:tcPr>
                  <w:tcW w:type="dxa" w:w="9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年度金额（元/年）</w:t>
                  </w:r>
                </w:p>
              </w:tc>
              <w:tc>
                <w:tcPr>
                  <w:tcW w:type="dxa" w:w="12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备注</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w:t>
                  </w:r>
                </w:p>
              </w:tc>
              <w:tc>
                <w:tcPr>
                  <w:tcW w:type="dxa" w:w="31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工会经费</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xml:space="preserve"> </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本项目工资总额：</w:t>
                  </w:r>
                </w:p>
                <w:p>
                  <w:pPr>
                    <w:pStyle w:val="null3"/>
                    <w:jc w:val="both"/>
                  </w:pPr>
                  <w:r>
                    <w:rPr>
                      <w:rFonts w:ascii="仿宋_GB2312" w:hAnsi="仿宋_GB2312" w:cs="仿宋_GB2312" w:eastAsia="仿宋_GB2312"/>
                      <w:sz w:val="21"/>
                      <w:u w:val="single"/>
                    </w:rPr>
                    <w:t xml:space="preserve">       </w:t>
                  </w:r>
                  <w:r>
                    <w:rPr>
                      <w:rFonts w:ascii="仿宋_GB2312" w:hAnsi="仿宋_GB2312" w:cs="仿宋_GB2312" w:eastAsia="仿宋_GB2312"/>
                      <w:sz w:val="21"/>
                    </w:rPr>
                    <w:t>元</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c>
                <w:tcPr>
                  <w:tcW w:type="dxa" w:w="31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教育经费</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xml:space="preserve"> </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xml:space="preserve"> </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w:t>
                  </w:r>
                </w:p>
              </w:tc>
              <w:tc>
                <w:tcPr>
                  <w:tcW w:type="dxa" w:w="31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残疾人就业保障金</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xml:space="preserve"> </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xml:space="preserve"> </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4</w:t>
                  </w:r>
                </w:p>
              </w:tc>
              <w:tc>
                <w:tcPr>
                  <w:tcW w:type="dxa" w:w="31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必备办公用设备</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xml:space="preserve"> </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xml:space="preserve"> </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5</w:t>
                  </w:r>
                </w:p>
              </w:tc>
              <w:tc>
                <w:tcPr>
                  <w:tcW w:type="dxa" w:w="31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履行合同所需的工具及耗材</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xml:space="preserve"> </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xml:space="preserve"> </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6</w:t>
                  </w:r>
                </w:p>
              </w:tc>
              <w:tc>
                <w:tcPr>
                  <w:tcW w:type="dxa" w:w="31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四害消杀费</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xml:space="preserve"> </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xml:space="preserve"> </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7</w:t>
                  </w:r>
                </w:p>
              </w:tc>
              <w:tc>
                <w:tcPr>
                  <w:tcW w:type="dxa" w:w="31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化粪池、沉油池的清掏清洗费</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xml:space="preserve"> </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xml:space="preserve"> </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8</w:t>
                  </w:r>
                </w:p>
              </w:tc>
              <w:tc>
                <w:tcPr>
                  <w:tcW w:type="dxa" w:w="31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管理费</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9</w:t>
                  </w:r>
                </w:p>
              </w:tc>
              <w:tc>
                <w:tcPr>
                  <w:tcW w:type="dxa" w:w="31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企业合理利润</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10</w:t>
                  </w:r>
                </w:p>
              </w:tc>
              <w:tc>
                <w:tcPr>
                  <w:tcW w:type="dxa" w:w="31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税费（增值税税率：</w:t>
                  </w:r>
                  <w:r>
                    <w:rPr>
                      <w:rFonts w:ascii="仿宋_GB2312" w:hAnsi="仿宋_GB2312" w:cs="仿宋_GB2312" w:eastAsia="仿宋_GB2312"/>
                      <w:sz w:val="21"/>
                      <w:u w:val="single"/>
                    </w:rPr>
                    <w:t xml:space="preserve">    </w:t>
                  </w:r>
                  <w:r>
                    <w:rPr>
                      <w:rFonts w:ascii="仿宋_GB2312" w:hAnsi="仿宋_GB2312" w:cs="仿宋_GB2312" w:eastAsia="仿宋_GB2312"/>
                      <w:sz w:val="21"/>
                    </w:rPr>
                    <w:t>）（服务期内增值税税率有变化的，也应明确税率）</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xml:space="preserve"> </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xml:space="preserve"> </w:t>
                  </w:r>
                </w:p>
              </w:tc>
            </w:tr>
          </w:tbl>
          <w:p>
            <w:pPr>
              <w:pStyle w:val="null3"/>
              <w:ind w:firstLine="199"/>
              <w:jc w:val="both"/>
            </w:pP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2026年6月-2029年6月；共计3年，合同一年一签。每年考核验收合格后，经双方协商一致，可续签下一年合同。</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成都市武侯区龙祥路4号</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本项目严格按照《财政部关于进一步加强政府采购需求和履约验收管理的指导意见》（财库〔2016〕205号）等政府采购相关法律法规的要求进行验收。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生效后，采购人收到供应商提供的正规等额发票，达到付款条件起10日内，据实结算说明为合同签订生效后，采购人收到供应商提供的正规等额发票后10个工作日内，采购人按照合同总金额的50%预付合同履约期前6个月的服务费；</w:t>
            </w:r>
          </w:p>
          <w:p>
            <w:pPr>
              <w:pStyle w:val="null3"/>
              <w:jc w:val="left"/>
            </w:pPr>
            <w:r>
              <w:rPr>
                <w:rFonts w:ascii="仿宋_GB2312" w:hAnsi="仿宋_GB2312" w:cs="仿宋_GB2312" w:eastAsia="仿宋_GB2312"/>
              </w:rPr>
              <w:t>2、进度款，经采购人对供应商前6个月的服务进行第一次考核和阶段性验收合格且采购人收到供应商提供的正规等额发票等完整结算材料，达到付款条件起10日内，据实结算说明为经采购人对供应商前6个月的服务进行第一次考核和阶段性验收合格且采购人收到供应商提供的正规等额发票等完整结算材料后10个工作日内，采购人按照合同总金额的25%预付合同履约期第7至9个月的服务费；</w:t>
            </w:r>
          </w:p>
          <w:p>
            <w:pPr>
              <w:pStyle w:val="null3"/>
              <w:jc w:val="left"/>
            </w:pPr>
            <w:r>
              <w:rPr>
                <w:rFonts w:ascii="仿宋_GB2312" w:hAnsi="仿宋_GB2312" w:cs="仿宋_GB2312" w:eastAsia="仿宋_GB2312"/>
              </w:rPr>
              <w:t>3、进度款，供应商12个月合同服务期满且完成所有工作，经采购人第二次考核和整体验收合格，且采购人收到供应商提供的正规等额发票等完整结算材料，达到付款条件起10日内，据实结算说明为供应商12个月合同服务期满且完成所有工作，经采购人第二次考核和整体验收合格，且采购人收到供应商提供的正规等额发票等完整结算材料后10个工作日内，采购人按照合同总金额的25%支付服务费。（因系统无法选择工作日，前文中“达到付款条件10日内”均指“达到付款条件10工作日内”）</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采购人违约责任 1.采购人无正当理由拒绝付款，采购人应偿付拒付金额的百分之十的违约金。 2.采购人无合理理由逾期支付服务款项的，除应及时付足服务款项外，应向投标人偿付欠款总额万分之一/天的违约金，累计不超过欠付款总额的百分之十，逾期付款超过三十天的，投标人有权终止合同。 3.采购人无正当理由解除合同或导致合同被解除，采购人应偿付剩余服务期对应款项的百分之十作为违约金。 4.采购人偿付的违约金不足以弥补投标人直接损失的，还应按投标人直接损失尚未弥补的部分，支付赔偿金给投标人。 （二）投标人违约责任 1.投标人服务质量不符合合同约定的，投标人须在采购人要求的时间内整改合格，否则，视作投标人不能按约定提供服务而违约，按本条本款下述第“2”项约定由投标人偿付违约金给采购人。 2.投标人不能按约定提供服务而违约的，每发生一次，按照合同总金额的千分之十支付违约金给采购人且还应继续承担服务义务；投标人不能按约定提供服务达到3次，采购人有权解除合同，投标人则应按合同总金额的百分之十向采购人偿付违约金并赔偿采购人由此产生的全部损失，并须就未如约履行部分全额退还采购人已经付给投标人的服务款项，采购人无需支付其余费用。 3.投标人无正当理由解除合同或导致合同被解除，投标人除应向采购人返还未如约履行部分所对应的已收款项外，投标人还应向采购人偿付合同总额百分之十的违约金并赔偿采购人的损失。 4.投标人违反合同其他约定且未按采购人要求整改的，投标人则应按合同总金额的百分之十向采购人偿付违约金并赔偿采购人由此产生的全部损失，采购人有权解除合同。 5.投标人偿付的违约金不足以弥补采购人合理损失的，还应按采购人合理损失尚未弥补的部分，支付赔偿金给采购人。投标人向采购人承担的损失赔偿责任范围包括但不限于采购人主张权利支付的律师费、诉讼费、保全费、保全担保费等维权费用以及采购人向第三方支付的赔偿款或向主管部门缴纳的罚款和采购人支付的招标成本等损失。 6.若投标人未履行、迟延履行或履行本合同项下义务不符合约定，采购人有权采取包括但不限于另行委托第三方完成相关服务、采取风险防控及补救措施等风险解除行为，由此产生的全部费用均投标人承担，采购人有权直接从结算款中扣除，不足部分由投标人另行补足。 解决争议的方法： 1.凡与本合同有关而引起的一切争议，双方应首先通过友好协商解决，如经协商后仍不能达成一致时，任何一方可以向法院提出诉讼。 2.基于本合同发生纠纷的诉讼管辖地为采购人所在地的人民法院。 3.在进行法院审理期间，除提交法院审理的事项外，合同其他部分仍继续履行，双方根据实际情况以及合同约定进行结算。 4.本合同按照中华人民共和国法律进行解释。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补充说明（不作为审查项）：1.本项目第七章合同文本仅供参考，以双方实际签订的合同为准。 2.★因格式限制，本招标文件3.3.2.商务要求与其他部分内容存在不一致的，以“3.3.1.服务内容要求★五、商务要求（说明：在投标文件中承诺或响应）”中的要求为准。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2.行贿犯罪记录：在行贿犯罪信息查询期限内，投标人及其现任法定代表人、主要负责人没有行贿犯罪记录的书面声明材料。[说明：①按声明函的内容及要求提供书面声明材料并进行电子签章；投标文件中不需提供中国裁判文书网（https://wenshu.court.gov.cn）查询结果的证明材料；②在行贿犯罪信息查询期限内，供应商及其现任法定代表人、主要负责人没有行贿犯罪记录。] 3、未被列入失信被执行人、重大税收违法案件当事人名单、政府采购严重违法失信行为记录名单：（1）投标人未列入失信被执行人、重大税收违法案件当事人名单、政府采购严重违法失信行为记录名单的书面声明材料。[说明：①按声明函的内容及要求提供书面声明材料并进行电子签章；②投标人未列入失信被执行人、重大税收违法案件当事人名单、政府采购严重违法失信行为记录名单。]（2）资格审查小组根据“信用中国”和“中国政府采购网”网站的查询结果，在资格审查期间对投标人是否被列入失信被执行人、重大税收违法案件当事人名单、政府采购严重违法失信行为记录名单进行审查。[说明：投标人未列入失信被执行人、重大税收违法案件当事人名单、政府采购严重违法失信行为记录名单。] 4、未处于被行政部门禁止参与政府采购活动的期限内：投标人未处于被行政部门禁止参与政府采购活动的期限内。[说明：①按声明函的内容及要求提供书面声明材料并进行电子签章；②供应商未处于被行政部门禁止参与政府采购活动的期限内。] 5、不属于国家相关法律法规规定的其他禁止参加投标的情形：（1）根据招标文件的要求不属于禁止参加投标或投标无效的供应商；（2）资格审查小组未发现或者未知晓投标人存在属于国家相关法律法规规定的禁止参加投标或投标无效的供应商。</w:t>
            </w:r>
          </w:p>
        </w:tc>
        <w:tc>
          <w:tcPr>
            <w:tcW w:type="dxa" w:w="1661"/>
          </w:tcPr>
          <w:p>
            <w:pPr>
              <w:pStyle w:val="null3"/>
              <w:jc w:val="left"/>
            </w:pPr>
            <w:r>
              <w:rPr>
                <w:rFonts w:ascii="仿宋_GB2312" w:hAnsi="仿宋_GB2312" w:cs="仿宋_GB2312" w:eastAsia="仿宋_GB2312"/>
              </w:rPr>
              <w:t>声明函.docx,投标（响应）函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投标文件的计量单位、语言、报价货币、投标有效期、知识产权、合同分包等符合采购文件实质性要求</w:t>
            </w:r>
          </w:p>
        </w:tc>
        <w:tc>
          <w:tcPr>
            <w:tcW w:type="dxa" w:w="3322"/>
          </w:tcPr>
          <w:p>
            <w:pPr>
              <w:pStyle w:val="null3"/>
              <w:jc w:val="left"/>
            </w:pPr>
            <w:r>
              <w:rPr>
                <w:rFonts w:ascii="仿宋_GB2312" w:hAnsi="仿宋_GB2312" w:cs="仿宋_GB2312" w:eastAsia="仿宋_GB2312"/>
              </w:rPr>
              <w:t>投标文件的计量单位、语言、报价货币、投标有效期、知识产权、合同分包等均符合招标文件的实质性要求。</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1.投标报价唯一（说明：投标文件报价出现前后不一致的，按照招标文件第5章评标办法规定予以修正，修正后的报价经投标人通过项目电子化交易系统进行确认，并加盖投标人（法定名称）电子印章，投标人未在规定时间内确认的，其投标无效。评标委员会不得未经要求投标人确认，直接将投标人投标文件作无效处理。） 2.未超过招标文件规定的最高限价； 3.投标报价应包含本次招标要求的所有货物及服务的费用；4.符合招标文件2.4.5.投标报价的要求</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 xml:space="preserve"> 法定代表人或主要负责人身份证复印件或护照复印件</w:t>
            </w:r>
          </w:p>
        </w:tc>
        <w:tc>
          <w:tcPr>
            <w:tcW w:type="dxa" w:w="3322"/>
          </w:tcPr>
          <w:p>
            <w:pPr>
              <w:pStyle w:val="null3"/>
              <w:jc w:val="left"/>
            </w:pPr>
            <w:r>
              <w:rPr>
                <w:rFonts w:ascii="仿宋_GB2312" w:hAnsi="仿宋_GB2312" w:cs="仿宋_GB2312" w:eastAsia="仿宋_GB2312"/>
              </w:rPr>
              <w:t>身份证复印件或护照复印件【注：法定代表人或主要负责人身份证复印件（身份证两面均应复印，在有效期内）或护照复印件（法定代表人或主要负责人为外籍人士的，按此提供）。】</w:t>
            </w:r>
          </w:p>
        </w:tc>
        <w:tc>
          <w:tcPr>
            <w:tcW w:type="dxa" w:w="1661"/>
          </w:tcPr>
          <w:p>
            <w:pPr>
              <w:pStyle w:val="null3"/>
              <w:jc w:val="left"/>
            </w:pPr>
            <w:r>
              <w:rPr>
                <w:rFonts w:ascii="仿宋_GB2312" w:hAnsi="仿宋_GB2312" w:cs="仿宋_GB2312" w:eastAsia="仿宋_GB2312"/>
              </w:rPr>
              <w:t>法定代表人或主要负责人身份证明书.docx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 xml:space="preserve"> 打★号的服务、商务和其他要求</w:t>
            </w:r>
          </w:p>
        </w:tc>
        <w:tc>
          <w:tcPr>
            <w:tcW w:type="dxa" w:w="3322"/>
          </w:tcPr>
          <w:p>
            <w:pPr>
              <w:pStyle w:val="null3"/>
              <w:jc w:val="left"/>
            </w:pPr>
            <w:r>
              <w:rPr>
                <w:rFonts w:ascii="仿宋_GB2312" w:hAnsi="仿宋_GB2312" w:cs="仿宋_GB2312" w:eastAsia="仿宋_GB2312"/>
              </w:rPr>
              <w:t xml:space="preserve"> 投标文件均实质性响应招标文件中加★号的服务、商务和其他要求。</w:t>
            </w:r>
          </w:p>
        </w:tc>
        <w:tc>
          <w:tcPr>
            <w:tcW w:type="dxa" w:w="1661"/>
          </w:tcPr>
          <w:p>
            <w:pPr>
              <w:pStyle w:val="null3"/>
              <w:jc w:val="left"/>
            </w:pPr>
            <w:r>
              <w:rPr>
                <w:rFonts w:ascii="仿宋_GB2312" w:hAnsi="仿宋_GB2312" w:cs="仿宋_GB2312" w:eastAsia="仿宋_GB2312"/>
              </w:rPr>
              <w:t>投标人应提交的相关证明材料,服务应答表,报价明细表.docx</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 xml:space="preserve"> 不属于禁止参加投标或投标无效的投标人</w:t>
            </w:r>
          </w:p>
        </w:tc>
        <w:tc>
          <w:tcPr>
            <w:tcW w:type="dxa" w:w="3322"/>
          </w:tcPr>
          <w:p>
            <w:pPr>
              <w:pStyle w:val="null3"/>
              <w:jc w:val="left"/>
            </w:pPr>
            <w:r>
              <w:rPr>
                <w:rFonts w:ascii="仿宋_GB2312" w:hAnsi="仿宋_GB2312" w:cs="仿宋_GB2312" w:eastAsia="仿宋_GB2312"/>
              </w:rPr>
              <w:t>（1）根据招标文件的要求不属于禁止参加投标或投标无效的投标人；（2）评标委员会未发现或者未知晓投标人存在属于国家相关法律法规规定的禁止参加投标或投标无效的投标人。</w:t>
            </w:r>
          </w:p>
        </w:tc>
        <w:tc>
          <w:tcPr>
            <w:tcW w:type="dxa" w:w="1661"/>
          </w:tcPr>
          <w:p>
            <w:pPr>
              <w:pStyle w:val="null3"/>
              <w:jc w:val="left"/>
            </w:pPr>
            <w:r>
              <w:rPr>
                <w:rFonts w:ascii="仿宋_GB2312" w:hAnsi="仿宋_GB2312" w:cs="仿宋_GB2312" w:eastAsia="仿宋_GB2312"/>
              </w:rPr>
              <w:t>声明函.docx,投标（响应）函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满足招标文件要求且报价最低的为评审基准价，价格系数=（评审基准价/报价）×标准系数</w:t>
            </w:r>
          </w:p>
        </w:tc>
        <w:tc>
          <w:tcPr>
            <w:tcW w:type="dxa" w:w="2123"/>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详见附件：法定代表人或主要负责人身份证明书.docx</w:t>
      </w:r>
    </w:p>
    <w:p>
      <w:pPr>
        <w:pStyle w:val="null3"/>
        <w:ind w:firstLine="960"/>
        <w:jc w:val="left"/>
      </w:pPr>
      <w:r>
        <w:rPr>
          <w:rFonts w:ascii="仿宋_GB2312" w:hAnsi="仿宋_GB2312" w:cs="仿宋_GB2312" w:eastAsia="仿宋_GB2312"/>
        </w:rPr>
        <w:t>详见附件：报价明细表.docx</w:t>
      </w:r>
    </w:p>
    <w:p>
      <w:pPr>
        <w:pStyle w:val="null3"/>
        <w:ind w:firstLine="960"/>
        <w:jc w:val="left"/>
      </w:pPr>
      <w:r>
        <w:rPr>
          <w:rFonts w:ascii="仿宋_GB2312" w:hAnsi="仿宋_GB2312" w:cs="仿宋_GB2312" w:eastAsia="仿宋_GB2312"/>
        </w:rPr>
        <w:t>详见附件：声明函.docx</w:t>
      </w:r>
    </w:p>
    <w:p>
      <w:pPr>
        <w:pStyle w:val="null3"/>
        <w:ind w:firstLine="960"/>
        <w:jc w:val="left"/>
      </w:pPr>
      <w:r>
        <w:rPr>
          <w:rFonts w:ascii="仿宋_GB2312" w:hAnsi="仿宋_GB2312" w:cs="仿宋_GB2312" w:eastAsia="仿宋_GB2312"/>
        </w:rPr>
        <w:t>详见附件：法定代表人或主要负责人身份证明书.docx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