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版本号：N513411202600007420260413001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2026年车管业务印刷制品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N5134112026000074</w:t>
      </w:r>
    </w:p>
    <w:p>
      <w:pPr>
        <w:pStyle w:val="null3"/>
        <w:jc w:val="left"/>
        <w:outlineLvl w:val="2"/>
      </w:pPr>
      <w:r>
        <w:rPr>
          <w:rFonts w:ascii="仿宋_GB2312" w:hAnsi="仿宋_GB2312" w:cs="仿宋_GB2312" w:eastAsia="仿宋_GB2312"/>
          <w:sz w:val="28"/>
          <w:b/>
        </w:rPr>
        <w:t>凉山彝族自治州公安局交通管理支队</w:t>
      </w:r>
    </w:p>
    <w:p>
      <w:pPr>
        <w:pStyle w:val="null3"/>
        <w:jc w:val="center"/>
        <w:outlineLvl w:val="2"/>
      </w:pPr>
      <w:r>
        <w:rPr>
          <w:rFonts w:ascii="仿宋_GB2312" w:hAnsi="仿宋_GB2312" w:cs="仿宋_GB2312" w:eastAsia="仿宋_GB2312"/>
          <w:sz w:val="28"/>
          <w:b/>
        </w:rPr>
        <w:t>中大国信工程管理有限公司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中大国信工程管理有限公司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凉山彝族自治州公安局交通管理支队</w:t>
      </w:r>
      <w:r>
        <w:rPr>
          <w:rFonts w:ascii="仿宋_GB2312" w:hAnsi="仿宋_GB2312" w:cs="仿宋_GB2312" w:eastAsia="仿宋_GB2312"/>
        </w:rPr>
        <w:t xml:space="preserve"> 委托，拟对 </w:t>
      </w:r>
      <w:r>
        <w:rPr>
          <w:rFonts w:ascii="仿宋_GB2312" w:hAnsi="仿宋_GB2312" w:cs="仿宋_GB2312" w:eastAsia="仿宋_GB2312"/>
        </w:rPr>
        <w:t>2026年车管业务印刷制品</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N5134112026000074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2026年车管业务印刷制品</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2026年车管业务印刷制品。</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凉山彝族自治州公安局交通管理支队</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四川省西昌市小庙乡焦家村二组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0834-2888144</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中大国信工程管理有限公司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西昌市北碧府路1号综合楼（宜尚）3楼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0834-2502123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代理服务费收费标准：（1）招标代理服务费参照发改价格〔2015〕299号规定进行收取，由成交供应商支付, 自本项目中标（成交）结果公告发布之日起7个工作日内成交供应商须向代理机构按时结算招标代理服务费。 本项目招标代理服务费为：2450元（大写金额：贰仟肆佰伍拾元整）（发票类型：电子普票） （2）招标代理服务费收款账户 交款方式：银行转账。 收款单位：中大国信工程管理有限公司凉山州分公司。 开户行：中国工商银行股份有限公司凉山碧府路支行。 银行账号：2320633109100026383。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凉山彝族自治州公安局交通管理支队</w:t>
      </w:r>
      <w:r>
        <w:rPr>
          <w:rFonts w:ascii="仿宋_GB2312" w:hAnsi="仿宋_GB2312" w:cs="仿宋_GB2312" w:eastAsia="仿宋_GB2312"/>
        </w:rPr>
        <w:t xml:space="preserve"> 和 </w:t>
      </w:r>
      <w:r>
        <w:rPr>
          <w:rFonts w:ascii="仿宋_GB2312" w:hAnsi="仿宋_GB2312" w:cs="仿宋_GB2312" w:eastAsia="仿宋_GB2312"/>
        </w:rPr>
        <w:t>中大国信工程管理有限公司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凉山彝族自治州公安局交通管理支队</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中大国信工程管理有限公司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按照本项目采购文件中“技术服务要求”及投标供应商响应文件进行验收。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按照本项目采购文件中“商务要求”及投标供应商响应文件进行验收。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与中标供应商应严格执行《财政部关于进一步加强政府采购需求和履约验收管理的指导意见》（财库〔2016〕205号）《政府采购需求管理办法》（财库〔2021〕22号）的要求、采购文件规定的要求和响应文件及合同承诺的内容进行验收。（2）采购人组织验收人员组成验收小组，成交供应商应当予以配合，所有产品须严格按照其响应文件应答的品牌、型号和技术参数性能指标供货，技术参数性能指标与采购文件及采购合同一致，达到规定的标准。产品技术资料、装箱单、检测报告等资料齐全。（3）所有货物应符合质量检验、监督等部门的相关质量要求。 （4）在验收时，若采购人发现货物损耗偏高或其他非正常情况，成交供应商应及时弥补或更换；若货物品名、型号、品牌等不符合要求的，一律退回，成交供应商无条件按采购人要求重新更换配送货物。若弥补或更换后仍然不符合要求的，视为验收不合格。 （5）货物在验收时，若发现有成交供应商所供货物的包装、质量、技术参数、性能指标等不符合要求的，视为验收不合格。 （6）成交供应商向采购人供应的所有货物应能够按规定索票、索证和溯源。</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按国家有关规定以及采购人采购文件的服务质量要求和技术指标、投标供应商的响应文件及承诺与后续合同约定标准进行验收。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凉山彝族自治州公安局交通管理支队</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中大国信工程管理有限公司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中大国信工程管理有限公司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联系电话：0834-2888144</w:t>
      </w:r>
    </w:p>
    <w:p>
      <w:pPr>
        <w:pStyle w:val="null3"/>
        <w:jc w:val="left"/>
      </w:pPr>
      <w:r>
        <w:rPr>
          <w:rFonts w:ascii="仿宋_GB2312" w:hAnsi="仿宋_GB2312" w:cs="仿宋_GB2312" w:eastAsia="仿宋_GB2312"/>
        </w:rPr>
        <w:t>地址：四川省西昌市小庙乡焦家村二组</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联系人：钟老师</w:t>
      </w:r>
    </w:p>
    <w:p>
      <w:pPr>
        <w:pStyle w:val="null3"/>
        <w:jc w:val="left"/>
      </w:pPr>
      <w:r>
        <w:rPr>
          <w:rFonts w:ascii="仿宋_GB2312" w:hAnsi="仿宋_GB2312" w:cs="仿宋_GB2312" w:eastAsia="仿宋_GB2312"/>
        </w:rPr>
        <w:t>联系电话：0834-2502123</w:t>
      </w:r>
    </w:p>
    <w:p>
      <w:pPr>
        <w:pStyle w:val="null3"/>
        <w:jc w:val="left"/>
      </w:pPr>
      <w:r>
        <w:rPr>
          <w:rFonts w:ascii="仿宋_GB2312" w:hAnsi="仿宋_GB2312" w:cs="仿宋_GB2312" w:eastAsia="仿宋_GB2312"/>
        </w:rPr>
        <w:t>地址：西昌市北碧府路1号综合楼（宜尚）3楼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机动车档案袋</w:t>
            </w:r>
          </w:p>
        </w:tc>
        <w:tc>
          <w:tcPr>
            <w:tcW w:type="dxa" w:w="821"/>
          </w:tcPr>
          <w:p>
            <w:pPr>
              <w:pStyle w:val="null3"/>
              <w:jc w:val="right"/>
            </w:pPr>
            <w:r>
              <w:rPr>
                <w:rFonts w:ascii="仿宋_GB2312" w:hAnsi="仿宋_GB2312" w:cs="仿宋_GB2312" w:eastAsia="仿宋_GB2312"/>
              </w:rPr>
              <w:t>250,000.00（个）</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驾驶证档案袋</w:t>
            </w:r>
          </w:p>
        </w:tc>
        <w:tc>
          <w:tcPr>
            <w:tcW w:type="dxa" w:w="821"/>
          </w:tcPr>
          <w:p>
            <w:pPr>
              <w:pStyle w:val="null3"/>
              <w:jc w:val="right"/>
            </w:pPr>
            <w:r>
              <w:rPr>
                <w:rFonts w:ascii="仿宋_GB2312" w:hAnsi="仿宋_GB2312" w:cs="仿宋_GB2312" w:eastAsia="仿宋_GB2312"/>
              </w:rPr>
              <w:t>150,000.00（个）</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机动车行驶证外壳</w:t>
            </w:r>
          </w:p>
        </w:tc>
        <w:tc>
          <w:tcPr>
            <w:tcW w:type="dxa" w:w="821"/>
          </w:tcPr>
          <w:p>
            <w:pPr>
              <w:pStyle w:val="null3"/>
              <w:jc w:val="right"/>
            </w:pPr>
            <w:r>
              <w:rPr>
                <w:rFonts w:ascii="仿宋_GB2312" w:hAnsi="仿宋_GB2312" w:cs="仿宋_GB2312" w:eastAsia="仿宋_GB2312"/>
              </w:rPr>
              <w:t>250,000.00（本）</w:t>
            </w:r>
          </w:p>
        </w:tc>
        <w:tc>
          <w:tcPr>
            <w:tcW w:type="dxa" w:w="821"/>
          </w:tcPr>
          <w:p>
            <w:pPr>
              <w:pStyle w:val="null3"/>
              <w:jc w:val="right"/>
            </w:pPr>
            <w:r>
              <w:rPr>
                <w:rFonts w:ascii="仿宋_GB2312" w:hAnsi="仿宋_GB2312" w:cs="仿宋_GB2312" w:eastAsia="仿宋_GB2312"/>
              </w:rPr>
              <w:t>65,000.00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机动车驾驶证外壳</w:t>
            </w:r>
          </w:p>
        </w:tc>
        <w:tc>
          <w:tcPr>
            <w:tcW w:type="dxa" w:w="821"/>
          </w:tcPr>
          <w:p>
            <w:pPr>
              <w:pStyle w:val="null3"/>
              <w:jc w:val="right"/>
            </w:pPr>
            <w:r>
              <w:rPr>
                <w:rFonts w:ascii="仿宋_GB2312" w:hAnsi="仿宋_GB2312" w:cs="仿宋_GB2312" w:eastAsia="仿宋_GB2312"/>
              </w:rPr>
              <w:t>200,000.00（本）</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机动车临时号牌</w:t>
            </w:r>
          </w:p>
        </w:tc>
        <w:tc>
          <w:tcPr>
            <w:tcW w:type="dxa" w:w="821"/>
          </w:tcPr>
          <w:p>
            <w:pPr>
              <w:pStyle w:val="null3"/>
              <w:jc w:val="right"/>
            </w:pPr>
            <w:r>
              <w:rPr>
                <w:rFonts w:ascii="仿宋_GB2312" w:hAnsi="仿宋_GB2312" w:cs="仿宋_GB2312" w:eastAsia="仿宋_GB2312"/>
              </w:rPr>
              <w:t>300,000.00（张）</w:t>
            </w:r>
          </w:p>
        </w:tc>
        <w:tc>
          <w:tcPr>
            <w:tcW w:type="dxa" w:w="821"/>
          </w:tcPr>
          <w:p>
            <w:pPr>
              <w:pStyle w:val="null3"/>
              <w:jc w:val="right"/>
            </w:pPr>
            <w:r>
              <w:rPr>
                <w:rFonts w:ascii="仿宋_GB2312" w:hAnsi="仿宋_GB2312" w:cs="仿宋_GB2312" w:eastAsia="仿宋_GB2312"/>
              </w:rPr>
              <w:t>84,000.00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机动车驾驶证实习标志</w:t>
            </w:r>
          </w:p>
        </w:tc>
        <w:tc>
          <w:tcPr>
            <w:tcW w:type="dxa" w:w="821"/>
          </w:tcPr>
          <w:p>
            <w:pPr>
              <w:pStyle w:val="null3"/>
              <w:jc w:val="right"/>
            </w:pPr>
            <w:r>
              <w:rPr>
                <w:rFonts w:ascii="仿宋_GB2312" w:hAnsi="仿宋_GB2312" w:cs="仿宋_GB2312" w:eastAsia="仿宋_GB2312"/>
              </w:rPr>
              <w:t>50,000.00（张）</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机动车档案袋</w:t>
            </w:r>
          </w:p>
        </w:tc>
        <w:tc>
          <w:tcPr>
            <w:tcW w:type="dxa" w:w="1138"/>
          </w:tcPr>
          <w:p>
            <w:pPr>
              <w:pStyle w:val="null3"/>
              <w:jc w:val="center"/>
            </w:pPr>
            <w:r>
              <w:rPr>
                <w:rFonts w:ascii="仿宋_GB2312" w:hAnsi="仿宋_GB2312" w:cs="仿宋_GB2312" w:eastAsia="仿宋_GB2312"/>
              </w:rPr>
              <w:t>250,000.00（个）</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驾驶证档案袋</w:t>
            </w:r>
          </w:p>
        </w:tc>
        <w:tc>
          <w:tcPr>
            <w:tcW w:type="dxa" w:w="1138"/>
          </w:tcPr>
          <w:p>
            <w:pPr>
              <w:pStyle w:val="null3"/>
              <w:jc w:val="center"/>
            </w:pPr>
            <w:r>
              <w:rPr>
                <w:rFonts w:ascii="仿宋_GB2312" w:hAnsi="仿宋_GB2312" w:cs="仿宋_GB2312" w:eastAsia="仿宋_GB2312"/>
              </w:rPr>
              <w:t>150,000.00（个）</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机动车行驶证外壳</w:t>
            </w:r>
          </w:p>
        </w:tc>
        <w:tc>
          <w:tcPr>
            <w:tcW w:type="dxa" w:w="1138"/>
          </w:tcPr>
          <w:p>
            <w:pPr>
              <w:pStyle w:val="null3"/>
              <w:jc w:val="center"/>
            </w:pPr>
            <w:r>
              <w:rPr>
                <w:rFonts w:ascii="仿宋_GB2312" w:hAnsi="仿宋_GB2312" w:cs="仿宋_GB2312" w:eastAsia="仿宋_GB2312"/>
              </w:rPr>
              <w:t>250,000.00（本）</w:t>
            </w:r>
          </w:p>
        </w:tc>
        <w:tc>
          <w:tcPr>
            <w:tcW w:type="dxa" w:w="1365"/>
          </w:tcPr>
          <w:p>
            <w:pPr>
              <w:pStyle w:val="null3"/>
              <w:jc w:val="center"/>
            </w:pPr>
            <w:r>
              <w:rPr>
                <w:rFonts w:ascii="仿宋_GB2312" w:hAnsi="仿宋_GB2312" w:cs="仿宋_GB2312" w:eastAsia="仿宋_GB2312"/>
              </w:rPr>
              <w:t>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机动车驾驶证外壳</w:t>
            </w:r>
          </w:p>
        </w:tc>
        <w:tc>
          <w:tcPr>
            <w:tcW w:type="dxa" w:w="1138"/>
          </w:tcPr>
          <w:p>
            <w:pPr>
              <w:pStyle w:val="null3"/>
              <w:jc w:val="center"/>
            </w:pPr>
            <w:r>
              <w:rPr>
                <w:rFonts w:ascii="仿宋_GB2312" w:hAnsi="仿宋_GB2312" w:cs="仿宋_GB2312" w:eastAsia="仿宋_GB2312"/>
              </w:rPr>
              <w:t>200,000.00（本）</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机动车临时号牌</w:t>
            </w:r>
          </w:p>
        </w:tc>
        <w:tc>
          <w:tcPr>
            <w:tcW w:type="dxa" w:w="1138"/>
          </w:tcPr>
          <w:p>
            <w:pPr>
              <w:pStyle w:val="null3"/>
              <w:jc w:val="center"/>
            </w:pPr>
            <w:r>
              <w:rPr>
                <w:rFonts w:ascii="仿宋_GB2312" w:hAnsi="仿宋_GB2312" w:cs="仿宋_GB2312" w:eastAsia="仿宋_GB2312"/>
              </w:rPr>
              <w:t>300,000.00（张）</w:t>
            </w:r>
          </w:p>
        </w:tc>
        <w:tc>
          <w:tcPr>
            <w:tcW w:type="dxa" w:w="1365"/>
          </w:tcPr>
          <w:p>
            <w:pPr>
              <w:pStyle w:val="null3"/>
              <w:jc w:val="center"/>
            </w:pPr>
            <w:r>
              <w:rPr>
                <w:rFonts w:ascii="仿宋_GB2312" w:hAnsi="仿宋_GB2312" w:cs="仿宋_GB2312" w:eastAsia="仿宋_GB2312"/>
              </w:rPr>
              <w:t>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机动车驾驶证实习标志</w:t>
            </w:r>
          </w:p>
        </w:tc>
        <w:tc>
          <w:tcPr>
            <w:tcW w:type="dxa" w:w="1138"/>
          </w:tcPr>
          <w:p>
            <w:pPr>
              <w:pStyle w:val="null3"/>
              <w:jc w:val="center"/>
            </w:pPr>
            <w:r>
              <w:rPr>
                <w:rFonts w:ascii="仿宋_GB2312" w:hAnsi="仿宋_GB2312" w:cs="仿宋_GB2312" w:eastAsia="仿宋_GB2312"/>
              </w:rPr>
              <w:t>50,000.00（张）</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A07100300 纸制品</w:t>
            </w:r>
          </w:p>
        </w:tc>
        <w:tc>
          <w:tcPr>
            <w:tcW w:type="dxa" w:w="2492"/>
          </w:tcPr>
          <w:p>
            <w:pPr>
              <w:pStyle w:val="null3"/>
              <w:jc w:val="left"/>
            </w:pPr>
            <w:r>
              <w:rPr>
                <w:rFonts w:ascii="仿宋_GB2312" w:hAnsi="仿宋_GB2312" w:cs="仿宋_GB2312" w:eastAsia="仿宋_GB2312"/>
              </w:rPr>
              <w:t>机动车临时号牌</w:t>
            </w:r>
          </w:p>
        </w:tc>
        <w:tc>
          <w:tcPr>
            <w:tcW w:type="dxa" w:w="2492"/>
          </w:tcPr>
          <w:p>
            <w:pPr>
              <w:pStyle w:val="null3"/>
              <w:jc w:val="left"/>
            </w:pPr>
            <w:r>
              <w:rPr>
                <w:rFonts w:ascii="仿宋_GB2312" w:hAnsi="仿宋_GB2312" w:cs="仿宋_GB2312" w:eastAsia="仿宋_GB2312"/>
              </w:rPr>
              <w:t>机动车临时号牌</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标的名称：机动车档案袋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000000"/>
              </w:rPr>
              <w:t>1.材质≥150g 牛皮纸，边长≥ 33.5cm， 边宽≥22.5cm 封边宽≥ 3cm</w:t>
            </w:r>
          </w:p>
        </w:tc>
      </w:tr>
    </w:tbl>
    <w:p>
      <w:pPr>
        <w:pStyle w:val="null3"/>
        <w:jc w:val="left"/>
      </w:pPr>
      <w:r>
        <w:rPr>
          <w:rFonts w:ascii="仿宋_GB2312" w:hAnsi="仿宋_GB2312" w:cs="仿宋_GB2312" w:eastAsia="仿宋_GB2312"/>
        </w:rPr>
        <w:t>标的名称：驾驶证档案袋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000000"/>
              </w:rPr>
              <w:t>1.材质≥150g 牛皮纸，边长≥ 33.5cm， 边宽≥22.5cm 封边宽≥3cm</w:t>
            </w:r>
          </w:p>
        </w:tc>
      </w:tr>
    </w:tbl>
    <w:p>
      <w:pPr>
        <w:pStyle w:val="null3"/>
        <w:jc w:val="left"/>
      </w:pPr>
      <w:r>
        <w:rPr>
          <w:rFonts w:ascii="仿宋_GB2312" w:hAnsi="仿宋_GB2312" w:cs="仿宋_GB2312" w:eastAsia="仿宋_GB2312"/>
        </w:rPr>
        <w:t>标的名称：机动车行驶证外壳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333333"/>
              </w:rPr>
              <w:t>1.</w:t>
            </w:r>
            <w:r>
              <w:rPr>
                <w:rFonts w:ascii="仿宋_GB2312" w:hAnsi="仿宋_GB2312" w:cs="仿宋_GB2312" w:eastAsia="仿宋_GB2312"/>
                <w:sz w:val="24"/>
              </w:rPr>
              <w:t>参照《中华人民共和国机动车</w:t>
            </w:r>
            <w:r>
              <w:rPr>
                <w:rFonts w:ascii="仿宋_GB2312" w:hAnsi="仿宋_GB2312" w:cs="仿宋_GB2312" w:eastAsia="仿宋_GB2312"/>
                <w:sz w:val="24"/>
              </w:rPr>
              <w:t>行</w:t>
            </w:r>
            <w:r>
              <w:rPr>
                <w:rFonts w:ascii="仿宋_GB2312" w:hAnsi="仿宋_GB2312" w:cs="仿宋_GB2312" w:eastAsia="仿宋_GB2312"/>
                <w:sz w:val="24"/>
              </w:rPr>
              <w:t>驶证》</w:t>
            </w:r>
            <w:r>
              <w:rPr>
                <w:rFonts w:ascii="仿宋_GB2312" w:hAnsi="仿宋_GB2312" w:cs="仿宋_GB2312" w:eastAsia="仿宋_GB2312"/>
                <w:sz w:val="24"/>
              </w:rPr>
              <w:t>GA37—200</w:t>
            </w:r>
            <w:r>
              <w:rPr>
                <w:rFonts w:ascii="仿宋_GB2312" w:hAnsi="仿宋_GB2312" w:cs="仿宋_GB2312" w:eastAsia="仿宋_GB2312"/>
                <w:sz w:val="24"/>
                <w:color w:val="333333"/>
              </w:rPr>
              <w:t>8 标准执行印制</w:t>
            </w:r>
          </w:p>
        </w:tc>
      </w:tr>
    </w:tbl>
    <w:p>
      <w:pPr>
        <w:pStyle w:val="null3"/>
        <w:jc w:val="left"/>
      </w:pPr>
      <w:r>
        <w:rPr>
          <w:rFonts w:ascii="仿宋_GB2312" w:hAnsi="仿宋_GB2312" w:cs="仿宋_GB2312" w:eastAsia="仿宋_GB2312"/>
        </w:rPr>
        <w:t>标的名称：机动车驾驶证外壳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参照《中华人民共和国机动车驾</w:t>
            </w:r>
            <w:r>
              <w:rPr>
                <w:rFonts w:ascii="仿宋_GB2312" w:hAnsi="仿宋_GB2312" w:cs="仿宋_GB2312" w:eastAsia="仿宋_GB2312"/>
                <w:sz w:val="24"/>
              </w:rPr>
              <w:t>驶证件》</w:t>
            </w:r>
            <w:r>
              <w:rPr>
                <w:rFonts w:ascii="仿宋_GB2312" w:hAnsi="仿宋_GB2312" w:cs="仿宋_GB2312" w:eastAsia="仿宋_GB2312"/>
                <w:sz w:val="24"/>
              </w:rPr>
              <w:t>GA</w:t>
            </w:r>
            <w:r>
              <w:rPr>
                <w:rFonts w:ascii="仿宋_GB2312" w:hAnsi="仿宋_GB2312" w:cs="仿宋_GB2312" w:eastAsia="仿宋_GB2312"/>
                <w:sz w:val="24"/>
              </w:rPr>
              <w:t>482</w:t>
            </w:r>
            <w:r>
              <w:rPr>
                <w:rFonts w:ascii="仿宋_GB2312" w:hAnsi="仿宋_GB2312" w:cs="仿宋_GB2312" w:eastAsia="仿宋_GB2312"/>
                <w:sz w:val="24"/>
              </w:rPr>
              <w:t>—2</w:t>
            </w:r>
            <w:r>
              <w:rPr>
                <w:rFonts w:ascii="仿宋_GB2312" w:hAnsi="仿宋_GB2312" w:cs="仿宋_GB2312" w:eastAsia="仿宋_GB2312"/>
                <w:sz w:val="24"/>
              </w:rPr>
              <w:t>012</w:t>
            </w:r>
            <w:r>
              <w:rPr>
                <w:rFonts w:ascii="仿宋_GB2312" w:hAnsi="仿宋_GB2312" w:cs="仿宋_GB2312" w:eastAsia="仿宋_GB2312"/>
                <w:sz w:val="24"/>
              </w:rPr>
              <w:t xml:space="preserve"> </w:t>
            </w:r>
            <w:r>
              <w:rPr>
                <w:rFonts w:ascii="仿宋_GB2312" w:hAnsi="仿宋_GB2312" w:cs="仿宋_GB2312" w:eastAsia="仿宋_GB2312"/>
                <w:sz w:val="24"/>
              </w:rPr>
              <w:t>标准</w:t>
            </w:r>
            <w:r>
              <w:rPr>
                <w:rFonts w:ascii="仿宋_GB2312" w:hAnsi="仿宋_GB2312" w:cs="仿宋_GB2312" w:eastAsia="仿宋_GB2312"/>
                <w:sz w:val="24"/>
                <w:color w:val="333333"/>
              </w:rPr>
              <w:t>执行印制</w:t>
            </w:r>
          </w:p>
        </w:tc>
      </w:tr>
    </w:tbl>
    <w:p>
      <w:pPr>
        <w:pStyle w:val="null3"/>
        <w:jc w:val="left"/>
      </w:pPr>
      <w:r>
        <w:rPr>
          <w:rFonts w:ascii="仿宋_GB2312" w:hAnsi="仿宋_GB2312" w:cs="仿宋_GB2312" w:eastAsia="仿宋_GB2312"/>
        </w:rPr>
        <w:t>标的名称：机动车临时号牌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000000"/>
              </w:rPr>
              <w:t>1.按照《中华人民共和国机动车号牌》GA36-2018 标准执行印制</w:t>
            </w:r>
          </w:p>
        </w:tc>
      </w:tr>
    </w:tbl>
    <w:p>
      <w:pPr>
        <w:pStyle w:val="null3"/>
        <w:jc w:val="left"/>
      </w:pPr>
      <w:r>
        <w:rPr>
          <w:rFonts w:ascii="仿宋_GB2312" w:hAnsi="仿宋_GB2312" w:cs="仿宋_GB2312" w:eastAsia="仿宋_GB2312"/>
        </w:rPr>
        <w:t>标的名称：机动车驾驶证实习标志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w:t>
            </w:r>
          </w:p>
        </w:tc>
        <w:tc>
          <w:tcPr>
            <w:tcW w:type="dxa" w:w="5814"/>
          </w:tcPr>
          <w:p>
            <w:pPr>
              <w:pStyle w:val="null3"/>
              <w:jc w:val="left"/>
            </w:pPr>
            <w:r>
              <w:rPr>
                <w:rFonts w:ascii="仿宋_GB2312" w:hAnsi="仿宋_GB2312" w:cs="仿宋_GB2312" w:eastAsia="仿宋_GB2312"/>
                <w:sz w:val="24"/>
                <w:color w:val="000000"/>
              </w:rPr>
              <w:t>1.参照《机动车驾驶证申领和使用规定》(公安部令第172号)标准执行印制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注</w:t>
            </w:r>
          </w:p>
        </w:tc>
        <w:tc>
          <w:tcPr>
            <w:tcW w:type="dxa" w:w="5814"/>
          </w:tcPr>
          <w:p>
            <w:pPr>
              <w:pStyle w:val="null3"/>
              <w:ind w:firstLine="720"/>
              <w:jc w:val="both"/>
            </w:pPr>
            <w:r>
              <w:rPr>
                <w:rFonts w:ascii="仿宋_GB2312" w:hAnsi="仿宋_GB2312" w:cs="仿宋_GB2312" w:eastAsia="仿宋_GB2312"/>
                <w:sz w:val="24"/>
                <w:color w:val="000000"/>
              </w:rPr>
              <w:t>（1）技术参数描述如与特定品牌系统或者型号相匹配，仅作为技术参考，不代表特定产品，供应商可提供等同或优于参数要求的产品；</w:t>
            </w:r>
          </w:p>
          <w:p>
            <w:pPr>
              <w:pStyle w:val="null3"/>
              <w:ind w:firstLine="720"/>
              <w:jc w:val="both"/>
            </w:pPr>
            <w:r>
              <w:rPr>
                <w:rFonts w:ascii="仿宋_GB2312" w:hAnsi="仿宋_GB2312" w:cs="仿宋_GB2312" w:eastAsia="仿宋_GB2312"/>
                <w:sz w:val="24"/>
                <w:color w:val="000000"/>
              </w:rPr>
              <w:t>（2）如各产品有特殊要求的，以各产品要求为准，如列明品牌型号的，均为参考，投标人所投产品技术不低于所列品牌型号即可。</w:t>
            </w:r>
          </w:p>
          <w:p>
            <w:pPr>
              <w:pStyle w:val="null3"/>
              <w:ind w:firstLine="720"/>
              <w:jc w:val="both"/>
            </w:pPr>
            <w:r>
              <w:rPr>
                <w:rFonts w:ascii="仿宋_GB2312" w:hAnsi="仿宋_GB2312" w:cs="仿宋_GB2312" w:eastAsia="仿宋_GB2312"/>
                <w:sz w:val="24"/>
                <w:color w:val="000000"/>
              </w:rPr>
              <w:t>（3）清单中要求提供的分项名称，因采购人不能穷尽详列或通俗认知等原因，可能供应商提供的产品所对应的证书、证明材料对产品命名存在差别，在满足技术参数要求前提下，本项目给予认可。</w:t>
            </w:r>
          </w:p>
          <w:p>
            <w:pPr>
              <w:pStyle w:val="null3"/>
              <w:ind w:firstLine="720"/>
              <w:jc w:val="both"/>
            </w:pPr>
            <w:r>
              <w:rPr>
                <w:rFonts w:ascii="仿宋_GB2312" w:hAnsi="仿宋_GB2312" w:cs="仿宋_GB2312" w:eastAsia="仿宋_GB2312"/>
                <w:sz w:val="24"/>
                <w:color w:val="000000"/>
              </w:rPr>
              <w:t>（4）本项目技术要求所涉及标准及规范如有国家最新标准规范，须以最新为准并按照最新标准执行和响应，按照国家最新标准或规范响应的技术要求本项目予以认可，未按照国家最新标准或规范响应的技术要求不予认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2"/>
              <w:jc w:val="both"/>
            </w:pPr>
            <w:r>
              <w:rPr>
                <w:rFonts w:ascii="仿宋_GB2312" w:hAnsi="仿宋_GB2312" w:cs="仿宋_GB2312" w:eastAsia="仿宋_GB2312"/>
                <w:sz w:val="24"/>
                <w:color w:val="000000"/>
              </w:rPr>
              <w:t>（1）本项目投标报价是履行合同的最终价格，应包括供应商完成本项目所需的一切费用采购人不再支付任何费用；投标报价估算错误等引起的风险由供应商自行承担。</w:t>
            </w:r>
          </w:p>
          <w:p>
            <w:pPr>
              <w:pStyle w:val="null3"/>
              <w:ind w:firstLine="482"/>
              <w:jc w:val="both"/>
            </w:pPr>
            <w:r>
              <w:rPr>
                <w:rFonts w:ascii="仿宋_GB2312" w:hAnsi="仿宋_GB2312" w:cs="仿宋_GB2312" w:eastAsia="仿宋_GB2312"/>
                <w:sz w:val="24"/>
                <w:color w:val="000000"/>
              </w:rPr>
              <w:t>（2）预算控制价金额350000.00元，供应商报价需符合预算控制总价及单价要求，超出预算控制价的总价及单价报价为无效投标。</w:t>
            </w:r>
          </w:p>
          <w:p>
            <w:pPr>
              <w:pStyle w:val="null3"/>
              <w:ind w:firstLine="482"/>
              <w:jc w:val="both"/>
            </w:pPr>
            <w:r>
              <w:rPr>
                <w:rFonts w:ascii="仿宋_GB2312" w:hAnsi="仿宋_GB2312" w:cs="仿宋_GB2312" w:eastAsia="仿宋_GB2312"/>
                <w:sz w:val="24"/>
                <w:color w:val="000000"/>
              </w:rPr>
              <w:t>（3）本项目需要进行第二轮及以上报价，且每轮报价不得高于上一轮报价单价，高于上一轮报价的作无效投标处理。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安全要求及劳务纠纷要求</w:t>
            </w:r>
          </w:p>
        </w:tc>
        <w:tc>
          <w:tcPr>
            <w:tcW w:type="dxa" w:w="5814"/>
          </w:tcPr>
          <w:p>
            <w:pPr>
              <w:pStyle w:val="null3"/>
              <w:ind w:firstLine="480"/>
              <w:jc w:val="left"/>
            </w:pPr>
            <w:r>
              <w:rPr>
                <w:rFonts w:ascii="仿宋_GB2312" w:hAnsi="仿宋_GB2312" w:cs="仿宋_GB2312" w:eastAsia="仿宋_GB2312"/>
                <w:sz w:val="24"/>
                <w:color w:val="000000"/>
              </w:rPr>
              <w:t>（1）本项目自供应商签订合同之日至合同服务期满，供应商将自行负责合同期间内的人身安全、财产安全、环境安全等一切安全责任。在履约过程中的任何安全事故均由供应商负责；同时因漏电、雷击、人为攀爬、民事纠纷等造成的后果也均由供应商自行承担负责。</w:t>
            </w:r>
            <w:r>
              <w:rPr>
                <w:rFonts w:ascii="仿宋_GB2312" w:hAnsi="仿宋_GB2312" w:cs="仿宋_GB2312" w:eastAsia="仿宋_GB2312"/>
                <w:sz w:val="24"/>
                <w:b/>
                <w:color w:val="000000"/>
              </w:rPr>
              <w:t>（提供格式自拟的承诺函原件并加盖供应商鲜章）</w:t>
            </w:r>
          </w:p>
          <w:p>
            <w:pPr>
              <w:pStyle w:val="null3"/>
              <w:ind w:firstLine="480"/>
              <w:jc w:val="left"/>
            </w:pPr>
            <w:r>
              <w:rPr>
                <w:rFonts w:ascii="仿宋_GB2312" w:hAnsi="仿宋_GB2312" w:cs="仿宋_GB2312" w:eastAsia="仿宋_GB2312"/>
                <w:sz w:val="24"/>
                <w:color w:val="000000"/>
              </w:rPr>
              <w:t>（2）合同履行期间所发生的劳动关系由供应商负责，一切劳务或劳资纠纷由成交供应商全权负责处理，由此导致的不良影响及后果，由成交供应商承担，与采购人无关。若因纠纷给采购人带来的不利影响和经济损失，由采购人依法追偿。</w:t>
            </w:r>
            <w:r>
              <w:rPr>
                <w:rFonts w:ascii="仿宋_GB2312" w:hAnsi="仿宋_GB2312" w:cs="仿宋_GB2312" w:eastAsia="仿宋_GB2312"/>
                <w:sz w:val="24"/>
                <w:b/>
                <w:color w:val="000000"/>
              </w:rPr>
              <w:t>（提供格式自拟的承诺函原件并加盖供应商鲜章）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color w:val="000000"/>
              </w:rPr>
              <w:t>（1）如成交，不可因未了解项目现场情况而放弃成交不履行成交供应商义务。如因成交供应商不能正常履约，给采购人造成任何损失的，采购人将保留进一步追溯的权利，并要求供应商赔偿由此带来的所有损失；如放弃成交，所产生的后果按照政府采购相关法律法规执行。</w:t>
            </w:r>
          </w:p>
          <w:p>
            <w:pPr>
              <w:pStyle w:val="null3"/>
              <w:jc w:val="left"/>
            </w:pPr>
            <w:r>
              <w:rPr>
                <w:rFonts w:ascii="仿宋_GB2312" w:hAnsi="仿宋_GB2312" w:cs="仿宋_GB2312" w:eastAsia="仿宋_GB2312"/>
                <w:sz w:val="24"/>
                <w:color w:val="000000"/>
              </w:rPr>
              <w:t>（2）未尽事宜由采购人和成交供应商在采购合同中另行协商约定。</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合同实质性条款</w:t>
            </w:r>
          </w:p>
        </w:tc>
        <w:tc>
          <w:tcPr>
            <w:tcW w:type="dxa" w:w="5814"/>
          </w:tcPr>
          <w:p>
            <w:pPr>
              <w:pStyle w:val="null3"/>
              <w:jc w:val="left"/>
            </w:pPr>
            <w:r>
              <w:rPr>
                <w:rFonts w:ascii="仿宋_GB2312" w:hAnsi="仿宋_GB2312" w:cs="仿宋_GB2312" w:eastAsia="仿宋_GB2312"/>
                <w:sz w:val="24"/>
                <w:color w:val="000000"/>
              </w:rPr>
              <w:t>甲乙双方应根据本采购项目的特点，在不违背采购文件要求、谈判承诺的原则下，就具体条款进行修改和增减。</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凉山彝族自治州公安局交通管理支队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1、进度款，经验收合格后，达到付款条件起20日内，支付合同总金额的100.00%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与成交供应商应严格执行《财政部关于进一步加强政府采购需求和履约验收管理的指导意见》（财库〔2016〕205号）《政府采购需求管理办法》（财库〔2021〕22号）的要求、采购文件规定的要求和响应文件及合同承诺的内容进行验收。 （2）采购人组织验收人员组成验收小组，成交供应商应当予以配合，所有产品须严格按照其响应文件应答的品牌、型号和技术参数性能指标供货，技术参数性能指标与采购文件及采购合同一致，达到规定的标准。 （3）所有货物应符合质量检验、监督等部门的相关质量要求。 （4）在验收时，若采购人发现货物损耗偏高或其他非正常情况，成交供应商应及时弥补或更换；若货物品名、型号、品牌等不符合要求的，一律退回，成交供应商无条件按采购人要求重新更换配送货物。若弥补或更换后仍然不符合要求的，视为验收不合格。 （5）货物在验收时，若发现有成交供应商所供货物的包装、质量、技术参数、性能指标等不符合要求的，视为验收不合格。</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售后服务期： 1.质保期一年。在质保期内，对产品质量实行“三包”服务。 2.严格遵守厂家和商家的售后服务承诺，售后质保期内货物如产生非人为损坏商家应及时处理，需更换的积极更换。 3.对因质量问题导致拒收、退换货等造成的损失由供应商自行承担。 质量要求： 1.所提供的所有产品均须满足采购文件要求并符合国家产品的有关质量标准。 2.供应商提供的所有货物均为生产厂家原装全新合格产品，不得以次充好；产品来源渠道必须合法，同时应根据国家有关规定、厂家服务承诺及采购单位的要求做好售后服务工作。 3.供应商所提供的货物是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 4.提供的货物制造标准、安装标准及技术规范等，必须符合最新国家标准。各项技术标准应当符合国家强制性标准。 售后服务： 1.退换货服务：开箱检验中发现有诸如数量、型号和外观尺寸与合同不符，或密封包装物本身的短少和损坏、或任何质量问题，应及时退换产品。（单独提供承诺函原件并加盖供应商鲜章）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(1.1)采购人无正当理由拒收货物的，采购人应偿付合同总价百分之十的违约金； (1.2)采购人逾期支付货款的，除应及时付足货款外，应向成交供应商偿付欠款总额万分之 三 /天的违约金；逾期付款超过30天的，成交供应商有权终止合同； (1.3)采购人偿付的违约金不足以弥补成交供应商损失的，还应按成交供应商损失尚未弥补的部分，支付赔偿金给成交供应商。 (2)成交供应商违约责任 (2.1)成交供应商交付的货物质量不符合合同规定的，成交供应商须在合同规定的交货时间内更换合格的货物给采购人，否则，视作成交供应商不能交付货物而违约，按第“2.2”项规定由成交供应商偿付违约赔偿金给采购人。 (2.2)成交供应商不能按时履约而导致违约的，除应及时履约外，应向采购人偿付逾期货款总额的万分之三 /天的违约金；逾期超过 30 天，采购人有权终止合同，成交供应商则应按合同总价的百分之十的款额向采购人偿付赔偿金，并须全额退还采购人已经付给成交供应商的货款及其利息。 (2.3)成交供应商货物经采购人送交具有法定资格条件的质量技术监督机构检测后，如检测结果认定货物质量不符合本合同规定标准的，检测费用由成交人承担，并且成交供应商须在合同规定的交货时间内无条件更换合格的货物，如逾期不能更换合格的货物的，按第“2.2”项规定由成交供应商偿付违约赔偿金给采购人。其次采购人有权终止本合同，并追究其法律责任。 (2.4)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(2.5)成交供应商偿付的违约金不足以弥补采购人损失的，还应按采购人损失尚未弥补的部分，支付赔偿金给采购人。 (3)争议解决：因执行合同发生争议时，双方可协商解决，若协商不成，可向项目所在地人民法院提起诉讼。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提供相关证明材料：①供应商若为企业法人：提供“统一社会信用代码营业执照”；未换证的提供“营业执照、税务登记证、组织机构代码证或三证合一的营业执照”；②若为事业法人：提供“统一社会信用代码法人登记证书”；未换证的提供“事业法人登记证书、组织机构代码证”；③若为其他组织：提供“对应主管部门颁发的准许执业证明文件或营业执照”④若为个体工商户：提供“统一社会信用代码营业执照”或“营业执照、税务登记证”；⑤若为自然人：提供自然人“身份证明材料”；⑥由于银行、保险、石油石化、电力、电信等行业特殊情况，若有涉及此类行业的，允许其有资格的分公司参与投标，提供“企业分支机构营业执照、税务登记和组织机构代码证或统一社会信用代码的营业执照”。（供应商根据自身情况提供以上①、②、③、④、⑤、⑥任意一项扫描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①可提供2023或2024或2025年度任意一年经审计的财务报告复印件（包含审计报告和审计报告中所涉及的财务报表和报表附注）②可提供2023或2024或2025年度任意一年供应商的财务报表复印件（即：资产负债表、利润表、现金流量表）③可提供截至响应文件递交截止日一年内银行出具的资信证明（复印件）；④供应商注册时间截至响应文件递交截止日不足一年的，也可提供在工商备案的公司章程（复印件）】（供应商根据自身情况提供以上①、②、③、④任意一项）</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采购文件中规定的需要实质性响应的内容（采购文件中带“★”的要求）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