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版本号：N513232202600000820260326001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2025年中央财政林业草原专项资金国家级自然保护区能力提升项目(花湖滩涂生物多样性监测点建设服务）(二次)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N5132322026000008</w:t>
      </w:r>
    </w:p>
    <w:p>
      <w:pPr>
        <w:pStyle w:val="null3"/>
        <w:jc w:val="center"/>
        <w:outlineLvl w:val="2"/>
      </w:pPr>
      <w:r>
        <w:rPr>
          <w:rFonts w:ascii="仿宋_GB2312" w:hAnsi="仿宋_GB2312" w:cs="仿宋_GB2312" w:eastAsia="仿宋_GB2312"/>
          <w:sz w:val="28"/>
          <w:b/>
        </w:rPr>
        <w:t>四川若尔盖湿地国家级自然保护区管理局</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委托，拟对 </w:t>
      </w:r>
      <w:r>
        <w:rPr>
          <w:rFonts w:ascii="仿宋_GB2312" w:hAnsi="仿宋_GB2312" w:cs="仿宋_GB2312" w:eastAsia="仿宋_GB2312"/>
        </w:rPr>
        <w:t>2025年中央财政林业草原专项资金国家级自然保护区能力提升项目(花湖滩涂生物多样性监测点建设服务）(二次)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N5132322026000008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2025年中央财政林业草原专项资金国家级自然保护区能力提升项目(花湖滩涂生物多样性监测点建设服务）(二次)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2025年中央财政林业草原专项资金国家级自然保护区能力提升项目(花湖滩涂生物多样性监测点建设服务)，拟通过保护设施维护及设备更新项目，能够完善保护区的基础设施，增强保护区的监测与保护能力，为生物多样性保护提供坚实的硬件支撑。同时，项目可提升科研监测水平，确保监测数据的准确性和时效性，进而有效应对各类生态威胁，保障保护区生态系统的稳定与安全，为生物多样性保护提供更为精确、科学的依据。 本次花湖滩涂生物多样性监测智慧体的采购，将为若尔盖湿地局开展花湖滩涂生物多样性科研监测工作提供有力支撑，有利于实现长远的生态保护与可持续发展目标，也为后续四川若尔盖湿地国家级自然保护区内花湖滩涂生物多样性的科研调查任务、 日常巡护监测以及数据处理等工作奠定基础。</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四川若尔盖湿地国家级自然保护区管理局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若尔盖县达扎寺镇麦溪路47号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0837-2292822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代理服务费收费标准：本项目招标代理服务费按照定额16000元计取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采购文件技术要求和响应文件技术应答以及采购合同条款。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采购文件商务要求和响应文件商务应答以及采购合同条款。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采购人将严格按照《财政部关于进一步加强政府采购需求和履约验收管理的指导意见》(财库〔2016〕205号)的要求、采购文件、响应文件承诺的要求进行验收。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联系电话：0837-2292822</w:t>
      </w:r>
    </w:p>
    <w:p>
      <w:pPr>
        <w:pStyle w:val="null3"/>
        <w:jc w:val="left"/>
      </w:pPr>
      <w:r>
        <w:rPr>
          <w:rFonts w:ascii="仿宋_GB2312" w:hAnsi="仿宋_GB2312" w:cs="仿宋_GB2312" w:eastAsia="仿宋_GB2312"/>
        </w:rPr>
        <w:t>地址：若尔盖县达扎寺镇麦溪路47号</w:t>
      </w:r>
    </w:p>
    <w:p>
      <w:pPr>
        <w:pStyle w:val="null3"/>
        <w:jc w:val="left"/>
      </w:pPr>
      <w:r>
        <w:rPr>
          <w:rFonts w:ascii="仿宋_GB2312" w:hAnsi="仿宋_GB2312" w:cs="仿宋_GB2312" w:eastAsia="仿宋_GB2312"/>
        </w:rPr>
        <w:t>邮编：624500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C16029900 其他系统集成实施服务</w:t>
            </w:r>
          </w:p>
        </w:tc>
        <w:tc>
          <w:tcPr>
            <w:tcW w:type="dxa" w:w="821"/>
          </w:tcPr>
          <w:p>
            <w:pPr>
              <w:pStyle w:val="null3"/>
              <w:jc w:val="left"/>
            </w:pPr>
            <w:r>
              <w:rPr>
                <w:rFonts w:ascii="仿宋_GB2312" w:hAnsi="仿宋_GB2312" w:cs="仿宋_GB2312" w:eastAsia="仿宋_GB2312"/>
              </w:rPr>
              <w:t>花湖滩涂生物多样性监测点建设服务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花湖滩涂生物多样性监测点建设服务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标的名称：花湖滩涂生物多样性监测点建设服务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项目详细内容</w:t>
            </w:r>
          </w:p>
        </w:tc>
        <w:tc>
          <w:tcPr>
            <w:tcW w:type="dxa" w:w="5814"/>
          </w:tcPr>
          <w:p>
            <w:pPr>
              <w:pStyle w:val="null3"/>
              <w:ind w:firstLine="472"/>
              <w:jc w:val="both"/>
            </w:pPr>
            <w:r>
              <w:rPr>
                <w:rFonts w:ascii="仿宋_GB2312" w:hAnsi="仿宋_GB2312" w:cs="仿宋_GB2312" w:eastAsia="仿宋_GB2312"/>
                <w:sz w:val="24"/>
              </w:rPr>
              <w:t>1.采购目的</w:t>
            </w:r>
          </w:p>
          <w:p>
            <w:pPr>
              <w:pStyle w:val="null3"/>
              <w:ind w:firstLine="472"/>
              <w:jc w:val="both"/>
            </w:pPr>
            <w:r>
              <w:rPr>
                <w:rFonts w:ascii="仿宋_GB2312" w:hAnsi="仿宋_GB2312" w:cs="仿宋_GB2312" w:eastAsia="仿宋_GB2312"/>
                <w:sz w:val="24"/>
              </w:rPr>
              <w:t>本次采购涵盖软体与硬件两大核心内容，软体部分包括</w:t>
            </w:r>
            <w:r>
              <w:rPr>
                <w:rFonts w:ascii="仿宋_GB2312" w:hAnsi="仿宋_GB2312" w:cs="仿宋_GB2312" w:eastAsia="仿宋_GB2312"/>
                <w:sz w:val="24"/>
              </w:rPr>
              <w:t>BS  平台界面及人机交互能力升级、监测网络智能运维管理、卫星遥感影像管理、无人机数据管理四大模块，硬件部分包含一体化监测铁塔、高清激光摄像机 1 套、工业级微波网桥、太阳发电系统等设备；通过软硬件的部署与整合，将有效填补花湖核心滩涂区域监测盲区，实现对该关键生境及珍稀鸟类的精准监测，升级若尔盖湿地全域智慧监测体系，为湿地保护、濒危物种保育及国家公园创建提供坚实技术支撑与数据保障。</w:t>
            </w:r>
          </w:p>
          <w:p>
            <w:pPr>
              <w:pStyle w:val="null3"/>
              <w:ind w:firstLine="472"/>
              <w:jc w:val="both"/>
            </w:pPr>
            <w:r>
              <w:rPr>
                <w:rFonts w:ascii="仿宋_GB2312" w:hAnsi="仿宋_GB2312" w:cs="仿宋_GB2312" w:eastAsia="仿宋_GB2312"/>
                <w:sz w:val="24"/>
              </w:rPr>
              <w:t>2.采购内容</w:t>
            </w:r>
          </w:p>
          <w:tbl>
            <w:tblPr>
              <w:tblInd w:type="dxa" w:w="120"/>
              <w:tblBorders>
                <w:top w:val="none" w:color="000000" w:sz="4"/>
                <w:left w:val="none" w:color="000000" w:sz="4"/>
                <w:bottom w:val="none" w:color="000000" w:sz="4"/>
                <w:right w:val="none" w:color="000000" w:sz="4"/>
                <w:insideH w:val="none"/>
                <w:insideV w:val="none"/>
              </w:tblBorders>
            </w:tblPr>
            <w:tblGrid>
              <w:gridCol w:w="324"/>
              <w:gridCol w:w="973"/>
              <w:gridCol w:w="3641"/>
              <w:gridCol w:w="315"/>
              <w:gridCol w:w="315"/>
            </w:tblGrid>
            <w:tr>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jc w:val="both"/>
                  </w:pPr>
                  <w:r>
                    <w:rPr>
                      <w:rFonts w:ascii="仿宋_GB2312" w:hAnsi="仿宋_GB2312" w:cs="仿宋_GB2312" w:eastAsia="仿宋_GB2312"/>
                      <w:sz w:val="24"/>
                      <w:b/>
                    </w:rPr>
                    <w:t>分项</w:t>
                  </w:r>
                </w:p>
              </w:tc>
              <w:tc>
                <w:tcPr>
                  <w:tcW w:type="dxa" w:w="9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15"/>
                    <w:jc w:val="both"/>
                  </w:pPr>
                  <w:r>
                    <w:rPr>
                      <w:rFonts w:ascii="仿宋_GB2312" w:hAnsi="仿宋_GB2312" w:cs="仿宋_GB2312" w:eastAsia="仿宋_GB2312"/>
                      <w:sz w:val="24"/>
                      <w:b/>
                    </w:rPr>
                    <w:t>模块</w:t>
                  </w:r>
                  <w:r>
                    <w:rPr>
                      <w:rFonts w:ascii="仿宋_GB2312" w:hAnsi="仿宋_GB2312" w:cs="仿宋_GB2312" w:eastAsia="仿宋_GB2312"/>
                      <w:sz w:val="24"/>
                      <w:b/>
                    </w:rPr>
                    <w:t>/产品</w:t>
                  </w:r>
                </w:p>
              </w:tc>
              <w:tc>
                <w:tcPr>
                  <w:tcW w:type="dxa" w:w="36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490"/>
                    <w:jc w:val="both"/>
                  </w:pPr>
                  <w:r>
                    <w:rPr>
                      <w:rFonts w:ascii="仿宋_GB2312" w:hAnsi="仿宋_GB2312" w:cs="仿宋_GB2312" w:eastAsia="仿宋_GB2312"/>
                      <w:sz w:val="24"/>
                      <w:b/>
                    </w:rPr>
                    <w:t>产品技术参数</w:t>
                  </w:r>
                  <w:r>
                    <w:rPr>
                      <w:rFonts w:ascii="仿宋_GB2312" w:hAnsi="仿宋_GB2312" w:cs="仿宋_GB2312" w:eastAsia="仿宋_GB2312"/>
                      <w:sz w:val="24"/>
                      <w:b/>
                    </w:rPr>
                    <w:t>/安装要求</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jc w:val="both"/>
                  </w:pPr>
                  <w:r>
                    <w:rPr>
                      <w:rFonts w:ascii="仿宋_GB2312" w:hAnsi="仿宋_GB2312" w:cs="仿宋_GB2312" w:eastAsia="仿宋_GB2312"/>
                      <w:sz w:val="24"/>
                      <w:b/>
                    </w:rPr>
                    <w:t>数量</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jc w:val="both"/>
                  </w:pPr>
                  <w:r>
                    <w:rPr>
                      <w:rFonts w:ascii="仿宋_GB2312" w:hAnsi="仿宋_GB2312" w:cs="仿宋_GB2312" w:eastAsia="仿宋_GB2312"/>
                      <w:sz w:val="24"/>
                      <w:b/>
                    </w:rPr>
                    <w:t>单位</w:t>
                  </w:r>
                </w:p>
              </w:tc>
            </w:tr>
            <w:tr>
              <w:tc>
                <w:tcPr>
                  <w:tcW w:type="dxa" w:w="32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软体部分</w:t>
                  </w: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BS</w:t>
                  </w:r>
                  <w:r>
                    <w:rPr>
                      <w:rFonts w:ascii="仿宋_GB2312" w:hAnsi="仿宋_GB2312" w:cs="仿宋_GB2312" w:eastAsia="仿宋_GB2312"/>
                      <w:sz w:val="24"/>
                    </w:rPr>
                    <w:t>平台界面及人机交互能力升级</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both"/>
                  </w:pPr>
                  <w:r>
                    <w:rPr>
                      <w:rFonts w:ascii="仿宋_GB2312" w:hAnsi="仿宋_GB2312" w:cs="仿宋_GB2312" w:eastAsia="仿宋_GB2312"/>
                      <w:sz w:val="24"/>
                    </w:rPr>
                    <w:t>a. 系统界面优化升级</w:t>
                  </w:r>
                </w:p>
                <w:p>
                  <w:pPr>
                    <w:pStyle w:val="null3"/>
                    <w:spacing w:before="15"/>
                    <w:ind w:left="30"/>
                    <w:jc w:val="both"/>
                  </w:pPr>
                  <w:r>
                    <w:rPr>
                      <w:rFonts w:ascii="仿宋_GB2312" w:hAnsi="仿宋_GB2312" w:cs="仿宋_GB2312" w:eastAsia="仿宋_GB2312"/>
                      <w:sz w:val="24"/>
                    </w:rPr>
                    <w:t>在</w:t>
                  </w:r>
                  <w:r>
                    <w:rPr>
                      <w:rFonts w:ascii="仿宋_GB2312" w:hAnsi="仿宋_GB2312" w:cs="仿宋_GB2312" w:eastAsia="仿宋_GB2312"/>
                      <w:sz w:val="24"/>
                    </w:rPr>
                    <w:t xml:space="preserve"> BS 架构下重构用户界面，提升视觉美观度与操作流畅性。强化数据可视化展示能力（如动态图表、热力图），优化导航、搜索、表单操作等交互逻辑，实现响应式布局适配多终端。</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项</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b.卫星影像叠加显示</w:t>
                  </w:r>
                </w:p>
                <w:p>
                  <w:pPr>
                    <w:pStyle w:val="null3"/>
                    <w:spacing w:before="15"/>
                    <w:ind w:left="15"/>
                    <w:jc w:val="both"/>
                  </w:pPr>
                  <w:r>
                    <w:rPr>
                      <w:rFonts w:ascii="仿宋_GB2312" w:hAnsi="仿宋_GB2312" w:cs="仿宋_GB2312" w:eastAsia="仿宋_GB2312"/>
                      <w:sz w:val="24"/>
                    </w:rPr>
                    <w:t>实现卫星影像图层接入，支持与电子地图底图（矢量</w:t>
                  </w:r>
                  <w:r>
                    <w:rPr>
                      <w:rFonts w:ascii="仿宋_GB2312" w:hAnsi="仿宋_GB2312" w:cs="仿宋_GB2312" w:eastAsia="仿宋_GB2312"/>
                      <w:sz w:val="24"/>
                    </w:rPr>
                    <w:t>/地形）精确叠加显示。提供 1 级（全球概览）至 18 级（局部细节）的无级平滑缩放功能，并支持影像透明度调节。</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c.卫星影像工具集</w:t>
                  </w:r>
                </w:p>
                <w:p>
                  <w:pPr>
                    <w:pStyle w:val="null3"/>
                    <w:spacing w:before="15"/>
                    <w:ind w:left="15"/>
                    <w:jc w:val="both"/>
                  </w:pPr>
                  <w:r>
                    <w:rPr>
                      <w:rFonts w:ascii="仿宋_GB2312" w:hAnsi="仿宋_GB2312" w:cs="仿宋_GB2312" w:eastAsia="仿宋_GB2312"/>
                      <w:sz w:val="24"/>
                    </w:rPr>
                    <w:t>本模块旨在为叠加显示的卫星影像图层提供实用、高效的地理空间分析工具集，显著提升用户在平台内对遥感影像的操作能力与数据分析效率。</w:t>
                  </w:r>
                </w:p>
                <w:p>
                  <w:pPr>
                    <w:pStyle w:val="null3"/>
                    <w:spacing w:before="15"/>
                    <w:ind w:left="15"/>
                    <w:jc w:val="both"/>
                  </w:pPr>
                  <w:r>
                    <w:rPr>
                      <w:rFonts w:ascii="仿宋_GB2312" w:hAnsi="仿宋_GB2312" w:cs="仿宋_GB2312" w:eastAsia="仿宋_GB2312"/>
                      <w:sz w:val="24"/>
                    </w:rPr>
                    <w:t>①距离测量：在地图上绘制折线实时计算并显示实际距离。</w:t>
                  </w:r>
                </w:p>
                <w:p>
                  <w:pPr>
                    <w:pStyle w:val="null3"/>
                    <w:spacing w:before="15"/>
                    <w:ind w:left="15"/>
                    <w:jc w:val="both"/>
                  </w:pPr>
                  <w:r>
                    <w:rPr>
                      <w:rFonts w:ascii="仿宋_GB2312" w:hAnsi="仿宋_GB2312" w:cs="仿宋_GB2312" w:eastAsia="仿宋_GB2312"/>
                      <w:sz w:val="24"/>
                    </w:rPr>
                    <w:t>②面积测量：在地图上绘制多边形实时计算并显示实际面积。</w:t>
                  </w:r>
                </w:p>
                <w:p>
                  <w:pPr>
                    <w:pStyle w:val="null3"/>
                    <w:spacing w:before="15"/>
                    <w:ind w:left="15"/>
                    <w:jc w:val="both"/>
                  </w:pPr>
                  <w:r>
                    <w:rPr>
                      <w:rFonts w:ascii="仿宋_GB2312" w:hAnsi="仿宋_GB2312" w:cs="仿宋_GB2312" w:eastAsia="仿宋_GB2312"/>
                      <w:sz w:val="24"/>
                    </w:rPr>
                    <w:t>③坐标定位：输入经纬度坐标（支持多坐标系），地图自动定位并高亮显示该点。</w:t>
                  </w:r>
                </w:p>
                <w:p>
                  <w:pPr>
                    <w:pStyle w:val="null3"/>
                    <w:spacing w:before="15"/>
                    <w:ind w:left="15"/>
                    <w:jc w:val="both"/>
                  </w:pPr>
                  <w:r>
                    <w:rPr>
                      <w:rFonts w:ascii="仿宋_GB2312" w:hAnsi="仿宋_GB2312" w:cs="仿宋_GB2312" w:eastAsia="仿宋_GB2312"/>
                      <w:sz w:val="24"/>
                    </w:rPr>
                    <w:t>④地址定位：输入地名或地址关键字，调用搜索服务定位并高亮显示目标区域。</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rFonts w:ascii="仿宋_GB2312" w:hAnsi="仿宋_GB2312" w:cs="仿宋_GB2312" w:eastAsia="仿宋_GB2312"/>
                      <w:sz w:val="24"/>
                    </w:rPr>
                    <w:t>d.无人机实时画面传输显示</w:t>
                  </w:r>
                </w:p>
                <w:p>
                  <w:pPr>
                    <w:pStyle w:val="null3"/>
                    <w:ind w:left="15"/>
                    <w:jc w:val="both"/>
                  </w:pPr>
                  <w:r>
                    <w:rPr>
                      <w:rFonts w:ascii="仿宋_GB2312" w:hAnsi="仿宋_GB2312" w:cs="仿宋_GB2312" w:eastAsia="仿宋_GB2312"/>
                      <w:sz w:val="24"/>
                    </w:rPr>
                    <w:t>建立与无人机</w:t>
                  </w:r>
                  <w:r>
                    <w:rPr>
                      <w:rFonts w:ascii="仿宋_GB2312" w:hAnsi="仿宋_GB2312" w:cs="仿宋_GB2312" w:eastAsia="仿宋_GB2312"/>
                      <w:sz w:val="24"/>
                    </w:rPr>
                    <w:t>/地面站的通信链路，接收并低延迟传输航拍实时视频流。在平台指定界面区域（如独立窗口或地图浮层）流畅播放实时画面。</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rFonts w:ascii="仿宋_GB2312" w:hAnsi="仿宋_GB2312" w:cs="仿宋_GB2312" w:eastAsia="仿宋_GB2312"/>
                      <w:sz w:val="24"/>
                    </w:rPr>
                    <w:t>e.无人机成果离线上传与展示</w:t>
                  </w:r>
                </w:p>
                <w:p>
                  <w:pPr>
                    <w:pStyle w:val="null3"/>
                    <w:ind w:left="15"/>
                    <w:jc w:val="both"/>
                  </w:pPr>
                  <w:r>
                    <w:rPr>
                      <w:rFonts w:ascii="仿宋_GB2312" w:hAnsi="仿宋_GB2312" w:cs="仿宋_GB2312" w:eastAsia="仿宋_GB2312"/>
                      <w:sz w:val="24"/>
                    </w:rPr>
                    <w:t>①离线导入：提供界面供用户手动批量上传无人机任务后存储在本地的视频（原始格式）和照片文件。</w:t>
                  </w:r>
                </w:p>
                <w:p>
                  <w:pPr>
                    <w:pStyle w:val="null3"/>
                    <w:ind w:left="15"/>
                    <w:jc w:val="both"/>
                  </w:pPr>
                  <w:r>
                    <w:rPr>
                      <w:rFonts w:ascii="仿宋_GB2312" w:hAnsi="仿宋_GB2312" w:cs="仿宋_GB2312" w:eastAsia="仿宋_GB2312"/>
                      <w:sz w:val="24"/>
                    </w:rPr>
                    <w:t>②视频转码：自动将上传的视频文件转换为流媒体格式（如HLS），支持在线流畅点播。</w:t>
                  </w:r>
                </w:p>
                <w:p>
                  <w:pPr>
                    <w:pStyle w:val="null3"/>
                    <w:ind w:left="15"/>
                    <w:jc w:val="both"/>
                  </w:pPr>
                  <w:r>
                    <w:rPr>
                      <w:rFonts w:ascii="仿宋_GB2312" w:hAnsi="仿宋_GB2312" w:cs="仿宋_GB2312" w:eastAsia="仿宋_GB2312"/>
                      <w:sz w:val="24"/>
                    </w:rPr>
                    <w:t>③成果关联与展示：将上传的影像文件关联至对应飞行任务，在专用成果库模块中按任务/时间/区域组织，支持预览、检索和下载。</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监测网络智能运维管理模块</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both"/>
                  </w:pPr>
                  <w:r>
                    <w:rPr>
                      <w:rFonts w:ascii="仿宋_GB2312" w:hAnsi="仿宋_GB2312" w:cs="仿宋_GB2312" w:eastAsia="仿宋_GB2312"/>
                      <w:sz w:val="24"/>
                    </w:rPr>
                    <w:t>a. 网络状态探测与拓扑生成</w:t>
                  </w:r>
                </w:p>
                <w:p>
                  <w:pPr>
                    <w:pStyle w:val="null3"/>
                    <w:spacing w:before="15"/>
                    <w:ind w:left="30"/>
                    <w:jc w:val="both"/>
                  </w:pPr>
                  <w:r>
                    <w:rPr>
                      <w:rFonts w:ascii="仿宋_GB2312" w:hAnsi="仿宋_GB2312" w:cs="仿宋_GB2312" w:eastAsia="仿宋_GB2312"/>
                      <w:sz w:val="24"/>
                    </w:rPr>
                    <w:t>实时主动探测所有接入监测设备的网络连通状态（在线</w:t>
                  </w:r>
                  <w:r>
                    <w:rPr>
                      <w:rFonts w:ascii="仿宋_GB2312" w:hAnsi="仿宋_GB2312" w:cs="仿宋_GB2312" w:eastAsia="仿宋_GB2312"/>
                      <w:sz w:val="24"/>
                    </w:rPr>
                    <w:t>/离线）。基于设备连接关系自动生成并动态更新可视化网络拓扑图，清晰标识“通点 ”（在线设备）和“断点”（故障设备/链路）。</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项</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b. 网络故障告警与分析</w:t>
                  </w:r>
                </w:p>
                <w:p>
                  <w:pPr>
                    <w:pStyle w:val="null3"/>
                    <w:spacing w:before="15"/>
                    <w:ind w:left="15"/>
                    <w:jc w:val="both"/>
                  </w:pPr>
                  <w:r>
                    <w:rPr>
                      <w:rFonts w:ascii="仿宋_GB2312" w:hAnsi="仿宋_GB2312" w:cs="仿宋_GB2312" w:eastAsia="仿宋_GB2312"/>
                      <w:sz w:val="24"/>
                    </w:rPr>
                    <w:t>①告警触发：当设备离线或链路中断时， 自动触发多级别（如一般、严重）告警。</w:t>
                  </w:r>
                </w:p>
                <w:p>
                  <w:pPr>
                    <w:pStyle w:val="null3"/>
                    <w:spacing w:before="15"/>
                    <w:ind w:left="15"/>
                    <w:jc w:val="both"/>
                  </w:pPr>
                  <w:r>
                    <w:rPr>
                      <w:rFonts w:ascii="仿宋_GB2312" w:hAnsi="仿宋_GB2312" w:cs="仿宋_GB2312" w:eastAsia="仿宋_GB2312"/>
                      <w:sz w:val="24"/>
                    </w:rPr>
                    <w:t>②原因分析：结合拓扑、 日志等信息，在告警中初步提示故障原因（如设备断电、网线断开、网关故障、运营商故障）。</w:t>
                  </w:r>
                </w:p>
                <w:p>
                  <w:pPr>
                    <w:pStyle w:val="null3"/>
                    <w:spacing w:before="15"/>
                    <w:ind w:left="15"/>
                    <w:jc w:val="both"/>
                  </w:pPr>
                  <w:r>
                    <w:rPr>
                      <w:rFonts w:ascii="仿宋_GB2312" w:hAnsi="仿宋_GB2312" w:cs="仿宋_GB2312" w:eastAsia="仿宋_GB2312"/>
                      <w:sz w:val="24"/>
                    </w:rPr>
                    <w:t>③通知推送：通过平台消息、短信、邮件等方式实时通知相关运维人员。</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c.故障记录存储与追溯</w:t>
                  </w:r>
                </w:p>
                <w:p>
                  <w:pPr>
                    <w:pStyle w:val="null3"/>
                    <w:spacing w:before="15"/>
                    <w:ind w:left="15"/>
                    <w:jc w:val="both"/>
                  </w:pPr>
                  <w:r>
                    <w:rPr>
                      <w:rFonts w:ascii="仿宋_GB2312" w:hAnsi="仿宋_GB2312" w:cs="仿宋_GB2312" w:eastAsia="仿宋_GB2312"/>
                      <w:sz w:val="24"/>
                    </w:rPr>
                    <w:t>将告警事件（时间、设备、故障类型、原因、级别、状态）结构化存储至数据库。提供多条件组合查询界面。</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d.可视化网络拓扑管理</w:t>
                  </w:r>
                </w:p>
                <w:p>
                  <w:pPr>
                    <w:pStyle w:val="null3"/>
                    <w:spacing w:before="15"/>
                    <w:ind w:left="15"/>
                    <w:jc w:val="both"/>
                  </w:pPr>
                  <w:r>
                    <w:rPr>
                      <w:rFonts w:ascii="仿宋_GB2312" w:hAnsi="仿宋_GB2312" w:cs="仿宋_GB2312" w:eastAsia="仿宋_GB2312"/>
                      <w:sz w:val="24"/>
                    </w:rPr>
                    <w:t>提供交互式网络拓扑图界面，实时反映设备在线状态（颜色</w:t>
                  </w:r>
                  <w:r>
                    <w:rPr>
                      <w:rFonts w:ascii="仿宋_GB2312" w:hAnsi="仿宋_GB2312" w:cs="仿宋_GB2312" w:eastAsia="仿宋_GB2312"/>
                      <w:sz w:val="24"/>
                    </w:rPr>
                    <w:t>/图标变化）。点击拓扑图中任一设备节点，弹出面板展示其详细信息：设备名称、编号、类型、IP 地址、位置、状态、运维负责人、供应商及售后联系方式。</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4"/>
                    </w:rPr>
                    <w:t>卫星遥感影像管理模块</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both"/>
                  </w:pPr>
                  <w:r>
                    <w:rPr>
                      <w:rFonts w:ascii="仿宋_GB2312" w:hAnsi="仿宋_GB2312" w:cs="仿宋_GB2312" w:eastAsia="仿宋_GB2312"/>
                      <w:sz w:val="24"/>
                    </w:rPr>
                    <w:t>本模块提供卫星影像从接入到退出的全流程管理功能。支持用户将原始影像文件或预处理瓦片</w:t>
                  </w:r>
                  <w:r>
                    <w:rPr>
                      <w:rFonts w:ascii="仿宋_GB2312" w:hAnsi="仿宋_GB2312" w:cs="仿宋_GB2312" w:eastAsia="仿宋_GB2312"/>
                      <w:sz w:val="24"/>
                    </w:rPr>
                    <w:t>/地图服务导入系统，通过发布流程快速生成平台可调用的在线影像服务。提供便捷的影像预览界面，支持快速浏览缩略图及基础信息确认。实现影像数据的规范化入库、高效发布、可视化预览、可控清理及关键信息溯源的全流程闭环管理。</w:t>
                  </w:r>
                </w:p>
                <w:p>
                  <w:pPr>
                    <w:pStyle w:val="null3"/>
                    <w:spacing w:before="15"/>
                    <w:ind w:left="30"/>
                    <w:jc w:val="both"/>
                  </w:pPr>
                  <w:r>
                    <w:rPr>
                      <w:rFonts w:ascii="仿宋_GB2312" w:hAnsi="仿宋_GB2312" w:cs="仿宋_GB2312" w:eastAsia="仿宋_GB2312"/>
                      <w:sz w:val="24"/>
                    </w:rPr>
                    <w:t>①导入：支持上传原始影像文件或预处理瓦片/服务。</w:t>
                  </w:r>
                </w:p>
                <w:p>
                  <w:pPr>
                    <w:pStyle w:val="null3"/>
                    <w:spacing w:before="15"/>
                    <w:ind w:left="30"/>
                    <w:jc w:val="both"/>
                  </w:pPr>
                  <w:r>
                    <w:rPr>
                      <w:rFonts w:ascii="仿宋_GB2312" w:hAnsi="仿宋_GB2312" w:cs="仿宋_GB2312" w:eastAsia="仿宋_GB2312"/>
                      <w:sz w:val="24"/>
                    </w:rPr>
                    <w:t>②发布：将导入影像发布为平台可用地图服务。</w:t>
                  </w:r>
                </w:p>
                <w:p>
                  <w:pPr>
                    <w:pStyle w:val="null3"/>
                    <w:spacing w:before="15"/>
                    <w:ind w:left="30"/>
                    <w:jc w:val="both"/>
                  </w:pPr>
                  <w:r>
                    <w:rPr>
                      <w:rFonts w:ascii="仿宋_GB2312" w:hAnsi="仿宋_GB2312" w:cs="仿宋_GB2312" w:eastAsia="仿宋_GB2312"/>
                      <w:sz w:val="24"/>
                    </w:rPr>
                    <w:t>③预览：在管理界面查看影像缩略图或快速浏览。</w:t>
                  </w:r>
                </w:p>
                <w:p>
                  <w:pPr>
                    <w:pStyle w:val="null3"/>
                    <w:spacing w:before="15"/>
                    <w:ind w:left="30"/>
                    <w:jc w:val="both"/>
                  </w:pPr>
                  <w:r>
                    <w:rPr>
                      <w:rFonts w:ascii="仿宋_GB2312" w:hAnsi="仿宋_GB2312" w:cs="仿宋_GB2312" w:eastAsia="仿宋_GB2312"/>
                      <w:sz w:val="24"/>
                    </w:rPr>
                    <w:t>④删除：安全移除不再需要的影像数据及服务。</w:t>
                  </w:r>
                </w:p>
                <w:p>
                  <w:pPr>
                    <w:pStyle w:val="null3"/>
                    <w:spacing w:before="15"/>
                    <w:ind w:left="30"/>
                    <w:jc w:val="both"/>
                  </w:pPr>
                  <w:r>
                    <w:rPr>
                      <w:rFonts w:ascii="仿宋_GB2312" w:hAnsi="仿宋_GB2312" w:cs="仿宋_GB2312" w:eastAsia="仿宋_GB2312"/>
                      <w:sz w:val="24"/>
                    </w:rPr>
                    <w:t>⑤结构化元数据管理：存储每景影像核心信息：覆盖区域（坐标/范围）、成像时间、分辨率、来源卫星/传感器、上传人、目标湿地、存储路径等。</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55"/>
                    <w:jc w:val="both"/>
                  </w:pPr>
                  <w:r>
                    <w:rPr>
                      <w:rFonts w:ascii="仿宋_GB2312" w:hAnsi="仿宋_GB2312" w:cs="仿宋_GB2312" w:eastAsia="仿宋_GB2312"/>
                      <w:sz w:val="24"/>
                    </w:rPr>
                    <w:t>1</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25"/>
                    <w:jc w:val="both"/>
                  </w:pPr>
                  <w:r>
                    <w:rPr>
                      <w:rFonts w:ascii="仿宋_GB2312" w:hAnsi="仿宋_GB2312" w:cs="仿宋_GB2312" w:eastAsia="仿宋_GB2312"/>
                      <w:sz w:val="24"/>
                    </w:rPr>
                    <w:t>项</w:t>
                  </w:r>
                </w:p>
              </w:tc>
            </w:tr>
            <w:tr>
              <w:tc>
                <w:tcPr>
                  <w:tcW w:type="dxa" w:w="324"/>
                  <w:vMerge/>
                  <w:tcBorders>
                    <w:top w:val="none" w:color="000000" w:sz="4"/>
                    <w:left w:val="single" w:color="000000" w:sz="4"/>
                    <w:bottom w:val="single" w:color="000000" w:sz="4"/>
                    <w:right w:val="single" w:color="000000" w:sz="4"/>
                  </w:tcBorders>
                </w:tcP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无人机数据管理模块</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jc w:val="both"/>
                  </w:pPr>
                  <w:r>
                    <w:rPr>
                      <w:rFonts w:ascii="仿宋_GB2312" w:hAnsi="仿宋_GB2312" w:cs="仿宋_GB2312" w:eastAsia="仿宋_GB2312"/>
                      <w:sz w:val="24"/>
                    </w:rPr>
                    <w:t>a.无人机资产管理</w:t>
                  </w:r>
                </w:p>
                <w:p>
                  <w:pPr>
                    <w:pStyle w:val="null3"/>
                    <w:spacing w:before="15"/>
                    <w:ind w:left="30"/>
                    <w:jc w:val="both"/>
                  </w:pPr>
                  <w:r>
                    <w:rPr>
                      <w:rFonts w:ascii="仿宋_GB2312" w:hAnsi="仿宋_GB2312" w:cs="仿宋_GB2312" w:eastAsia="仿宋_GB2312"/>
                      <w:sz w:val="24"/>
                    </w:rPr>
                    <w:t>建立无人机资产台账，登记管理每架无人机的核心息：唯一编号、保管人</w:t>
                  </w:r>
                  <w:r>
                    <w:rPr>
                      <w:rFonts w:ascii="仿宋_GB2312" w:hAnsi="仿宋_GB2312" w:cs="仿宋_GB2312" w:eastAsia="仿宋_GB2312"/>
                      <w:sz w:val="24"/>
                    </w:rPr>
                    <w:t>/部门、型号、关键参数（续航、图传等）、供应商信息、售后联系方式、购入日期等。</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项</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b.飞行任务管理</w:t>
                  </w:r>
                </w:p>
                <w:p>
                  <w:pPr>
                    <w:pStyle w:val="null3"/>
                    <w:spacing w:before="30"/>
                    <w:ind w:left="15"/>
                    <w:jc w:val="both"/>
                  </w:pPr>
                  <w:r>
                    <w:rPr>
                      <w:rFonts w:ascii="仿宋_GB2312" w:hAnsi="仿宋_GB2312" w:cs="仿宋_GB2312" w:eastAsia="仿宋_GB2312"/>
                      <w:sz w:val="24"/>
                    </w:rPr>
                    <w:t>对每次飞行任务进行结构化记录：任务编号</w:t>
                  </w:r>
                  <w:r>
                    <w:rPr>
                      <w:rFonts w:ascii="仿宋_GB2312" w:hAnsi="仿宋_GB2312" w:cs="仿宋_GB2312" w:eastAsia="仿宋_GB2312"/>
                      <w:sz w:val="24"/>
                    </w:rPr>
                    <w:t>/名称、飞行目的、使用无人机、操作人/飞手、计划/实际起止时间、飞行航线（路径导入/显示）、飞行区域、任务状态（规划/执行/完成/取消）、天气备注。</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c.任务成果离线导入与关联</w:t>
                  </w:r>
                </w:p>
                <w:p>
                  <w:pPr>
                    <w:pStyle w:val="null3"/>
                    <w:spacing w:before="30"/>
                    <w:ind w:left="15"/>
                    <w:jc w:val="both"/>
                  </w:pPr>
                  <w:r>
                    <w:rPr>
                      <w:rFonts w:ascii="仿宋_GB2312" w:hAnsi="仿宋_GB2312" w:cs="仿宋_GB2312" w:eastAsia="仿宋_GB2312"/>
                      <w:sz w:val="24"/>
                    </w:rPr>
                    <w:t>提供接口供用户将飞行后存储在本地的视频和照片文件手工批量上传至平台。强制</w:t>
                  </w:r>
                  <w:r>
                    <w:rPr>
                      <w:rFonts w:ascii="仿宋_GB2312" w:hAnsi="仿宋_GB2312" w:cs="仿宋_GB2312" w:eastAsia="仿宋_GB2312"/>
                      <w:sz w:val="24"/>
                    </w:rPr>
                    <w:t>/引导用户将上传的成果文件与对应的飞行任务记录进行关联绑定。成果在库中按任务组织管理。</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right="60"/>
                    <w:jc w:val="both"/>
                  </w:pPr>
                  <w:r>
                    <w:rPr>
                      <w:rFonts w:ascii="仿宋_GB2312" w:hAnsi="仿宋_GB2312" w:cs="仿宋_GB2312" w:eastAsia="仿宋_GB2312"/>
                      <w:sz w:val="24"/>
                    </w:rPr>
                    <w:t>d.实时飞行接入提示与查看</w:t>
                  </w:r>
                </w:p>
                <w:p>
                  <w:pPr>
                    <w:pStyle w:val="null3"/>
                    <w:spacing w:before="15"/>
                    <w:ind w:left="15" w:right="60"/>
                    <w:jc w:val="both"/>
                  </w:pPr>
                  <w:r>
                    <w:rPr>
                      <w:rFonts w:ascii="仿宋_GB2312" w:hAnsi="仿宋_GB2312" w:cs="仿宋_GB2312" w:eastAsia="仿宋_GB2312"/>
                      <w:sz w:val="24"/>
                    </w:rPr>
                    <w:t>平台感知到关联无人机正在执行任务时，在界面（地图</w:t>
                  </w:r>
                  <w:r>
                    <w:rPr>
                      <w:rFonts w:ascii="仿宋_GB2312" w:hAnsi="仿宋_GB2312" w:cs="仿宋_GB2312" w:eastAsia="仿宋_GB2312"/>
                      <w:sz w:val="24"/>
                    </w:rPr>
                    <w:t>/监控面板）给出醒目状态提示（如闪烁图标）。用户点击提示可主动选择连接并查看该无人机的实时飞行画面（同软件部分第（1）项第4）点功能）</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e.任务成果 AI 智能分析（牛羊计数）</w:t>
                  </w:r>
                </w:p>
                <w:p>
                  <w:pPr>
                    <w:pStyle w:val="null3"/>
                    <w:spacing w:before="15"/>
                    <w:ind w:left="15"/>
                    <w:jc w:val="both"/>
                  </w:pPr>
                  <w:r>
                    <w:rPr>
                      <w:rFonts w:ascii="仿宋_GB2312" w:hAnsi="仿宋_GB2312" w:cs="仿宋_GB2312" w:eastAsia="仿宋_GB2312"/>
                      <w:sz w:val="24"/>
                    </w:rPr>
                    <w:t>当无人机任务的照片</w:t>
                  </w:r>
                  <w:r>
                    <w:rPr>
                      <w:rFonts w:ascii="仿宋_GB2312" w:hAnsi="仿宋_GB2312" w:cs="仿宋_GB2312" w:eastAsia="仿宋_GB2312"/>
                      <w:sz w:val="24"/>
                    </w:rPr>
                    <w:t>/视频成果上传并关联完成后，系统自动调用 AI 分析引擎处理影像数据。引擎识别画面中的牛、羊目标， 自动统计其数量。分析结果自动保存，并在任务详情页和成果库中展示。</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硬件部分</w:t>
                  </w: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一体化监测铁塔</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1、高度6米；</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套</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2、结构形式：角钢4脚铁塔；</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3、钢材材质：Q235B钢；</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4、连接螺栓：H6.8级热镀锌螺栓；</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5、铁塔底部中间具备蓄电池安装平台，平台大小≥2</w:t>
                  </w:r>
                  <w:r>
                    <w:rPr>
                      <w:rFonts w:ascii="仿宋_GB2312" w:hAnsi="仿宋_GB2312" w:cs="仿宋_GB2312" w:eastAsia="仿宋_GB2312"/>
                      <w:sz w:val="24"/>
                    </w:rPr>
                    <w:t>米</w:t>
                  </w:r>
                  <w:r>
                    <w:rPr>
                      <w:rFonts w:ascii="仿宋_GB2312" w:hAnsi="仿宋_GB2312" w:cs="仿宋_GB2312" w:eastAsia="仿宋_GB2312"/>
                      <w:sz w:val="32"/>
                    </w:rPr>
                    <w:t xml:space="preserve"> </w:t>
                  </w:r>
                  <w:r>
                    <w:rPr>
                      <w:rFonts w:ascii="仿宋_GB2312" w:hAnsi="仿宋_GB2312" w:cs="仿宋_GB2312" w:eastAsia="仿宋_GB2312"/>
                      <w:sz w:val="24"/>
                    </w:rPr>
                    <w:t>ⅹ2米</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6</w:t>
                  </w:r>
                  <w:r>
                    <w:rPr>
                      <w:rFonts w:ascii="仿宋_GB2312" w:hAnsi="仿宋_GB2312" w:cs="仿宋_GB2312" w:eastAsia="仿宋_GB2312"/>
                      <w:sz w:val="24"/>
                    </w:rPr>
                    <w:t>、塔顶端具备设备安装与检修平台，用于设备检修，平台负载</w:t>
                  </w:r>
                  <w:r>
                    <w:rPr>
                      <w:rFonts w:ascii="仿宋_GB2312" w:hAnsi="仿宋_GB2312" w:cs="仿宋_GB2312" w:eastAsia="仿宋_GB2312"/>
                      <w:sz w:val="24"/>
                    </w:rPr>
                    <w:t>≥300公斤；</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7</w:t>
                  </w:r>
                  <w:r>
                    <w:rPr>
                      <w:rFonts w:ascii="仿宋_GB2312" w:hAnsi="仿宋_GB2312" w:cs="仿宋_GB2312" w:eastAsia="仿宋_GB2312"/>
                      <w:sz w:val="24"/>
                    </w:rPr>
                    <w:t>、塔体具备太阳能光伏板、无线网桥的安装构件；</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8</w:t>
                  </w:r>
                  <w:r>
                    <w:rPr>
                      <w:rFonts w:ascii="仿宋_GB2312" w:hAnsi="仿宋_GB2312" w:cs="仿宋_GB2312" w:eastAsia="仿宋_GB2312"/>
                      <w:sz w:val="24"/>
                    </w:rPr>
                    <w:t>、铁塔具备爬梯便于安装检修人员上下平台；</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right="105"/>
                    <w:jc w:val="both"/>
                  </w:pPr>
                  <w:r>
                    <w:rPr>
                      <w:rFonts w:ascii="仿宋_GB2312" w:hAnsi="仿宋_GB2312" w:cs="仿宋_GB2312" w:eastAsia="仿宋_GB2312"/>
                      <w:sz w:val="24"/>
                    </w:rPr>
                    <w:t>9</w:t>
                  </w:r>
                  <w:r>
                    <w:rPr>
                      <w:rFonts w:ascii="仿宋_GB2312" w:hAnsi="仿宋_GB2312" w:cs="仿宋_GB2312" w:eastAsia="仿宋_GB2312"/>
                      <w:sz w:val="24"/>
                    </w:rPr>
                    <w:t>、安装要求：监测铁塔安装基础为插钢基础，用</w:t>
                  </w:r>
                  <w:r>
                    <w:rPr>
                      <w:rFonts w:ascii="仿宋_GB2312" w:hAnsi="仿宋_GB2312" w:cs="仿宋_GB2312" w:eastAsia="仿宋_GB2312"/>
                      <w:sz w:val="24"/>
                    </w:rPr>
                    <w:t>8根6米</w:t>
                  </w:r>
                  <w:r>
                    <w:rPr>
                      <w:rFonts w:ascii="仿宋_GB2312" w:hAnsi="仿宋_GB2312" w:cs="仿宋_GB2312" w:eastAsia="仿宋_GB2312"/>
                      <w:sz w:val="24"/>
                    </w:rPr>
                    <w:t>DN</w:t>
                  </w:r>
                  <w:r>
                    <w:rPr>
                      <w:rFonts w:ascii="仿宋_GB2312" w:hAnsi="仿宋_GB2312" w:cs="仿宋_GB2312" w:eastAsia="仿宋_GB2312"/>
                      <w:sz w:val="24"/>
                    </w:rPr>
                    <w:t>160镀锌钢管插地5米深，上部20#B槽钢焊连接平台，下部10#槽钢交叉焊连接。</w:t>
                  </w:r>
                  <w:r>
                    <w:rPr>
                      <w:rFonts w:ascii="仿宋_GB2312" w:hAnsi="仿宋_GB2312" w:cs="仿宋_GB2312" w:eastAsia="仿宋_GB2312"/>
                      <w:sz w:val="24"/>
                    </w:rPr>
                    <w:t>安装完成后需在铁塔下方基础周边设置钢制防盗安全围栏，确保塔基底部太阳能电站电池和相关</w:t>
                  </w:r>
                  <w:r>
                    <w:rPr>
                      <w:rFonts w:ascii="仿宋_GB2312" w:hAnsi="仿宋_GB2312" w:cs="仿宋_GB2312" w:eastAsia="仿宋_GB2312"/>
                      <w:sz w:val="24"/>
                    </w:rPr>
                    <w:t>设备的安全。</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高清激光摄像机</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(1)可见光摄像机</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套</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1)传感器类型:</w:t>
                  </w:r>
                  <w:r>
                    <w:rPr>
                      <w:rFonts w:ascii="仿宋_GB2312" w:hAnsi="仿宋_GB2312" w:cs="仿宋_GB2312" w:eastAsia="仿宋_GB2312"/>
                      <w:sz w:val="24"/>
                    </w:rPr>
                    <w:t>≥</w:t>
                  </w:r>
                  <w:r>
                    <w:rPr>
                      <w:rFonts w:ascii="仿宋_GB2312" w:hAnsi="仿宋_GB2312" w:cs="仿宋_GB2312" w:eastAsia="仿宋_GB2312"/>
                      <w:sz w:val="24"/>
                    </w:rPr>
                    <w:t>1/1.8</w:t>
                  </w:r>
                  <w:r>
                    <w:rPr>
                      <w:rFonts w:ascii="仿宋_GB2312" w:hAnsi="仿宋_GB2312" w:cs="仿宋_GB2312" w:eastAsia="仿宋_GB2312"/>
                      <w:sz w:val="32"/>
                    </w:rPr>
                    <w:t xml:space="preserve"> </w:t>
                  </w:r>
                  <w:r>
                    <w:rPr>
                      <w:rFonts w:ascii="仿宋_GB2312" w:hAnsi="仿宋_GB2312" w:cs="仿宋_GB2312" w:eastAsia="仿宋_GB2312"/>
                      <w:sz w:val="24"/>
                    </w:rPr>
                    <w:t>”靶面</w:t>
                  </w:r>
                  <w:r>
                    <w:rPr>
                      <w:rFonts w:ascii="仿宋_GB2312" w:hAnsi="仿宋_GB2312" w:cs="仿宋_GB2312" w:eastAsia="仿宋_GB2312"/>
                      <w:sz w:val="24"/>
                    </w:rPr>
                    <w:t>CMOS</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2)图像分辨率：不低于2688×1520（</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3)编码格式：支持H.265/H.264；</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4)最低照度：彩色模式</w:t>
                  </w:r>
                  <w:r>
                    <w:rPr>
                      <w:rFonts w:ascii="仿宋_GB2312" w:hAnsi="仿宋_GB2312" w:cs="仿宋_GB2312" w:eastAsia="仿宋_GB2312"/>
                      <w:sz w:val="24"/>
                    </w:rPr>
                    <w:t>≥</w:t>
                  </w:r>
                  <w:r>
                    <w:rPr>
                      <w:rFonts w:ascii="仿宋_GB2312" w:hAnsi="仿宋_GB2312" w:cs="仿宋_GB2312" w:eastAsia="仿宋_GB2312"/>
                      <w:sz w:val="24"/>
                    </w:rPr>
                    <w:t>0.02</w:t>
                  </w:r>
                  <w:r>
                    <w:rPr>
                      <w:rFonts w:ascii="仿宋_GB2312" w:hAnsi="仿宋_GB2312" w:cs="仿宋_GB2312" w:eastAsia="仿宋_GB2312"/>
                      <w:sz w:val="24"/>
                    </w:rPr>
                    <w:t>Lux</w:t>
                  </w:r>
                  <w:r>
                    <w:rPr>
                      <w:rFonts w:ascii="仿宋_GB2312" w:hAnsi="仿宋_GB2312" w:cs="仿宋_GB2312" w:eastAsia="仿宋_GB2312"/>
                      <w:sz w:val="24"/>
                    </w:rPr>
                    <w:t>；黑白模式</w:t>
                  </w:r>
                  <w:r>
                    <w:rPr>
                      <w:rFonts w:ascii="仿宋_GB2312" w:hAnsi="仿宋_GB2312" w:cs="仿宋_GB2312" w:eastAsia="仿宋_GB2312"/>
                      <w:sz w:val="24"/>
                    </w:rPr>
                    <w:t>≥</w:t>
                  </w:r>
                  <w:r>
                    <w:rPr>
                      <w:rFonts w:ascii="仿宋_GB2312" w:hAnsi="仿宋_GB2312" w:cs="仿宋_GB2312" w:eastAsia="仿宋_GB2312"/>
                      <w:sz w:val="24"/>
                    </w:rPr>
                    <w:t>0.002</w:t>
                  </w:r>
                  <w:r>
                    <w:rPr>
                      <w:rFonts w:ascii="仿宋_GB2312" w:hAnsi="仿宋_GB2312" w:cs="仿宋_GB2312" w:eastAsia="仿宋_GB2312"/>
                      <w:sz w:val="24"/>
                    </w:rPr>
                    <w:t>Lux</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5)镜头焦距：最长焦距不低于750</w:t>
                  </w:r>
                  <w:r>
                    <w:rPr>
                      <w:rFonts w:ascii="仿宋_GB2312" w:hAnsi="仿宋_GB2312" w:cs="仿宋_GB2312" w:eastAsia="仿宋_GB2312"/>
                      <w:sz w:val="24"/>
                    </w:rPr>
                    <w:t>mm</w:t>
                  </w:r>
                  <w:r>
                    <w:rPr>
                      <w:rFonts w:ascii="仿宋_GB2312" w:hAnsi="仿宋_GB2312" w:cs="仿宋_GB2312" w:eastAsia="仿宋_GB2312"/>
                      <w:sz w:val="24"/>
                    </w:rPr>
                    <w:t>，连续光学变倍倍数不</w:t>
                  </w:r>
                  <w:r>
                    <w:rPr>
                      <w:rFonts w:ascii="仿宋_GB2312" w:hAnsi="仿宋_GB2312" w:cs="仿宋_GB2312" w:eastAsia="仿宋_GB2312"/>
                      <w:sz w:val="24"/>
                    </w:rPr>
                    <w:t>低于</w:t>
                  </w:r>
                  <w:r>
                    <w:rPr>
                      <w:rFonts w:ascii="仿宋_GB2312" w:hAnsi="仿宋_GB2312" w:cs="仿宋_GB2312" w:eastAsia="仿宋_GB2312"/>
                      <w:sz w:val="24"/>
                    </w:rPr>
                    <w:t>50倍（</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6)镜头控制：支持电动变倍，手动/自动聚焦</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7)透雾：支持光学透雾/电子透雾</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(2)激光照明</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1)功率：</w:t>
                  </w:r>
                  <w:r>
                    <w:rPr>
                      <w:rFonts w:ascii="仿宋_GB2312" w:hAnsi="仿宋_GB2312" w:cs="仿宋_GB2312" w:eastAsia="仿宋_GB2312"/>
                      <w:sz w:val="24"/>
                    </w:rPr>
                    <w:t>≥</w:t>
                  </w:r>
                  <w:r>
                    <w:rPr>
                      <w:rFonts w:ascii="仿宋_GB2312" w:hAnsi="仿宋_GB2312" w:cs="仿宋_GB2312" w:eastAsia="仿宋_GB2312"/>
                      <w:sz w:val="24"/>
                    </w:rPr>
                    <w:t>15W</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2)激光照明距离：≥2.5</w:t>
                  </w:r>
                  <w:r>
                    <w:rPr>
                      <w:rFonts w:ascii="仿宋_GB2312" w:hAnsi="仿宋_GB2312" w:cs="仿宋_GB2312" w:eastAsia="仿宋_GB2312"/>
                      <w:sz w:val="24"/>
                    </w:rPr>
                    <w:t>km</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3)激光均匀性：全焦段光斑亮度均衡度应不小于92%（</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4)激光光斑：激光光斑在变化过程中始终保持椭圆形状（</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(3)云台</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1)范围：水平0～360</w:t>
                  </w:r>
                  <w:r>
                    <w:rPr>
                      <w:rFonts w:ascii="仿宋_GB2312" w:hAnsi="仿宋_GB2312" w:cs="仿宋_GB2312" w:eastAsia="仿宋_GB2312"/>
                      <w:sz w:val="32"/>
                    </w:rPr>
                    <w:t xml:space="preserve"> </w:t>
                  </w:r>
                  <w:r>
                    <w:rPr>
                      <w:rFonts w:ascii="仿宋_GB2312" w:hAnsi="仿宋_GB2312" w:cs="仿宋_GB2312" w:eastAsia="仿宋_GB2312"/>
                      <w:sz w:val="24"/>
                    </w:rPr>
                    <w:t>°连续旋转，俯仰-45</w:t>
                  </w:r>
                  <w:r>
                    <w:rPr>
                      <w:rFonts w:ascii="仿宋_GB2312" w:hAnsi="仿宋_GB2312" w:cs="仿宋_GB2312" w:eastAsia="仿宋_GB2312"/>
                      <w:sz w:val="32"/>
                    </w:rPr>
                    <w:t xml:space="preserve"> </w:t>
                  </w:r>
                  <w:r>
                    <w:rPr>
                      <w:rFonts w:ascii="仿宋_GB2312" w:hAnsi="仿宋_GB2312" w:cs="仿宋_GB2312" w:eastAsia="仿宋_GB2312"/>
                      <w:sz w:val="24"/>
                    </w:rPr>
                    <w:t>°~+45</w:t>
                  </w:r>
                  <w:r>
                    <w:rPr>
                      <w:rFonts w:ascii="仿宋_GB2312" w:hAnsi="仿宋_GB2312" w:cs="仿宋_GB2312" w:eastAsia="仿宋_GB2312"/>
                      <w:sz w:val="32"/>
                    </w:rPr>
                    <w:t xml:space="preserve"> </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2)转速：水平转速不低于30</w:t>
                  </w:r>
                  <w:r>
                    <w:rPr>
                      <w:rFonts w:ascii="仿宋_GB2312" w:hAnsi="仿宋_GB2312" w:cs="仿宋_GB2312" w:eastAsia="仿宋_GB2312"/>
                      <w:sz w:val="32"/>
                    </w:rPr>
                    <w:t xml:space="preserve"> </w:t>
                  </w:r>
                  <w:r>
                    <w:rPr>
                      <w:rFonts w:ascii="仿宋_GB2312" w:hAnsi="仿宋_GB2312" w:cs="仿宋_GB2312" w:eastAsia="仿宋_GB2312"/>
                      <w:sz w:val="24"/>
                    </w:rPr>
                    <w:t>°/s，垂直转速不低</w:t>
                  </w:r>
                  <w:r>
                    <w:rPr>
                      <w:rFonts w:ascii="仿宋_GB2312" w:hAnsi="仿宋_GB2312" w:cs="仿宋_GB2312" w:eastAsia="仿宋_GB2312"/>
                      <w:sz w:val="24"/>
                    </w:rPr>
                    <w:t>于</w:t>
                  </w:r>
                  <w:r>
                    <w:rPr>
                      <w:rFonts w:ascii="仿宋_GB2312" w:hAnsi="仿宋_GB2312" w:cs="仿宋_GB2312" w:eastAsia="仿宋_GB2312"/>
                      <w:sz w:val="24"/>
                    </w:rPr>
                    <w:t>15</w:t>
                  </w:r>
                  <w:r>
                    <w:rPr>
                      <w:rFonts w:ascii="仿宋_GB2312" w:hAnsi="仿宋_GB2312" w:cs="仿宋_GB2312" w:eastAsia="仿宋_GB2312"/>
                      <w:sz w:val="32"/>
                    </w:rPr>
                    <w:t xml:space="preserve"> </w:t>
                  </w:r>
                  <w:r>
                    <w:rPr>
                      <w:rFonts w:ascii="仿宋_GB2312" w:hAnsi="仿宋_GB2312" w:cs="仿宋_GB2312" w:eastAsia="仿宋_GB2312"/>
                      <w:sz w:val="24"/>
                    </w:rPr>
                    <w:t>°/s</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3)定位精度：≤0.1</w:t>
                  </w:r>
                  <w:r>
                    <w:rPr>
                      <w:rFonts w:ascii="仿宋_GB2312" w:hAnsi="仿宋_GB2312" w:cs="仿宋_GB2312" w:eastAsia="仿宋_GB2312"/>
                      <w:sz w:val="32"/>
                    </w:rPr>
                    <w:t xml:space="preserve"> </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4)预置位：预置位不低于3000个（</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5)巡航功能：支持设置不少于20个预置点，可独立设置每个预置位的方位、俯仰、焦距等参数</w:t>
                  </w:r>
                  <w:r>
                    <w:rPr>
                      <w:rFonts w:ascii="仿宋_GB2312" w:hAnsi="仿宋_GB2312" w:cs="仿宋_GB2312" w:eastAsia="仿宋_GB2312"/>
                      <w:sz w:val="24"/>
                    </w:rPr>
                    <w:t>（</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6)雨刷清洁功能：可自动开启雨刷，监测到雨水时会自动开启雨刷，监测不到雨水后自动停止（</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8"/>
                    </w:rPr>
                    <w:t>▲</w:t>
                  </w:r>
                  <w:r>
                    <w:rPr>
                      <w:rFonts w:ascii="仿宋_GB2312" w:hAnsi="仿宋_GB2312" w:cs="仿宋_GB2312" w:eastAsia="仿宋_GB2312"/>
                      <w:sz w:val="24"/>
                    </w:rPr>
                    <w:t>7)防盗功能:具有防盗功能，</w:t>
                  </w:r>
                  <w:r>
                    <w:rPr>
                      <w:rFonts w:ascii="仿宋_GB2312" w:hAnsi="仿宋_GB2312" w:cs="仿宋_GB2312" w:eastAsia="仿宋_GB2312"/>
                      <w:sz w:val="32"/>
                    </w:rPr>
                    <w:t xml:space="preserve"> </w:t>
                  </w:r>
                  <w:r>
                    <w:rPr>
                      <w:rFonts w:ascii="仿宋_GB2312" w:hAnsi="仿宋_GB2312" w:cs="仿宋_GB2312" w:eastAsia="仿宋_GB2312"/>
                      <w:sz w:val="24"/>
                    </w:rPr>
                    <w:t>当设备被强行移动时，可自动报警并上传报警信息（</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(4)通用性要求</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1)工作温度：-40℃~+60℃</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2)工作湿度：≤95%</w:t>
                  </w:r>
                  <w:r>
                    <w:rPr>
                      <w:rFonts w:ascii="仿宋_GB2312" w:hAnsi="仿宋_GB2312" w:cs="仿宋_GB2312" w:eastAsia="仿宋_GB2312"/>
                      <w:sz w:val="24"/>
                    </w:rPr>
                    <w:t>RH</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3)防雷击：接口电路内置浪涌保护，</w:t>
                  </w:r>
                  <w:r>
                    <w:rPr>
                      <w:rFonts w:ascii="仿宋_GB2312" w:hAnsi="仿宋_GB2312" w:cs="仿宋_GB2312" w:eastAsia="仿宋_GB2312"/>
                      <w:sz w:val="24"/>
                    </w:rPr>
                    <w:t>≥</w:t>
                  </w:r>
                  <w:r>
                    <w:rPr>
                      <w:rFonts w:ascii="仿宋_GB2312" w:hAnsi="仿宋_GB2312" w:cs="仿宋_GB2312" w:eastAsia="仿宋_GB2312"/>
                      <w:sz w:val="24"/>
                    </w:rPr>
                    <w:t>6000V</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4</w:t>
                  </w:r>
                  <w:r>
                    <w:rPr>
                      <w:rFonts w:ascii="仿宋_GB2312" w:hAnsi="仿宋_GB2312" w:cs="仿宋_GB2312" w:eastAsia="仿宋_GB2312"/>
                      <w:sz w:val="24"/>
                    </w:rPr>
                    <w:t>)防护等级：不低于</w:t>
                  </w:r>
                  <w:r>
                    <w:rPr>
                      <w:rFonts w:ascii="仿宋_GB2312" w:hAnsi="仿宋_GB2312" w:cs="仿宋_GB2312" w:eastAsia="仿宋_GB2312"/>
                      <w:sz w:val="24"/>
                    </w:rPr>
                    <w:t>IP</w:t>
                  </w:r>
                  <w:r>
                    <w:rPr>
                      <w:rFonts w:ascii="仿宋_GB2312" w:hAnsi="仿宋_GB2312" w:cs="仿宋_GB2312" w:eastAsia="仿宋_GB2312"/>
                      <w:sz w:val="24"/>
                    </w:rPr>
                    <w:t>66</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设备交付要求：安装</w:t>
                  </w:r>
                  <w:r>
                    <w:rPr>
                      <w:rFonts w:ascii="仿宋_GB2312" w:hAnsi="仿宋_GB2312" w:cs="仿宋_GB2312" w:eastAsia="仿宋_GB2312"/>
                      <w:sz w:val="24"/>
                    </w:rPr>
                    <w:t>完成</w:t>
                  </w:r>
                  <w:r>
                    <w:rPr>
                      <w:rFonts w:ascii="仿宋_GB2312" w:hAnsi="仿宋_GB2312" w:cs="仿宋_GB2312" w:eastAsia="仿宋_GB2312"/>
                      <w:sz w:val="24"/>
                    </w:rPr>
                    <w:t>后需自行开发接口与若尔盖湿地生态一体化智慧监测平台进行对接确保系统内涉及该类设备的既有操作功能均能</w:t>
                  </w:r>
                  <w:r>
                    <w:rPr>
                      <w:rFonts w:ascii="仿宋_GB2312" w:hAnsi="仿宋_GB2312" w:cs="仿宋_GB2312" w:eastAsia="仿宋_GB2312"/>
                      <w:sz w:val="24"/>
                    </w:rPr>
                    <w:t>满足需求。</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工业级微波网桥</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1、支持</w:t>
                  </w:r>
                  <w:r>
                    <w:rPr>
                      <w:rFonts w:ascii="仿宋_GB2312" w:hAnsi="仿宋_GB2312" w:cs="仿宋_GB2312" w:eastAsia="仿宋_GB2312"/>
                      <w:sz w:val="24"/>
                    </w:rPr>
                    <w:t>IEEE</w:t>
                  </w:r>
                  <w:r>
                    <w:rPr>
                      <w:rFonts w:ascii="仿宋_GB2312" w:hAnsi="仿宋_GB2312" w:cs="仿宋_GB2312" w:eastAsia="仿宋_GB2312"/>
                      <w:sz w:val="24"/>
                    </w:rPr>
                    <w:t>802.11a/n/</w:t>
                  </w:r>
                  <w:r>
                    <w:rPr>
                      <w:rFonts w:ascii="仿宋_GB2312" w:hAnsi="仿宋_GB2312" w:cs="仿宋_GB2312" w:eastAsia="仿宋_GB2312"/>
                      <w:sz w:val="24"/>
                    </w:rPr>
                    <w:t>ac</w:t>
                  </w:r>
                  <w:r>
                    <w:rPr>
                      <w:rFonts w:ascii="仿宋_GB2312" w:hAnsi="仿宋_GB2312" w:cs="仿宋_GB2312" w:eastAsia="仿宋_GB2312"/>
                      <w:sz w:val="24"/>
                    </w:rPr>
                    <w:t>协议，支持无线接入点</w:t>
                  </w:r>
                  <w:r>
                    <w:rPr>
                      <w:rFonts w:ascii="仿宋_GB2312" w:hAnsi="仿宋_GB2312" w:cs="仿宋_GB2312" w:eastAsia="仿宋_GB2312"/>
                      <w:sz w:val="24"/>
                    </w:rPr>
                    <w:t>/无线客户端/桥接/中继模式，支持点对点和点对多点传输；</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w:t>
                  </w:r>
                </w:p>
              </w:tc>
              <w:tc>
                <w:tcPr>
                  <w:tcW w:type="dxa" w:w="3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台</w:t>
                  </w: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2、</w:t>
                  </w:r>
                  <w:r>
                    <w:rPr>
                      <w:rFonts w:ascii="仿宋_GB2312" w:hAnsi="仿宋_GB2312" w:cs="仿宋_GB2312" w:eastAsia="仿宋_GB2312"/>
                      <w:sz w:val="32"/>
                    </w:rPr>
                    <w:t xml:space="preserve"> </w:t>
                  </w:r>
                  <w:r>
                    <w:rPr>
                      <w:rFonts w:ascii="仿宋_GB2312" w:hAnsi="仿宋_GB2312" w:cs="仿宋_GB2312" w:eastAsia="仿宋_GB2312"/>
                      <w:sz w:val="24"/>
                    </w:rPr>
                    <w:t>内存</w:t>
                  </w:r>
                  <w:r>
                    <w:rPr>
                      <w:rFonts w:ascii="仿宋_GB2312" w:hAnsi="仿宋_GB2312" w:cs="仿宋_GB2312" w:eastAsia="仿宋_GB2312"/>
                      <w:sz w:val="24"/>
                    </w:rPr>
                    <w:t>≥64</w:t>
                  </w:r>
                  <w:r>
                    <w:rPr>
                      <w:rFonts w:ascii="仿宋_GB2312" w:hAnsi="仿宋_GB2312" w:cs="仿宋_GB2312" w:eastAsia="仿宋_GB2312"/>
                      <w:sz w:val="24"/>
                    </w:rPr>
                    <w:t>MByte</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3、</w:t>
                  </w:r>
                  <w:r>
                    <w:rPr>
                      <w:rFonts w:ascii="仿宋_GB2312" w:hAnsi="仿宋_GB2312" w:cs="仿宋_GB2312" w:eastAsia="仿宋_GB2312"/>
                      <w:sz w:val="32"/>
                    </w:rPr>
                    <w:t xml:space="preserve"> </w:t>
                  </w:r>
                  <w:r>
                    <w:rPr>
                      <w:rFonts w:ascii="仿宋_GB2312" w:hAnsi="仿宋_GB2312" w:cs="仿宋_GB2312" w:eastAsia="仿宋_GB2312"/>
                      <w:sz w:val="24"/>
                    </w:rPr>
                    <w:t>闪存</w:t>
                  </w:r>
                  <w:r>
                    <w:rPr>
                      <w:rFonts w:ascii="仿宋_GB2312" w:hAnsi="仿宋_GB2312" w:cs="仿宋_GB2312" w:eastAsia="仿宋_GB2312"/>
                      <w:sz w:val="24"/>
                    </w:rPr>
                    <w:t>≥16</w:t>
                  </w:r>
                  <w:r>
                    <w:rPr>
                      <w:rFonts w:ascii="仿宋_GB2312" w:hAnsi="仿宋_GB2312" w:cs="仿宋_GB2312" w:eastAsia="仿宋_GB2312"/>
                      <w:sz w:val="24"/>
                    </w:rPr>
                    <w:t>MByte</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4、射频类型：</w:t>
                  </w:r>
                  <w:r>
                    <w:rPr>
                      <w:rFonts w:ascii="仿宋_GB2312" w:hAnsi="仿宋_GB2312" w:cs="仿宋_GB2312" w:eastAsia="仿宋_GB2312"/>
                      <w:sz w:val="24"/>
                    </w:rPr>
                    <w:t>OFDM</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left"/>
                  </w:pPr>
                  <w:r>
                    <w:rPr>
                      <w:rFonts w:ascii="仿宋_GB2312" w:hAnsi="仿宋_GB2312" w:cs="仿宋_GB2312" w:eastAsia="仿宋_GB2312"/>
                      <w:sz w:val="24"/>
                    </w:rPr>
                    <w:t>5、调制方式:64</w:t>
                  </w:r>
                  <w:r>
                    <w:rPr>
                      <w:rFonts w:ascii="仿宋_GB2312" w:hAnsi="仿宋_GB2312" w:cs="仿宋_GB2312" w:eastAsia="仿宋_GB2312"/>
                      <w:sz w:val="24"/>
                    </w:rPr>
                    <w:t>QAM</w:t>
                  </w:r>
                  <w:r>
                    <w:rPr>
                      <w:rFonts w:ascii="仿宋_GB2312" w:hAnsi="仿宋_GB2312" w:cs="仿宋_GB2312" w:eastAsia="仿宋_GB2312"/>
                      <w:sz w:val="24"/>
                    </w:rPr>
                    <w:t>3/4,64</w:t>
                  </w:r>
                  <w:r>
                    <w:rPr>
                      <w:rFonts w:ascii="仿宋_GB2312" w:hAnsi="仿宋_GB2312" w:cs="仿宋_GB2312" w:eastAsia="仿宋_GB2312"/>
                      <w:sz w:val="24"/>
                    </w:rPr>
                    <w:t>QAM</w:t>
                  </w:r>
                  <w:r>
                    <w:rPr>
                      <w:rFonts w:ascii="仿宋_GB2312" w:hAnsi="仿宋_GB2312" w:cs="仿宋_GB2312" w:eastAsia="仿宋_GB2312"/>
                      <w:sz w:val="24"/>
                    </w:rPr>
                    <w:t>2/3,16</w:t>
                  </w:r>
                  <w:r>
                    <w:rPr>
                      <w:rFonts w:ascii="仿宋_GB2312" w:hAnsi="仿宋_GB2312" w:cs="仿宋_GB2312" w:eastAsia="仿宋_GB2312"/>
                      <w:sz w:val="24"/>
                    </w:rPr>
                    <w:t>QAM</w:t>
                  </w:r>
                  <w:r>
                    <w:rPr>
                      <w:rFonts w:ascii="仿宋_GB2312" w:hAnsi="仿宋_GB2312" w:cs="仿宋_GB2312" w:eastAsia="仿宋_GB2312"/>
                      <w:sz w:val="24"/>
                    </w:rPr>
                    <w:t>3/4,16</w:t>
                  </w:r>
                  <w:r>
                    <w:rPr>
                      <w:rFonts w:ascii="仿宋_GB2312" w:hAnsi="仿宋_GB2312" w:cs="仿宋_GB2312" w:eastAsia="仿宋_GB2312"/>
                      <w:sz w:val="24"/>
                    </w:rPr>
                    <w:t>QAM</w:t>
                  </w:r>
                  <w:r>
                    <w:rPr>
                      <w:rFonts w:ascii="仿宋_GB2312" w:hAnsi="仿宋_GB2312" w:cs="仿宋_GB2312" w:eastAsia="仿宋_GB2312"/>
                      <w:sz w:val="24"/>
                    </w:rPr>
                    <w:t>1/2,</w:t>
                  </w:r>
                  <w:r>
                    <w:rPr>
                      <w:rFonts w:ascii="仿宋_GB2312" w:hAnsi="仿宋_GB2312" w:cs="仿宋_GB2312" w:eastAsia="仿宋_GB2312"/>
                      <w:sz w:val="24"/>
                    </w:rPr>
                    <w:t>QPSK</w:t>
                  </w:r>
                  <w:r>
                    <w:rPr>
                      <w:rFonts w:ascii="仿宋_GB2312" w:hAnsi="仿宋_GB2312" w:cs="仿宋_GB2312" w:eastAsia="仿宋_GB2312"/>
                      <w:sz w:val="24"/>
                    </w:rPr>
                    <w:t>3/4,</w:t>
                  </w:r>
                  <w:r>
                    <w:rPr>
                      <w:rFonts w:ascii="仿宋_GB2312" w:hAnsi="仿宋_GB2312" w:cs="仿宋_GB2312" w:eastAsia="仿宋_GB2312"/>
                      <w:sz w:val="24"/>
                    </w:rPr>
                    <w:t>QPSK</w:t>
                  </w:r>
                  <w:r>
                    <w:rPr>
                      <w:rFonts w:ascii="仿宋_GB2312" w:hAnsi="仿宋_GB2312" w:cs="仿宋_GB2312" w:eastAsia="仿宋_GB2312"/>
                      <w:sz w:val="24"/>
                    </w:rPr>
                    <w:t>1/2,</w:t>
                  </w:r>
                  <w:r>
                    <w:rPr>
                      <w:rFonts w:ascii="仿宋_GB2312" w:hAnsi="仿宋_GB2312" w:cs="仿宋_GB2312" w:eastAsia="仿宋_GB2312"/>
                      <w:sz w:val="24"/>
                    </w:rPr>
                    <w:t>BPSK</w:t>
                  </w:r>
                  <w:r>
                    <w:rPr>
                      <w:rFonts w:ascii="仿宋_GB2312" w:hAnsi="仿宋_GB2312" w:cs="仿宋_GB2312" w:eastAsia="仿宋_GB2312"/>
                      <w:sz w:val="24"/>
                    </w:rPr>
                    <w:t>3/4,</w:t>
                  </w:r>
                  <w:r>
                    <w:rPr>
                      <w:rFonts w:ascii="仿宋_GB2312" w:hAnsi="仿宋_GB2312" w:cs="仿宋_GB2312" w:eastAsia="仿宋_GB2312"/>
                      <w:sz w:val="24"/>
                    </w:rPr>
                    <w:t>BPSK</w:t>
                  </w:r>
                  <w:r>
                    <w:rPr>
                      <w:rFonts w:ascii="仿宋_GB2312" w:hAnsi="仿宋_GB2312" w:cs="仿宋_GB2312" w:eastAsia="仿宋_GB2312"/>
                      <w:sz w:val="24"/>
                    </w:rPr>
                    <w:t>1</w:t>
                  </w:r>
                  <w:r>
                    <w:rPr>
                      <w:rFonts w:ascii="仿宋_GB2312" w:hAnsi="仿宋_GB2312" w:cs="仿宋_GB2312" w:eastAsia="仿宋_GB2312"/>
                      <w:sz w:val="24"/>
                    </w:rPr>
                    <w:t>/2</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6、发射功率≥27</w:t>
                  </w:r>
                  <w:r>
                    <w:rPr>
                      <w:rFonts w:ascii="仿宋_GB2312" w:hAnsi="仿宋_GB2312" w:cs="仿宋_GB2312" w:eastAsia="仿宋_GB2312"/>
                      <w:sz w:val="24"/>
                    </w:rPr>
                    <w:t>dBm</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7、工作频段：5.150-5.850</w:t>
                  </w:r>
                  <w:r>
                    <w:rPr>
                      <w:rFonts w:ascii="仿宋_GB2312" w:hAnsi="仿宋_GB2312" w:cs="仿宋_GB2312" w:eastAsia="仿宋_GB2312"/>
                      <w:sz w:val="24"/>
                    </w:rPr>
                    <w:t>GHz</w:t>
                  </w:r>
                  <w:r>
                    <w:rPr>
                      <w:rFonts w:ascii="仿宋_GB2312" w:hAnsi="仿宋_GB2312" w:cs="仿宋_GB2312" w:eastAsia="仿宋_GB2312"/>
                      <w:sz w:val="24"/>
                    </w:rPr>
                    <w:t>(</w:t>
                  </w:r>
                  <w:r>
                    <w:rPr>
                      <w:rFonts w:ascii="仿宋_GB2312" w:hAnsi="仿宋_GB2312" w:cs="仿宋_GB2312" w:eastAsia="仿宋_GB2312"/>
                      <w:sz w:val="24"/>
                    </w:rPr>
                    <w:t>FCC</w:t>
                  </w:r>
                  <w:r>
                    <w:rPr>
                      <w:rFonts w:ascii="仿宋_GB2312" w:hAnsi="仿宋_GB2312" w:cs="仿宋_GB2312" w:eastAsia="仿宋_GB2312"/>
                      <w:sz w:val="24"/>
                    </w:rPr>
                    <w:t>5.150-5.250和5.725-5.850</w:t>
                  </w:r>
                  <w:r>
                    <w:rPr>
                      <w:rFonts w:ascii="仿宋_GB2312" w:hAnsi="仿宋_GB2312" w:cs="仿宋_GB2312" w:eastAsia="仿宋_GB2312"/>
                      <w:sz w:val="24"/>
                    </w:rPr>
                    <w:t>GHz</w:t>
                  </w:r>
                  <w:r>
                    <w:rPr>
                      <w:rFonts w:ascii="仿宋_GB2312" w:hAnsi="仿宋_GB2312" w:cs="仿宋_GB2312" w:eastAsia="仿宋_GB2312"/>
                      <w:sz w:val="24"/>
                    </w:rPr>
                    <w:t>)，双工模式</w:t>
                  </w:r>
                  <w:r>
                    <w:rPr>
                      <w:rFonts w:ascii="仿宋_GB2312" w:hAnsi="仿宋_GB2312" w:cs="仿宋_GB2312" w:eastAsia="仿宋_GB2312"/>
                      <w:sz w:val="24"/>
                    </w:rPr>
                    <w:t>，时分双工；</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8、多信道宽度选择：支持10</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MHz</w:t>
                  </w:r>
                  <w:r>
                    <w:rPr>
                      <w:rFonts w:ascii="仿宋_GB2312" w:hAnsi="仿宋_GB2312" w:cs="仿宋_GB2312" w:eastAsia="仿宋_GB2312"/>
                      <w:sz w:val="24"/>
                    </w:rPr>
                    <w:t>频宽选择，有效利用频率资源，优化无线链路，适合各种复杂环境下稳定传输；</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24"/>
                    </w:rPr>
                    <w:t>9、最大传输速率≥866</w:t>
                  </w:r>
                  <w:r>
                    <w:rPr>
                      <w:rFonts w:ascii="仿宋_GB2312" w:hAnsi="仿宋_GB2312" w:cs="仿宋_GB2312" w:eastAsia="仿宋_GB2312"/>
                      <w:sz w:val="24"/>
                    </w:rPr>
                    <w:t>Mbps</w:t>
                  </w:r>
                  <w:r>
                    <w:rPr>
                      <w:rFonts w:ascii="仿宋_GB2312" w:hAnsi="仿宋_GB2312" w:cs="仿宋_GB2312" w:eastAsia="仿宋_GB2312"/>
                      <w:sz w:val="24"/>
                    </w:rPr>
                    <w:t>；</w:t>
                  </w:r>
                  <w:r>
                    <w:rPr>
                      <w:rFonts w:ascii="仿宋_GB2312" w:hAnsi="仿宋_GB2312" w:cs="仿宋_GB2312" w:eastAsia="仿宋_GB2312"/>
                      <w:sz w:val="24"/>
                    </w:rPr>
                    <w:t>接口类型：</w:t>
                  </w:r>
                  <w:r>
                    <w:rPr>
                      <w:rFonts w:ascii="仿宋_GB2312" w:hAnsi="仿宋_GB2312" w:cs="仿宋_GB2312" w:eastAsia="仿宋_GB2312"/>
                      <w:sz w:val="32"/>
                    </w:rPr>
                    <w:t xml:space="preserve"> </w:t>
                  </w:r>
                  <w:r>
                    <w:rPr>
                      <w:rFonts w:ascii="仿宋_GB2312" w:hAnsi="仿宋_GB2312" w:cs="仿宋_GB2312" w:eastAsia="仿宋_GB2312"/>
                      <w:sz w:val="24"/>
                    </w:rPr>
                    <w:t>网</w:t>
                  </w:r>
                  <w:r>
                    <w:rPr>
                      <w:rFonts w:ascii="仿宋_GB2312" w:hAnsi="仿宋_GB2312" w:cs="仿宋_GB2312" w:eastAsia="仿宋_GB2312"/>
                      <w:sz w:val="32"/>
                    </w:rPr>
                    <w:t xml:space="preserve"> </w:t>
                  </w:r>
                  <w:r>
                    <w:rPr>
                      <w:rFonts w:ascii="仿宋_GB2312" w:hAnsi="仿宋_GB2312" w:cs="仿宋_GB2312" w:eastAsia="仿宋_GB2312"/>
                      <w:sz w:val="24"/>
                    </w:rPr>
                    <w:t>口</w:t>
                  </w:r>
                  <w:r>
                    <w:rPr>
                      <w:rFonts w:ascii="仿宋_GB2312" w:hAnsi="仿宋_GB2312" w:cs="仿宋_GB2312" w:eastAsia="仿宋_GB2312"/>
                      <w:sz w:val="24"/>
                    </w:rPr>
                    <w:t>Ethernet</w:t>
                  </w:r>
                  <w:r>
                    <w:rPr>
                      <w:rFonts w:ascii="仿宋_GB2312" w:hAnsi="仿宋_GB2312" w:cs="仿宋_GB2312" w:eastAsia="仿宋_GB2312"/>
                      <w:sz w:val="24"/>
                    </w:rPr>
                    <w:t>10/100/1000</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10、安全级别：支持</w:t>
                  </w:r>
                  <w:r>
                    <w:rPr>
                      <w:rFonts w:ascii="仿宋_GB2312" w:hAnsi="仿宋_GB2312" w:cs="仿宋_GB2312" w:eastAsia="仿宋_GB2312"/>
                      <w:sz w:val="24"/>
                    </w:rPr>
                    <w:t>WEP</w:t>
                  </w:r>
                  <w:r>
                    <w:rPr>
                      <w:rFonts w:ascii="仿宋_GB2312" w:hAnsi="仿宋_GB2312" w:cs="仿宋_GB2312" w:eastAsia="仿宋_GB2312"/>
                      <w:sz w:val="24"/>
                    </w:rPr>
                    <w:t>，</w:t>
                  </w:r>
                  <w:r>
                    <w:rPr>
                      <w:rFonts w:ascii="仿宋_GB2312" w:hAnsi="仿宋_GB2312" w:cs="仿宋_GB2312" w:eastAsia="仿宋_GB2312"/>
                      <w:sz w:val="24"/>
                    </w:rPr>
                    <w:t>WPA</w:t>
                  </w:r>
                  <w:r>
                    <w:rPr>
                      <w:rFonts w:ascii="仿宋_GB2312" w:hAnsi="仿宋_GB2312" w:cs="仿宋_GB2312" w:eastAsia="仿宋_GB2312"/>
                      <w:sz w:val="24"/>
                    </w:rPr>
                    <w:t>，</w:t>
                  </w:r>
                  <w:r>
                    <w:rPr>
                      <w:rFonts w:ascii="仿宋_GB2312" w:hAnsi="仿宋_GB2312" w:cs="仿宋_GB2312" w:eastAsia="仿宋_GB2312"/>
                      <w:sz w:val="24"/>
                    </w:rPr>
                    <w:t>WAP</w:t>
                  </w:r>
                  <w:r>
                    <w:rPr>
                      <w:rFonts w:ascii="仿宋_GB2312" w:hAnsi="仿宋_GB2312" w:cs="仿宋_GB2312" w:eastAsia="仿宋_GB2312"/>
                      <w:sz w:val="24"/>
                    </w:rPr>
                    <w:t>2，支持国际标准的</w:t>
                  </w:r>
                  <w:r>
                    <w:rPr>
                      <w:rFonts w:ascii="仿宋_GB2312" w:hAnsi="仿宋_GB2312" w:cs="仿宋_GB2312" w:eastAsia="仿宋_GB2312"/>
                      <w:sz w:val="24"/>
                    </w:rPr>
                    <w:t>AES</w:t>
                  </w:r>
                  <w:r>
                    <w:rPr>
                      <w:rFonts w:ascii="仿宋_GB2312" w:hAnsi="仿宋_GB2312" w:cs="仿宋_GB2312" w:eastAsia="仿宋_GB2312"/>
                      <w:sz w:val="24"/>
                    </w:rPr>
                    <w:t>/</w:t>
                  </w:r>
                  <w:r>
                    <w:rPr>
                      <w:rFonts w:ascii="仿宋_GB2312" w:hAnsi="仿宋_GB2312" w:cs="仿宋_GB2312" w:eastAsia="仿宋_GB2312"/>
                      <w:sz w:val="24"/>
                    </w:rPr>
                    <w:t>TKIP</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11、</w:t>
                  </w:r>
                  <w:r>
                    <w:rPr>
                      <w:rFonts w:ascii="仿宋_GB2312" w:hAnsi="仿宋_GB2312" w:cs="仿宋_GB2312" w:eastAsia="仿宋_GB2312"/>
                      <w:sz w:val="24"/>
                    </w:rPr>
                    <w:t>WEB</w:t>
                  </w:r>
                  <w:r>
                    <w:rPr>
                      <w:rFonts w:ascii="仿宋_GB2312" w:hAnsi="仿宋_GB2312" w:cs="仿宋_GB2312" w:eastAsia="仿宋_GB2312"/>
                      <w:sz w:val="24"/>
                    </w:rPr>
                    <w:t>管理：</w:t>
                  </w:r>
                  <w:r>
                    <w:rPr>
                      <w:rFonts w:ascii="仿宋_GB2312" w:hAnsi="仿宋_GB2312" w:cs="仿宋_GB2312" w:eastAsia="仿宋_GB2312"/>
                      <w:sz w:val="32"/>
                    </w:rPr>
                    <w:t xml:space="preserve"> </w:t>
                  </w:r>
                  <w:r>
                    <w:rPr>
                      <w:rFonts w:ascii="仿宋_GB2312" w:hAnsi="仿宋_GB2312" w:cs="仿宋_GB2312" w:eastAsia="仿宋_GB2312"/>
                      <w:sz w:val="24"/>
                    </w:rPr>
                    <w:t>同时支持</w:t>
                  </w:r>
                  <w:r>
                    <w:rPr>
                      <w:rFonts w:ascii="仿宋_GB2312" w:hAnsi="仿宋_GB2312" w:cs="仿宋_GB2312" w:eastAsia="仿宋_GB2312"/>
                      <w:sz w:val="24"/>
                    </w:rPr>
                    <w:t>Telnet</w:t>
                  </w:r>
                  <w:r>
                    <w:rPr>
                      <w:rFonts w:ascii="仿宋_GB2312" w:hAnsi="仿宋_GB2312" w:cs="仿宋_GB2312" w:eastAsia="仿宋_GB2312"/>
                      <w:sz w:val="24"/>
                    </w:rPr>
                    <w:t>，监控管理更方便；支持配置文件导入</w:t>
                  </w:r>
                  <w:r>
                    <w:rPr>
                      <w:rFonts w:ascii="仿宋_GB2312" w:hAnsi="仿宋_GB2312" w:cs="仿宋_GB2312" w:eastAsia="仿宋_GB2312"/>
                      <w:sz w:val="24"/>
                    </w:rPr>
                    <w:t>/导出和软件升级；24</w:t>
                  </w:r>
                  <w:r>
                    <w:rPr>
                      <w:rFonts w:ascii="仿宋_GB2312" w:hAnsi="仿宋_GB2312" w:cs="仿宋_GB2312" w:eastAsia="仿宋_GB2312"/>
                      <w:sz w:val="24"/>
                    </w:rPr>
                    <w:t>V</w:t>
                  </w:r>
                  <w:r>
                    <w:rPr>
                      <w:rFonts w:ascii="仿宋_GB2312" w:hAnsi="仿宋_GB2312" w:cs="仿宋_GB2312" w:eastAsia="仿宋_GB2312"/>
                      <w:sz w:val="32"/>
                    </w:rPr>
                    <w:t xml:space="preserve"> </w:t>
                  </w:r>
                  <w:r>
                    <w:rPr>
                      <w:rFonts w:ascii="仿宋_GB2312" w:hAnsi="仿宋_GB2312" w:cs="仿宋_GB2312" w:eastAsia="仿宋_GB2312"/>
                      <w:sz w:val="24"/>
                    </w:rPr>
                    <w:t>POE</w:t>
                  </w:r>
                  <w:r>
                    <w:rPr>
                      <w:rFonts w:ascii="仿宋_GB2312" w:hAnsi="仿宋_GB2312" w:cs="仿宋_GB2312" w:eastAsia="仿宋_GB2312"/>
                      <w:sz w:val="24"/>
                    </w:rPr>
                    <w:t>供电方式，</w:t>
                  </w:r>
                  <w:r>
                    <w:rPr>
                      <w:rFonts w:ascii="仿宋_GB2312" w:hAnsi="仿宋_GB2312" w:cs="仿宋_GB2312" w:eastAsia="仿宋_GB2312"/>
                      <w:sz w:val="24"/>
                    </w:rPr>
                    <w:t>POE</w:t>
                  </w:r>
                  <w:r>
                    <w:rPr>
                      <w:rFonts w:ascii="仿宋_GB2312" w:hAnsi="仿宋_GB2312" w:cs="仿宋_GB2312" w:eastAsia="仿宋_GB2312"/>
                      <w:sz w:val="24"/>
                    </w:rPr>
                    <w:t>支持</w:t>
                  </w:r>
                  <w:r>
                    <w:rPr>
                      <w:rFonts w:ascii="仿宋_GB2312" w:hAnsi="仿宋_GB2312" w:cs="仿宋_GB2312" w:eastAsia="仿宋_GB2312"/>
                      <w:sz w:val="24"/>
                    </w:rPr>
                    <w:t>AC</w:t>
                  </w:r>
                  <w:r>
                    <w:rPr>
                      <w:rFonts w:ascii="仿宋_GB2312" w:hAnsi="仿宋_GB2312" w:cs="仿宋_GB2312" w:eastAsia="仿宋_GB2312"/>
                      <w:sz w:val="24"/>
                    </w:rPr>
                    <w:t>100V-240V；</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12、工作电压：12~24</w:t>
                  </w:r>
                  <w:r>
                    <w:rPr>
                      <w:rFonts w:ascii="仿宋_GB2312" w:hAnsi="仿宋_GB2312" w:cs="仿宋_GB2312" w:eastAsia="仿宋_GB2312"/>
                      <w:sz w:val="24"/>
                    </w:rPr>
                    <w:t>VDC</w:t>
                  </w:r>
                  <w:r>
                    <w:rPr>
                      <w:rFonts w:ascii="仿宋_GB2312" w:hAnsi="仿宋_GB2312" w:cs="仿宋_GB2312" w:eastAsia="仿宋_GB2312"/>
                      <w:sz w:val="24"/>
                    </w:rPr>
                    <w:t>，支持标准</w:t>
                  </w:r>
                  <w:r>
                    <w:rPr>
                      <w:rFonts w:ascii="仿宋_GB2312" w:hAnsi="仿宋_GB2312" w:cs="仿宋_GB2312" w:eastAsia="仿宋_GB2312"/>
                      <w:sz w:val="24"/>
                    </w:rPr>
                    <w:t>POE</w:t>
                  </w:r>
                  <w:r>
                    <w:rPr>
                      <w:rFonts w:ascii="仿宋_GB2312" w:hAnsi="仿宋_GB2312" w:cs="仿宋_GB2312" w:eastAsia="仿宋_GB2312"/>
                      <w:sz w:val="24"/>
                    </w:rPr>
                    <w:t>供电方式</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vMerge/>
                  <w:tcBorders>
                    <w:top w:val="none" w:color="000000" w:sz="4"/>
                    <w:left w:val="single" w:color="000000" w:sz="4"/>
                    <w:bottom w:val="single" w:color="000000" w:sz="4"/>
                    <w:right w:val="single" w:color="000000" w:sz="4"/>
                  </w:tcBorders>
                </w:tcP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8"/>
                    </w:rPr>
                    <w:t>▲</w:t>
                  </w:r>
                  <w:r>
                    <w:rPr>
                      <w:rFonts w:ascii="仿宋_GB2312" w:hAnsi="仿宋_GB2312" w:cs="仿宋_GB2312" w:eastAsia="仿宋_GB2312"/>
                      <w:sz w:val="24"/>
                    </w:rPr>
                    <w:t>13、工作温度：-45</w:t>
                  </w:r>
                  <w:r>
                    <w:rPr>
                      <w:rFonts w:ascii="仿宋_GB2312" w:hAnsi="仿宋_GB2312" w:cs="仿宋_GB2312" w:eastAsia="仿宋_GB2312"/>
                      <w:sz w:val="32"/>
                    </w:rPr>
                    <w:t xml:space="preserve"> </w:t>
                  </w:r>
                  <w:r>
                    <w:rPr>
                      <w:rFonts w:ascii="仿宋_GB2312" w:hAnsi="仿宋_GB2312" w:cs="仿宋_GB2312" w:eastAsia="仿宋_GB2312"/>
                      <w:sz w:val="24"/>
                    </w:rPr>
                    <w:t>°C-+75</w:t>
                  </w:r>
                  <w:r>
                    <w:rPr>
                      <w:rFonts w:ascii="仿宋_GB2312" w:hAnsi="仿宋_GB2312" w:cs="仿宋_GB2312" w:eastAsia="仿宋_GB2312"/>
                      <w:sz w:val="32"/>
                    </w:rPr>
                    <w:t xml:space="preserve"> </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注：需提供国家认证（认可）的第三方机构出具的检测报告复印件</w:t>
                  </w:r>
                  <w:r>
                    <w:rPr>
                      <w:rFonts w:ascii="仿宋_GB2312" w:hAnsi="仿宋_GB2312" w:cs="仿宋_GB2312" w:eastAsia="仿宋_GB2312"/>
                      <w:sz w:val="24"/>
                    </w:rPr>
                    <w:t>）</w:t>
                  </w:r>
                </w:p>
              </w:tc>
              <w:tc>
                <w:tcPr>
                  <w:tcW w:type="dxa" w:w="315"/>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r>
            <w:tr>
              <w:tc>
                <w:tcPr>
                  <w:tcW w:type="dxa" w:w="324"/>
                  <w:vMerge/>
                  <w:tcBorders>
                    <w:top w:val="none" w:color="000000" w:sz="4"/>
                    <w:left w:val="single" w:color="000000" w:sz="4"/>
                    <w:bottom w:val="single" w:color="000000" w:sz="4"/>
                    <w:right w:val="single" w:color="000000" w:sz="4"/>
                  </w:tcBorders>
                </w:tcP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24"/>
                    </w:rPr>
                    <w:t>太阳发电系统</w:t>
                  </w:r>
                </w:p>
              </w:tc>
              <w:tc>
                <w:tcPr>
                  <w:tcW w:type="dxa" w:w="3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both"/>
                  </w:pPr>
                  <w:r>
                    <w:rPr>
                      <w:rFonts w:ascii="仿宋_GB2312" w:hAnsi="仿宋_GB2312" w:cs="仿宋_GB2312" w:eastAsia="仿宋_GB2312"/>
                      <w:sz w:val="24"/>
                    </w:rPr>
                    <w:t>1、单晶硅太阳能板4块:转换率17%以上，最大电压≥36V，最大电流≥11</w:t>
                  </w:r>
                  <w:r>
                    <w:rPr>
                      <w:rFonts w:ascii="仿宋_GB2312" w:hAnsi="仿宋_GB2312" w:cs="仿宋_GB2312" w:eastAsia="仿宋_GB2312"/>
                      <w:sz w:val="24"/>
                    </w:rPr>
                    <w:t>A</w:t>
                  </w:r>
                  <w:r>
                    <w:rPr>
                      <w:rFonts w:ascii="仿宋_GB2312" w:hAnsi="仿宋_GB2312" w:cs="仿宋_GB2312" w:eastAsia="仿宋_GB2312"/>
                      <w:sz w:val="24"/>
                    </w:rPr>
                    <w:t>，</w:t>
                  </w:r>
                  <w:r>
                    <w:rPr>
                      <w:rFonts w:ascii="仿宋_GB2312" w:hAnsi="仿宋_GB2312" w:cs="仿宋_GB2312" w:eastAsia="仿宋_GB2312"/>
                      <w:sz w:val="24"/>
                    </w:rPr>
                    <w:t>450W/块，使用寿命20年以</w:t>
                  </w:r>
                  <w:r>
                    <w:rPr>
                      <w:rFonts w:ascii="仿宋_GB2312" w:hAnsi="仿宋_GB2312" w:cs="仿宋_GB2312" w:eastAsia="仿宋_GB2312"/>
                      <w:sz w:val="24"/>
                    </w:rPr>
                    <w:t>上。额定电压：</w:t>
                  </w:r>
                  <w:r>
                    <w:rPr>
                      <w:rFonts w:ascii="仿宋_GB2312" w:hAnsi="仿宋_GB2312" w:cs="仿宋_GB2312" w:eastAsia="仿宋_GB2312"/>
                      <w:sz w:val="24"/>
                    </w:rPr>
                    <w:t>36</w:t>
                  </w:r>
                  <w:r>
                    <w:rPr>
                      <w:rFonts w:ascii="仿宋_GB2312" w:hAnsi="仿宋_GB2312" w:cs="仿宋_GB2312" w:eastAsia="仿宋_GB2312"/>
                      <w:sz w:val="24"/>
                    </w:rPr>
                    <w:t>VDC</w:t>
                  </w:r>
                  <w:r>
                    <w:rPr>
                      <w:rFonts w:ascii="仿宋_GB2312" w:hAnsi="仿宋_GB2312" w:cs="仿宋_GB2312" w:eastAsia="仿宋_GB2312"/>
                      <w:sz w:val="24"/>
                    </w:rPr>
                    <w:t>；</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套</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both"/>
            </w:pPr>
            <w:r>
              <w:rPr>
                <w:rFonts w:ascii="仿宋_GB2312" w:hAnsi="仿宋_GB2312" w:cs="仿宋_GB2312" w:eastAsia="仿宋_GB2312"/>
                <w:sz w:val="28"/>
              </w:rPr>
              <w:t>1、供应商应具有类似项目业绩，且为本项目配置团队成员。</w:t>
            </w:r>
          </w:p>
          <w:p>
            <w:pPr>
              <w:pStyle w:val="null3"/>
              <w:jc w:val="both"/>
            </w:pPr>
            <w:r>
              <w:rPr>
                <w:rFonts w:ascii="仿宋_GB2312" w:hAnsi="仿宋_GB2312" w:cs="仿宋_GB2312" w:eastAsia="仿宋_GB2312"/>
                <w:sz w:val="32"/>
              </w:rPr>
              <w:t>2、供应商针对本项目提供的整体服务方案</w:t>
            </w:r>
            <w:r>
              <w:rPr>
                <w:rFonts w:ascii="仿宋_GB2312" w:hAnsi="仿宋_GB2312" w:cs="仿宋_GB2312" w:eastAsia="仿宋_GB2312"/>
                <w:sz w:val="32"/>
              </w:rPr>
              <w:t>（</w:t>
            </w:r>
            <w:r>
              <w:rPr>
                <w:rFonts w:ascii="仿宋_GB2312" w:hAnsi="仿宋_GB2312" w:cs="仿宋_GB2312" w:eastAsia="仿宋_GB2312"/>
                <w:sz w:val="32"/>
              </w:rPr>
              <w:t>①对项目的分析和理解；②服务方法及措施；③重点难点分析和技术处理措施；④进度安排及保证措施；⑤质量控制流程及关键控制点；⑥内部控制质量和监督措施；</w:t>
            </w:r>
            <w:r>
              <w:rPr>
                <w:rFonts w:ascii="仿宋_GB2312" w:hAnsi="仿宋_GB2312" w:cs="仿宋_GB2312" w:eastAsia="仿宋_GB2312"/>
                <w:sz w:val="32"/>
              </w:rPr>
              <w:t>⑦</w:t>
            </w:r>
            <w:r>
              <w:rPr>
                <w:rFonts w:ascii="仿宋_GB2312" w:hAnsi="仿宋_GB2312" w:cs="仿宋_GB2312" w:eastAsia="仿宋_GB2312"/>
                <w:sz w:val="32"/>
              </w:rPr>
              <w:t>应急方案。</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供应商针对本项目提供的后续服务方案（</w:t>
            </w:r>
            <w:r>
              <w:rPr>
                <w:rFonts w:ascii="仿宋_GB2312" w:hAnsi="仿宋_GB2312" w:cs="仿宋_GB2312" w:eastAsia="仿宋_GB2312"/>
                <w:sz w:val="32"/>
              </w:rPr>
              <w:t>①后期服务承诺；②后期服务保障措施；③后期服务响应时间；④服务人员配置。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保护设施维护及设备更新周期6个月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采购人指定地点（四川若尔盖湿地国家级自然保护区）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采购人将严格按照《财政部关于进一步加强政府采购需求和履约验收管理的指导意见》(财库〔2016〕205号)的要求、采购文件、响应文件承诺的要求进行验收。 验收步骤：经初步验收合格，方可进入项目验收环节；经初步验收不合格，实施单位提出整改要求，责令限期整改，整改后再次申请验收直至合格；无法整改或整改后仍达不到验收要求的，按照相关规定进行处理，涉嫌违规违纪的移交相关部门查处。</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1、预付款，合同签订后，达到付款条件起10日内，支付合同总金额的40.00%</w:t>
            </w:r>
          </w:p>
          <w:p>
            <w:pPr>
              <w:pStyle w:val="null3"/>
              <w:jc w:val="left"/>
            </w:pPr>
            <w:r>
              <w:rPr>
                <w:rFonts w:ascii="仿宋_GB2312" w:hAnsi="仿宋_GB2312" w:cs="仿宋_GB2312" w:eastAsia="仿宋_GB2312"/>
              </w:rPr>
              <w:t>2、尾款，项目服务完成并通过验收后，达到付款条件起20日内，支付合同总金额的60.00%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以上技术服务要求，如遇新政策或新国家行业标准的，统一按新政策及标准执行。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技术要求、服务要求的所有内容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政府采购合同</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并提供以下证明材料：（1）供应商若为企业法人：提供“统一社会信用代码营业执照”；未换证的提供“营业执照、税务登记证、组织机构代码证或三证合一的营业执 照”； （2）若为事业法人：提供“统一社会信用代码法人登记证书”； 未换证的提交“事业法人登记证书、组织机构代码证”；（3）若为其他 组织：提供“对应主管部门颁发的准许执业证明文件或营业执照”； （4）若为自然人：提供“身份证明材料”。</w:t>
            </w:r>
          </w:p>
        </w:tc>
        <w:tc>
          <w:tcPr>
            <w:tcW w:type="dxa" w:w="1661"/>
          </w:tcPr>
          <w:p>
            <w:pPr>
              <w:pStyle w:val="null3"/>
              <w:jc w:val="left"/>
            </w:pPr>
            <w:r>
              <w:rPr>
                <w:rFonts w:ascii="仿宋_GB2312" w:hAnsi="仿宋_GB2312" w:cs="仿宋_GB2312" w:eastAsia="仿宋_GB2312"/>
              </w:rPr>
              <w:t>投标（响应）函,供应商应当提供的资格、资质性及其他类似效力要求的相关证明材料.docx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磋商文件实质性要求</w:t>
            </w:r>
          </w:p>
        </w:tc>
        <w:tc>
          <w:tcPr>
            <w:tcW w:type="dxa" w:w="3322"/>
          </w:tcPr>
          <w:p>
            <w:pPr>
              <w:pStyle w:val="null3"/>
              <w:jc w:val="left"/>
            </w:pPr>
            <w:r>
              <w:rPr>
                <w:rFonts w:ascii="仿宋_GB2312" w:hAnsi="仿宋_GB2312" w:cs="仿宋_GB2312" w:eastAsia="仿宋_GB2312"/>
              </w:rPr>
              <w:t>磋商文件实质性要求</w:t>
            </w:r>
          </w:p>
        </w:tc>
        <w:tc>
          <w:tcPr>
            <w:tcW w:type="dxa" w:w="1661"/>
          </w:tcPr>
          <w:p>
            <w:pPr>
              <w:pStyle w:val="null3"/>
              <w:jc w:val="left"/>
            </w:pPr>
            <w:r>
              <w:rPr>
                <w:rFonts w:ascii="仿宋_GB2312" w:hAnsi="仿宋_GB2312" w:cs="仿宋_GB2312" w:eastAsia="仿宋_GB2312"/>
              </w:rPr>
              <w:t>满足采购文件实质性要求和评分的证明材料.docx,配置清单表.docx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详见磋商文件要求</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响应文件符合性审查部分签章</w:t>
            </w:r>
          </w:p>
        </w:tc>
        <w:tc>
          <w:tcPr>
            <w:tcW w:type="dxa" w:w="3322"/>
          </w:tcPr>
          <w:p>
            <w:pPr>
              <w:pStyle w:val="null3"/>
              <w:jc w:val="left"/>
            </w:pPr>
            <w:r>
              <w:rPr>
                <w:rFonts w:ascii="仿宋_GB2312" w:hAnsi="仿宋_GB2312" w:cs="仿宋_GB2312" w:eastAsia="仿宋_GB2312"/>
              </w:rPr>
              <w:t>响应文件符合性审查部分签章</w:t>
            </w:r>
          </w:p>
        </w:tc>
        <w:tc>
          <w:tcPr>
            <w:tcW w:type="dxa" w:w="1661"/>
          </w:tcPr>
          <w:p>
            <w:pPr>
              <w:pStyle w:val="null3"/>
              <w:jc w:val="left"/>
            </w:pPr>
            <w:r>
              <w:rPr>
                <w:rFonts w:ascii="仿宋_GB2312" w:hAnsi="仿宋_GB2312" w:cs="仿宋_GB2312" w:eastAsia="仿宋_GB2312"/>
              </w:rPr>
              <w:t>响应文件封面,残疾人福利性单位声明函,中小企业声明函,满足采购文件实质性要求和评分的证明材料.docx,报价表,投标（响应）函,监狱企业的证明文件,供应商应当提供的资格、资质性及其他类似效力要求的相关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人员配置，履约能力、技术、服务要求，整体服务方案，后续服务方案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整体服务方案</w:t>
            </w:r>
          </w:p>
        </w:tc>
        <w:tc>
          <w:tcPr>
            <w:tcW w:type="dxa" w:w="2575"/>
          </w:tcPr>
          <w:p>
            <w:pPr>
              <w:pStyle w:val="null3"/>
              <w:jc w:val="left"/>
            </w:pPr>
            <w:r>
              <w:rPr>
                <w:rFonts w:ascii="仿宋_GB2312" w:hAnsi="仿宋_GB2312" w:cs="仿宋_GB2312" w:eastAsia="仿宋_GB2312"/>
              </w:rPr>
              <w:t>根据供应商针对本项目提供的整体服务方案（①对项目的分析和理解；②服务方法及措施；③重点难点分析和技术处理措施；④进度安排及保证措施；⑤质量控制流程及关键控制点；⑥内部控制质量和监督措施；⑦应急方案）进行综合评审。以上内容详细、完整、符合项目实际的得28分；存在漏项的，每有一项扣4分，每有一处内容存在缺陷（缺陷是指:存在项目名称、履约期限描述错误的内容；对项目需求理解存在偏差，实际方案存在相互矛盾，照搬其他项目方案而存在与本项目执行无关的内容；只有简单复制粘贴需求内容而无自己理解或解决方案的描述；方案内容实际操作中不能运用；不满足采购需求中非实质性要求的情形）扣2分，直至该项分数扣完为止，未提供方案不得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提供的后续服务方案（①后期服务承诺；②后期服务保障措施；③后期服务响应时间；④服务人员配置）进行综合评审。以上内容详细、完整、符合项目实际的得16分；存在漏项的，每有一项扣4分，每有一处内容存在缺陷（缺陷是指:存在项目名称、履约期限描述错误的内容；对项目需求理解存在偏差，实际方案存在相互矛盾，照搬其他项目方案而存在与本项目执行无关的内容；只有简单复制粘贴需求内容而无自己理解或解决方案的描述；方案内容实际操作中不能运用；不满足采购需求中非实质性要求的情形）扣2分，直至该项分数扣完为止，未提供方案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项目负责人： 具备国家部委或人社部门或工信部门颁发的电子信息类或机械电气类或计算机应用类或软件工程类中级职称的得4分，高级及以上职称的得8分。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技术指标和配置完全符合竞争性磋商文件“产品技术参数/安装要求”要求没有负偏离得30.6分。低于““产品技术参数/安装要求””中要求的（负偏离），重要性条款（▲号条款）负偏离一项扣2分，一般参数（除★号、▲号条款外）负偏离一项扣0.2分，扣完为止。 注:1.重要性条款(▲号条款)共9条，一般参数（除★号、▲号条款外）共63条；2.以最低级别编号为一条参数，以此类推。</w:t>
            </w:r>
          </w:p>
        </w:tc>
        <w:tc>
          <w:tcPr>
            <w:tcW w:type="dxa" w:w="831"/>
          </w:tcPr>
          <w:p>
            <w:pPr>
              <w:pStyle w:val="null3"/>
              <w:jc w:val="center"/>
            </w:pPr>
            <w:r>
              <w:rPr>
                <w:rFonts w:ascii="仿宋_GB2312" w:hAnsi="仿宋_GB2312" w:cs="仿宋_GB2312" w:eastAsia="仿宋_GB2312"/>
              </w:rPr>
              <w:t>30.6000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2022年1月1日（含）以来有类似项目业绩，每有1个得3.7分，最多得7.4分。 注：提供业绩合同或中标（成交通知书）或任务文件复印件并加盖供应商电子签章。</w:t>
            </w:r>
          </w:p>
        </w:tc>
        <w:tc>
          <w:tcPr>
            <w:tcW w:type="dxa" w:w="831"/>
          </w:tcPr>
          <w:p>
            <w:pPr>
              <w:pStyle w:val="null3"/>
              <w:jc w:val="center"/>
            </w:pPr>
            <w:r>
              <w:rPr>
                <w:rFonts w:ascii="仿宋_GB2312" w:hAnsi="仿宋_GB2312" w:cs="仿宋_GB2312" w:eastAsia="仿宋_GB2312"/>
              </w:rPr>
              <w:t>7.4000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详见附件：供应商应当提供的资格、资质性及其他类似效力要求的相关证明材料.docx</w:t>
      </w:r>
    </w:p>
    <w:p>
      <w:pPr>
        <w:pStyle w:val="null3"/>
        <w:ind w:firstLine="960"/>
        <w:jc w:val="left"/>
      </w:pPr>
      <w:r>
        <w:rPr>
          <w:rFonts w:ascii="仿宋_GB2312" w:hAnsi="仿宋_GB2312" w:cs="仿宋_GB2312" w:eastAsia="仿宋_GB2312"/>
        </w:rPr>
        <w:t>详见附件：满足采购文件实质性要求和评分的证明材料.docx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详见附件：配置清单表.docx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