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版本号：N513232202600000720260326001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2025年中央财政林业草原专项资金国家级自然保护区能力提升项目(专项调查监测服务)(二次)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N5132322026000007</w:t>
      </w:r>
    </w:p>
    <w:p>
      <w:pPr>
        <w:pStyle w:val="null3"/>
        <w:jc w:val="center"/>
        <w:outlineLvl w:val="2"/>
      </w:pPr>
      <w:r>
        <w:rPr>
          <w:rFonts w:ascii="仿宋_GB2312" w:hAnsi="仿宋_GB2312" w:cs="仿宋_GB2312" w:eastAsia="仿宋_GB2312"/>
          <w:sz w:val="28"/>
          <w:b/>
        </w:rPr>
        <w:t>四川若尔盖湿地国家级自然保护区管理局</w:t>
      </w:r>
    </w:p>
    <w:p>
      <w:pPr>
        <w:pStyle w:val="null3"/>
        <w:jc w:val="center"/>
        <w:outlineLvl w:val="2"/>
      </w:pPr>
      <w:r>
        <w:rPr>
          <w:rFonts w:ascii="仿宋_GB2312" w:hAnsi="仿宋_GB2312" w:cs="仿宋_GB2312" w:eastAsia="仿宋_GB2312"/>
          <w:sz w:val="28"/>
          <w:b/>
        </w:rPr>
        <w:t>四川新宇盛项目管理集团有限公司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四川新宇盛项目管理集团有限公司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委托，拟对 </w:t>
      </w:r>
      <w:r>
        <w:rPr>
          <w:rFonts w:ascii="仿宋_GB2312" w:hAnsi="仿宋_GB2312" w:cs="仿宋_GB2312" w:eastAsia="仿宋_GB2312"/>
        </w:rPr>
        <w:t>2025年中央财政林业草原专项资金国家级自然保护区能力提升项目(专项调查监测服务)(二次)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N5132322026000007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2025年中央财政林业草原专项资金国家级自然保护区能力提升项目(专项调查监测服务)(二次)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2025年中央财政林业草原专项资金国家级自然保护区能力提升项目（专项调查监测服务），拟通过开展专项调查与监测项目，全面掌握保护区内生物多样性的现状以及湿地生态系统的动态变化状况，精准识别威胁生物多样性的关键因素，明确湿地生态系统的退化程度及分布范围，为后续若尔盖湿地保护恢复策略的制定提供精准、可靠的数据支持，进而协同推动若尔盖湿地生态系统的保护与可持续利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四川若尔盖湿地国家级自然保护区管理局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若尔盖县达扎寺镇麦溪路47号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0837-2292822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四川新宇盛项目管理集团有限公司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中国(四川)自由贸易试验区成都高新区天仁路387号3栋1单元4楼404号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028-86095158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代理服务费收费标准：本项目各包件招标代理服务费以成交金额为基准价*1.5%计取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和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供应商提出履约验收申请后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采购文件技术要求和响应文件技术应答以及采购合同条款。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采购文件商务要求和响应文件商务应答以及采购合同条款。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项目履约完成后，采购人将按照《财政部关于进一步加强政府釆购需求和履约验收管理的指导意见》（财库（2016）205号）的要求、采购文件规定的要求和响应文件承诺及合同内容进行验收。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四川若尔盖湿地国家级自然保护区管理局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四川新宇盛项目管理集团有限公司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联系电话：0837-2292822</w:t>
      </w:r>
    </w:p>
    <w:p>
      <w:pPr>
        <w:pStyle w:val="null3"/>
        <w:jc w:val="left"/>
      </w:pPr>
      <w:r>
        <w:rPr>
          <w:rFonts w:ascii="仿宋_GB2312" w:hAnsi="仿宋_GB2312" w:cs="仿宋_GB2312" w:eastAsia="仿宋_GB2312"/>
        </w:rPr>
        <w:t>地址：若尔盖县达扎寺镇麦溪路47号</w:t>
      </w:r>
    </w:p>
    <w:p>
      <w:pPr>
        <w:pStyle w:val="null3"/>
        <w:jc w:val="left"/>
      </w:pPr>
      <w:r>
        <w:rPr>
          <w:rFonts w:ascii="仿宋_GB2312" w:hAnsi="仿宋_GB2312" w:cs="仿宋_GB2312" w:eastAsia="仿宋_GB2312"/>
        </w:rPr>
        <w:t>邮编：624500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联系电话：028-86095158</w:t>
      </w:r>
    </w:p>
    <w:p>
      <w:pPr>
        <w:pStyle w:val="null3"/>
        <w:jc w:val="left"/>
      </w:pPr>
      <w:r>
        <w:rPr>
          <w:rFonts w:ascii="仿宋_GB2312" w:hAnsi="仿宋_GB2312" w:cs="仿宋_GB2312" w:eastAsia="仿宋_GB2312"/>
        </w:rPr>
        <w:t>地址：中国(四川)自由贸易试验区成都高新区天仁路387号3栋1单元4楼404号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C07010100 生态资源调查与监测服务</w:t>
            </w:r>
          </w:p>
        </w:tc>
        <w:tc>
          <w:tcPr>
            <w:tcW w:type="dxa" w:w="821"/>
          </w:tcPr>
          <w:p>
            <w:pPr>
              <w:pStyle w:val="null3"/>
              <w:jc w:val="left"/>
            </w:pPr>
            <w:r>
              <w:rPr>
                <w:rFonts w:ascii="仿宋_GB2312" w:hAnsi="仿宋_GB2312" w:cs="仿宋_GB2312" w:eastAsia="仿宋_GB2312"/>
              </w:rPr>
              <w:t>保护区泥炭专项调查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保护区泥炭专项调查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标的名称：保护区泥炭专项调查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left"/>
            </w:pPr>
            <w:r>
              <w:rPr>
                <w:rFonts w:ascii="仿宋_GB2312" w:hAnsi="仿宋_GB2312" w:cs="仿宋_GB2312" w:eastAsia="仿宋_GB2312"/>
                <w:sz w:val="24"/>
              </w:rPr>
              <w:t>1.调查目标</w:t>
            </w:r>
          </w:p>
          <w:p>
            <w:pPr>
              <w:pStyle w:val="null3"/>
              <w:ind w:firstLine="480"/>
              <w:jc w:val="left"/>
            </w:pPr>
            <w:r>
              <w:rPr>
                <w:rFonts w:ascii="仿宋_GB2312" w:hAnsi="仿宋_GB2312" w:cs="仿宋_GB2312" w:eastAsia="仿宋_GB2312"/>
                <w:sz w:val="24"/>
              </w:rPr>
              <w:t>精准调查守护高原泥炭沼泽碳库，筑牢青藏高原生态安全屏障。率先应用新版泥炭沼泽碳库调查国家标准，打造全国保护区高标准调查试验基地。区域级精细数据助力国家</w:t>
            </w:r>
            <w:r>
              <w:rPr>
                <w:rFonts w:ascii="仿宋_GB2312" w:hAnsi="仿宋_GB2312" w:cs="仿宋_GB2312" w:eastAsia="仿宋_GB2312"/>
                <w:sz w:val="24"/>
              </w:rPr>
              <w:t>“双碳 ”目标，提升 IPCC国际履约能力。</w:t>
            </w:r>
          </w:p>
          <w:p>
            <w:pPr>
              <w:pStyle w:val="null3"/>
              <w:ind w:firstLine="480"/>
              <w:jc w:val="left"/>
            </w:pPr>
            <w:r>
              <w:rPr>
                <w:rFonts w:ascii="仿宋_GB2312" w:hAnsi="仿宋_GB2312" w:cs="仿宋_GB2312" w:eastAsia="仿宋_GB2312"/>
                <w:sz w:val="24"/>
              </w:rPr>
              <w:t>2.调查周期</w:t>
            </w:r>
          </w:p>
          <w:p>
            <w:pPr>
              <w:pStyle w:val="null3"/>
              <w:ind w:firstLine="480"/>
              <w:jc w:val="left"/>
            </w:pPr>
            <w:r>
              <w:rPr>
                <w:rFonts w:ascii="仿宋_GB2312" w:hAnsi="仿宋_GB2312" w:cs="仿宋_GB2312" w:eastAsia="仿宋_GB2312"/>
                <w:sz w:val="24"/>
              </w:rPr>
              <w:t>保护区泥炭专项调查周期共计</w:t>
            </w:r>
            <w:r>
              <w:rPr>
                <w:rFonts w:ascii="仿宋_GB2312" w:hAnsi="仿宋_GB2312" w:cs="仿宋_GB2312" w:eastAsia="仿宋_GB2312"/>
                <w:sz w:val="24"/>
              </w:rPr>
              <w:t>2 年。</w:t>
            </w:r>
          </w:p>
          <w:p>
            <w:pPr>
              <w:pStyle w:val="null3"/>
              <w:ind w:firstLine="480"/>
              <w:jc w:val="left"/>
            </w:pPr>
            <w:r>
              <w:rPr>
                <w:rFonts w:ascii="仿宋_GB2312" w:hAnsi="仿宋_GB2312" w:cs="仿宋_GB2312" w:eastAsia="仿宋_GB2312"/>
                <w:sz w:val="24"/>
              </w:rPr>
              <w:t>3.调查范围</w:t>
            </w:r>
          </w:p>
          <w:p>
            <w:pPr>
              <w:pStyle w:val="null3"/>
              <w:ind w:firstLine="480"/>
              <w:jc w:val="left"/>
            </w:pPr>
            <w:r>
              <w:rPr>
                <w:rFonts w:ascii="仿宋_GB2312" w:hAnsi="仿宋_GB2312" w:cs="仿宋_GB2312" w:eastAsia="仿宋_GB2312"/>
                <w:sz w:val="24"/>
              </w:rPr>
              <w:t>四川若尔盖湿地国家级自然保护区全域。</w:t>
            </w:r>
          </w:p>
          <w:p>
            <w:pPr>
              <w:pStyle w:val="null3"/>
              <w:ind w:firstLine="480"/>
              <w:jc w:val="left"/>
            </w:pPr>
            <w:r>
              <w:rPr>
                <w:rFonts w:ascii="仿宋_GB2312" w:hAnsi="仿宋_GB2312" w:cs="仿宋_GB2312" w:eastAsia="仿宋_GB2312"/>
                <w:sz w:val="24"/>
              </w:rPr>
              <w:t>4.调查方法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1）调查准备</w:t>
            </w:r>
          </w:p>
          <w:p>
            <w:pPr>
              <w:pStyle w:val="null3"/>
              <w:ind w:firstLine="480"/>
              <w:jc w:val="left"/>
            </w:pPr>
            <w:r>
              <w:rPr>
                <w:rFonts w:ascii="仿宋_GB2312" w:hAnsi="仿宋_GB2312" w:cs="仿宋_GB2312" w:eastAsia="仿宋_GB2312"/>
                <w:sz w:val="24"/>
              </w:rPr>
              <w:t>1）资料方面，系统收集全国湿地资源调查报告、若尔盖综合科考报告等文献；</w:t>
            </w:r>
          </w:p>
          <w:p>
            <w:pPr>
              <w:pStyle w:val="null3"/>
              <w:ind w:firstLine="480"/>
              <w:jc w:val="left"/>
            </w:pPr>
            <w:r>
              <w:rPr>
                <w:rFonts w:ascii="仿宋_GB2312" w:hAnsi="仿宋_GB2312" w:cs="仿宋_GB2312" w:eastAsia="仿宋_GB2312"/>
                <w:sz w:val="24"/>
              </w:rPr>
              <w:t>2）技术层面，升级调查 APP ，预装湿地图斑、林相图、高清影像，开发数据自检与即时通信模块；</w:t>
            </w:r>
          </w:p>
          <w:p>
            <w:pPr>
              <w:pStyle w:val="null3"/>
              <w:ind w:firstLine="480"/>
              <w:jc w:val="left"/>
            </w:pPr>
            <w:r>
              <w:rPr>
                <w:rFonts w:ascii="仿宋_GB2312" w:hAnsi="仿宋_GB2312" w:cs="仿宋_GB2312" w:eastAsia="仿宋_GB2312"/>
                <w:sz w:val="24"/>
              </w:rPr>
              <w:t>3）提取疑似斑块，以内业遥感初判为主、外业踏查为辅，利用林相图、NDVI 、地形湿度指数快速提取疑似斑块。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2）调查区划</w:t>
            </w:r>
          </w:p>
          <w:p>
            <w:pPr>
              <w:pStyle w:val="null3"/>
              <w:ind w:firstLine="480"/>
              <w:jc w:val="left"/>
            </w:pPr>
            <w:r>
              <w:rPr>
                <w:rFonts w:ascii="仿宋_GB2312" w:hAnsi="仿宋_GB2312" w:cs="仿宋_GB2312" w:eastAsia="仿宋_GB2312"/>
                <w:sz w:val="24"/>
              </w:rPr>
              <w:t>1）在外业踏查阶段，现场通过观察指示植物及其残体的类型、颜色、纹理和松软度等特征，来判断泥炭沼泽的存在；</w:t>
            </w:r>
          </w:p>
          <w:p>
            <w:pPr>
              <w:pStyle w:val="null3"/>
              <w:ind w:firstLine="480"/>
              <w:jc w:val="left"/>
            </w:pPr>
            <w:r>
              <w:rPr>
                <w:rFonts w:ascii="仿宋_GB2312" w:hAnsi="仿宋_GB2312" w:cs="仿宋_GB2312" w:eastAsia="仿宋_GB2312"/>
                <w:sz w:val="24"/>
              </w:rPr>
              <w:t>2）调查边界已明确界定，水平边界坐标通过调查 APP 导出；</w:t>
            </w:r>
          </w:p>
          <w:p>
            <w:pPr>
              <w:pStyle w:val="null3"/>
              <w:ind w:firstLine="480"/>
              <w:jc w:val="left"/>
            </w:pPr>
            <w:r>
              <w:rPr>
                <w:rFonts w:ascii="仿宋_GB2312" w:hAnsi="仿宋_GB2312" w:cs="仿宋_GB2312" w:eastAsia="仿宋_GB2312"/>
                <w:sz w:val="24"/>
              </w:rPr>
              <w:t>3）调查编号，通过全程使用调查 APP 实时采集经纬度坐标，现场进行拍照和记录土壤特征，实现边界勾绘、数据上传及质量自检的一体化完成。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3）基本特征调查</w:t>
            </w:r>
          </w:p>
          <w:p>
            <w:pPr>
              <w:pStyle w:val="null3"/>
              <w:ind w:firstLine="480"/>
              <w:jc w:val="left"/>
            </w:pPr>
            <w:r>
              <w:rPr>
                <w:rFonts w:ascii="仿宋_GB2312" w:hAnsi="仿宋_GB2312" w:cs="仿宋_GB2312" w:eastAsia="仿宋_GB2312"/>
                <w:sz w:val="24"/>
              </w:rPr>
              <w:t>1）地理信息调查，主要依托、遥感诊断与现地核查确定小地形信息；</w:t>
            </w:r>
          </w:p>
          <w:p>
            <w:pPr>
              <w:pStyle w:val="null3"/>
              <w:ind w:firstLine="480"/>
              <w:jc w:val="left"/>
            </w:pPr>
            <w:r>
              <w:rPr>
                <w:rFonts w:ascii="仿宋_GB2312" w:hAnsi="仿宋_GB2312" w:cs="仿宋_GB2312" w:eastAsia="仿宋_GB2312"/>
                <w:sz w:val="24"/>
              </w:rPr>
              <w:t>2）排水与复湿调查，主要通过走访和现地核实，记录规定年份以来水位变幅、排水或复湿年份、持续时间、方式及面积；</w:t>
            </w:r>
          </w:p>
          <w:p>
            <w:pPr>
              <w:pStyle w:val="null3"/>
              <w:ind w:firstLine="480"/>
              <w:jc w:val="left"/>
            </w:pPr>
            <w:r>
              <w:rPr>
                <w:rFonts w:ascii="仿宋_GB2312" w:hAnsi="仿宋_GB2312" w:cs="仿宋_GB2312" w:eastAsia="仿宋_GB2312"/>
                <w:sz w:val="24"/>
              </w:rPr>
              <w:t>3）泥炭沼泽类型调查，主要遥感结合现地核查植被类型和发育阶段，确定类型；</w:t>
            </w:r>
          </w:p>
          <w:p>
            <w:pPr>
              <w:pStyle w:val="null3"/>
              <w:ind w:firstLine="480"/>
              <w:jc w:val="left"/>
            </w:pPr>
            <w:r>
              <w:rPr>
                <w:rFonts w:ascii="仿宋_GB2312" w:hAnsi="仿宋_GB2312" w:cs="仿宋_GB2312" w:eastAsia="仿宋_GB2312"/>
                <w:sz w:val="24"/>
              </w:rPr>
              <w:t>4）植物群落调查，现地以共建种或建群种命名群落，利用林相图小班资料经调查 APP 确定面积。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4）植被碳库调查</w:t>
            </w:r>
          </w:p>
          <w:p>
            <w:pPr>
              <w:pStyle w:val="null3"/>
              <w:ind w:firstLine="480"/>
              <w:jc w:val="left"/>
            </w:pPr>
            <w:r>
              <w:rPr>
                <w:rFonts w:ascii="仿宋_GB2312" w:hAnsi="仿宋_GB2312" w:cs="仿宋_GB2312" w:eastAsia="仿宋_GB2312"/>
                <w:sz w:val="24"/>
              </w:rPr>
              <w:t>1）样本数与选址，采用系统或典型抽样法，结合调查时限要求综合确定样本数；</w:t>
            </w:r>
          </w:p>
          <w:p>
            <w:pPr>
              <w:pStyle w:val="null3"/>
              <w:ind w:firstLine="480"/>
              <w:jc w:val="left"/>
            </w:pPr>
            <w:r>
              <w:rPr>
                <w:rFonts w:ascii="仿宋_GB2312" w:hAnsi="仿宋_GB2312" w:cs="仿宋_GB2312" w:eastAsia="仿宋_GB2312"/>
                <w:sz w:val="24"/>
              </w:rPr>
              <w:t>2）样方设置与调查，优先选用全国林草生态综合监测现有样方，样方面积与综合监测保持一致；</w:t>
            </w:r>
          </w:p>
          <w:p>
            <w:pPr>
              <w:pStyle w:val="null3"/>
              <w:ind w:firstLine="480"/>
              <w:jc w:val="left"/>
            </w:pPr>
            <w:r>
              <w:rPr>
                <w:rFonts w:ascii="仿宋_GB2312" w:hAnsi="仿宋_GB2312" w:cs="仿宋_GB2312" w:eastAsia="仿宋_GB2312"/>
                <w:sz w:val="24"/>
              </w:rPr>
              <w:t>3）调查顺序，按“地上—地表—地下 ”顺序完成现场测定、称重并记录，数据同步录入表，确保植被碳库计量全组分、无遗漏。</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5）生物量调查</w:t>
            </w:r>
          </w:p>
          <w:p>
            <w:pPr>
              <w:pStyle w:val="null3"/>
              <w:ind w:firstLine="480"/>
              <w:jc w:val="left"/>
            </w:pPr>
            <w:r>
              <w:rPr>
                <w:rFonts w:ascii="仿宋_GB2312" w:hAnsi="仿宋_GB2312" w:cs="仿宋_GB2312" w:eastAsia="仿宋_GB2312"/>
                <w:sz w:val="24"/>
              </w:rPr>
              <w:t>1）生物量采样，通过设置样方，采用收获法获取地上、地表、地下的草本植物生物量；</w:t>
            </w:r>
          </w:p>
          <w:p>
            <w:pPr>
              <w:pStyle w:val="null3"/>
              <w:ind w:firstLine="480"/>
              <w:jc w:val="left"/>
            </w:pPr>
            <w:r>
              <w:rPr>
                <w:rFonts w:ascii="仿宋_GB2312" w:hAnsi="仿宋_GB2312" w:cs="仿宋_GB2312" w:eastAsia="仿宋_GB2312"/>
                <w:sz w:val="24"/>
              </w:rPr>
              <w:t>2）样品处理，现场收获样置于100目筛网清水洗净，自然阴干后称鲜重，整体粉碎混匀，随机一定量一式两份，编号回实验室烘干至恒重后，一份测含碳量，一份封存建库，保障植被碳库计量精准可溯。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6）土壤调查</w:t>
            </w:r>
          </w:p>
          <w:p>
            <w:pPr>
              <w:pStyle w:val="null3"/>
              <w:ind w:firstLine="480"/>
              <w:jc w:val="left"/>
            </w:pPr>
            <w:r>
              <w:rPr>
                <w:rFonts w:ascii="仿宋_GB2312" w:hAnsi="仿宋_GB2312" w:cs="仿宋_GB2312" w:eastAsia="仿宋_GB2312"/>
                <w:sz w:val="24"/>
              </w:rPr>
              <w:t>1）样本布设与采样：按植物确定样本数，采样点代表总体，在植被样方内保持原真。采样深度达或略超表层泥炭厚度，分 0—30cm、 30—100cm 分层取样，＞100cm 可再细分。用定容土钻等工具，每指标随机取≥3 个土（水）样，石、根杂物样重取，黏粒和有机碳样混匀装袋（0.5—1.0kg），容重样测总鲜重及容积后留同样质量，分解度用剩余样或单取，计算水溶性有机碳等指标。</w:t>
            </w:r>
          </w:p>
          <w:p>
            <w:pPr>
              <w:pStyle w:val="null3"/>
              <w:ind w:firstLine="480"/>
              <w:jc w:val="left"/>
            </w:pPr>
            <w:r>
              <w:rPr>
                <w:rFonts w:ascii="仿宋_GB2312" w:hAnsi="仿宋_GB2312" w:cs="仿宋_GB2312" w:eastAsia="仿宋_GB2312"/>
                <w:sz w:val="24"/>
              </w:rPr>
              <w:t>2）指标测定与计算：黏粒含量用激光粒度仪测试，分解度现场分三级，有机碳含量测定后折算，容重测干重，pH 可现场或实验室测定，饱和蓄水量有积水时与容重同测、无积水按 NY/T3678 测定。最终计算土壤容重等三项核心参数。</w:t>
            </w:r>
          </w:p>
          <w:p>
            <w:pPr>
              <w:pStyle w:val="null3"/>
              <w:ind w:firstLine="480"/>
              <w:jc w:val="left"/>
            </w:pPr>
            <w:r>
              <w:rPr>
                <w:rFonts w:ascii="仿宋_GB2312" w:hAnsi="仿宋_GB2312" w:cs="仿宋_GB2312" w:eastAsia="仿宋_GB2312"/>
                <w:sz w:val="24"/>
              </w:rPr>
              <w:t>3）样品库建立：生物量和土壤样品采集后，贮存按 NY/T1121.1规定，分类固定存放，建立样品库。</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7）统计汇总</w:t>
            </w:r>
          </w:p>
          <w:p>
            <w:pPr>
              <w:pStyle w:val="null3"/>
              <w:ind w:firstLine="480"/>
              <w:jc w:val="left"/>
            </w:pPr>
            <w:r>
              <w:rPr>
                <w:rFonts w:ascii="仿宋_GB2312" w:hAnsi="仿宋_GB2312" w:cs="仿宋_GB2312" w:eastAsia="仿宋_GB2312"/>
                <w:sz w:val="24"/>
              </w:rPr>
              <w:t>1）建立数据库，以泥炭沼泽图斑为基本单元统一建库结构，图形数据用shp 格式存储、属性数据用dbf 格式管理，纳入斑块编码、坐标等全部调查与测算结果，每个斑块形成完整记录，实现图形与属性一体化管理。</w:t>
            </w:r>
          </w:p>
          <w:p>
            <w:pPr>
              <w:pStyle w:val="null3"/>
              <w:ind w:firstLine="480"/>
              <w:jc w:val="left"/>
            </w:pPr>
            <w:r>
              <w:rPr>
                <w:rFonts w:ascii="仿宋_GB2312" w:hAnsi="仿宋_GB2312" w:cs="仿宋_GB2312" w:eastAsia="仿宋_GB2312"/>
                <w:sz w:val="24"/>
              </w:rPr>
              <w:t>2）逐级汇总，按样方→群系→斑块层级，依次统计各群系面积等数据，并对土壤容重等进行分类汇总，形成空间数据库及管理系统最终成果，为后续保护、修复和碳汇能力提供权威数据支撑。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8）质量控制</w:t>
            </w:r>
          </w:p>
          <w:p>
            <w:pPr>
              <w:pStyle w:val="null3"/>
              <w:ind w:firstLine="480"/>
              <w:jc w:val="left"/>
            </w:pPr>
            <w:r>
              <w:rPr>
                <w:rFonts w:ascii="仿宋_GB2312" w:hAnsi="仿宋_GB2312" w:cs="仿宋_GB2312" w:eastAsia="仿宋_GB2312"/>
                <w:sz w:val="24"/>
              </w:rPr>
              <w:t>1）全过程留痕与数据溯源，调查前制定质量控制方案，对指标、方法、成果设计措施；指标数据记录获取方法，仪器测定登记名称型号，文献数据与原文一致并注明出处，表格记录整洁、坐标可核验；各环节留痕照片 2—3 张，每图斑保存含工作人员远景和全景照2—3 张，确保过程可追溯。</w:t>
            </w:r>
          </w:p>
          <w:p>
            <w:pPr>
              <w:pStyle w:val="null3"/>
              <w:ind w:firstLine="480"/>
              <w:jc w:val="left"/>
            </w:pPr>
            <w:r>
              <w:rPr>
                <w:rFonts w:ascii="仿宋_GB2312" w:hAnsi="仿宋_GB2312" w:cs="仿宋_GB2312" w:eastAsia="仿宋_GB2312"/>
                <w:sz w:val="24"/>
              </w:rPr>
              <w:t>2）分级检查与整改验收，准备和内业全数检查，外业 10%— 20%（不少于 10 块）随机抽检、现场核验，缺漏项返工、不合格项整改；最终提交报告、附表、附图、照片及数据库系统，查看样品库，通过专家验收后成果归档。</w:t>
            </w:r>
          </w:p>
          <w:p>
            <w:pPr>
              <w:pStyle w:val="null3"/>
              <w:ind w:firstLine="480"/>
              <w:jc w:val="left"/>
            </w:pPr>
            <w:r>
              <w:rPr>
                <w:rFonts w:ascii="仿宋_GB2312" w:hAnsi="仿宋_GB2312" w:cs="仿宋_GB2312" w:eastAsia="仿宋_GB2312"/>
                <w:sz w:val="24"/>
              </w:rPr>
              <w:t>5.调查成果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1）统计材料</w:t>
            </w:r>
          </w:p>
          <w:p>
            <w:pPr>
              <w:pStyle w:val="null3"/>
              <w:ind w:firstLine="480"/>
              <w:jc w:val="left"/>
            </w:pPr>
            <w:r>
              <w:rPr>
                <w:rFonts w:ascii="仿宋_GB2312" w:hAnsi="仿宋_GB2312" w:cs="仿宋_GB2312" w:eastAsia="仿宋_GB2312"/>
                <w:sz w:val="24"/>
              </w:rPr>
              <w:t>四川若尔盖湿地国家级自然保护区泥炭沼泽斑块调查汇总及光盘数据、其它各种汇总统计报表及光盘数据。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2）书面材料</w:t>
            </w:r>
          </w:p>
          <w:p>
            <w:pPr>
              <w:pStyle w:val="null3"/>
              <w:ind w:firstLine="480"/>
              <w:jc w:val="left"/>
            </w:pPr>
            <w:r>
              <w:rPr>
                <w:rFonts w:ascii="仿宋_GB2312" w:hAnsi="仿宋_GB2312" w:cs="仿宋_GB2312" w:eastAsia="仿宋_GB2312"/>
                <w:sz w:val="24"/>
              </w:rPr>
              <w:t>《四川若尔盖湿地国家级自然保护区泥炭沼泽碳库调查报告》并通过专家评审。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3）图件材料</w:t>
            </w:r>
          </w:p>
          <w:p>
            <w:pPr>
              <w:pStyle w:val="null3"/>
              <w:ind w:firstLine="480"/>
              <w:jc w:val="left"/>
            </w:pPr>
            <w:r>
              <w:rPr>
                <w:rFonts w:ascii="仿宋_GB2312" w:hAnsi="仿宋_GB2312" w:cs="仿宋_GB2312" w:eastAsia="仿宋_GB2312"/>
                <w:sz w:val="24"/>
              </w:rPr>
              <w:t>四川若尔盖湿地国家级自然保护区泥炭沼泽位置图、泥炭沼泽碳库分布图等。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rPr>
              <w:t>1.供应商针对本项目提供的服务方案至少包含：①任务来源；②调查技术规范及标准；③人员安排及分工组织；④前期准备；⑤现场调查方案；⑥数据收集与记录；⑦数据审核及汇总；⑧报告编制及报送方案；⑨后勤保障方案。</w:t>
            </w:r>
            <w:r>
              <w:br/>
            </w:r>
            <w:r>
              <w:rPr>
                <w:rFonts w:ascii="仿宋_GB2312" w:hAnsi="仿宋_GB2312" w:cs="仿宋_GB2312" w:eastAsia="仿宋_GB2312"/>
              </w:rPr>
              <w:t xml:space="preserve"> 2.供应商针对本项目提供的质量保障方案至少包含：①质量控制目标；②质量控制人员安排；③质量控制体系；④数据归档及质量控制措施；⑤样品保障措施；⑥报告审核方案。</w:t>
            </w:r>
            <w:r>
              <w:br/>
            </w:r>
            <w:r>
              <w:rPr>
                <w:rFonts w:ascii="仿宋_GB2312" w:hAnsi="仿宋_GB2312" w:cs="仿宋_GB2312" w:eastAsia="仿宋_GB2312"/>
              </w:rPr>
              <w:t xml:space="preserve"> 3.供应商针对本项目提供的安全保障及应急预案至少包含：①安全保障措施；②应对极端天气措施；③后续服务补充方案。</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履约经验</w:t>
            </w:r>
          </w:p>
        </w:tc>
        <w:tc>
          <w:tcPr>
            <w:tcW w:type="dxa" w:w="5814"/>
          </w:tcPr>
          <w:p>
            <w:pPr>
              <w:pStyle w:val="null3"/>
              <w:jc w:val="left"/>
            </w:pPr>
            <w:r>
              <w:rPr>
                <w:rFonts w:ascii="仿宋_GB2312" w:hAnsi="仿宋_GB2312" w:cs="仿宋_GB2312" w:eastAsia="仿宋_GB2312"/>
              </w:rPr>
              <w:t>供应商应提供类似项目业绩以证明其履约经验。</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服务团队</w:t>
            </w:r>
          </w:p>
        </w:tc>
        <w:tc>
          <w:tcPr>
            <w:tcW w:type="dxa" w:w="5814"/>
          </w:tcPr>
          <w:p>
            <w:pPr>
              <w:pStyle w:val="null3"/>
              <w:jc w:val="left"/>
            </w:pPr>
            <w:r>
              <w:rPr>
                <w:rFonts w:ascii="仿宋_GB2312" w:hAnsi="仿宋_GB2312" w:cs="仿宋_GB2312" w:eastAsia="仿宋_GB2312"/>
              </w:rPr>
              <w:t>供应商应针对本项目配备相关的服务团队成员。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专项调查监测周期2年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采购人指定地点（四川若尔盖湿地国家级自然保护区）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采购人将严格按照《财政部关于进一步加强政府采购需求和履约验收管理的指导意见》(财库〔2016〕205号)的要求、采购文件、响应文件承诺的要求进行验收。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1、合同签订后，达到付款条件起20日内，支付合同总金额的30.00%</w:t>
            </w:r>
          </w:p>
          <w:p>
            <w:pPr>
              <w:pStyle w:val="null3"/>
              <w:jc w:val="left"/>
            </w:pPr>
            <w:r>
              <w:rPr>
                <w:rFonts w:ascii="仿宋_GB2312" w:hAnsi="仿宋_GB2312" w:cs="仿宋_GB2312" w:eastAsia="仿宋_GB2312"/>
              </w:rPr>
              <w:t>2、项目完成出具初步报告后，达到付款条件起20日内，支付合同总金额的40.00%</w:t>
            </w:r>
          </w:p>
          <w:p>
            <w:pPr>
              <w:pStyle w:val="null3"/>
              <w:jc w:val="left"/>
            </w:pPr>
            <w:r>
              <w:rPr>
                <w:rFonts w:ascii="仿宋_GB2312" w:hAnsi="仿宋_GB2312" w:cs="仿宋_GB2312" w:eastAsia="仿宋_GB2312"/>
              </w:rPr>
              <w:t>3、报告通过专家评审并通过验收后，达到付款条件起20日内，支付合同总金额的30.00%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以上技术服务要求，如遇新政策或新国家行业标准的，统一按新政策及标准执行。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技术要求、服务要求的所有内容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政府采购合同</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并提供以下证明材料：（1）供应商若为企业法人：提供“统一社会信用代码营业执照”；未换证的提供“营业执照、税务登记证、组织机构代码证或三证合一的营业执 照”； （2）若为事业法人：提供“统一社会信用代码法人登记证书”； 未换证的提交“事业法人登记证书、组织机构代码证”；（3）若为其他 组织：提供“对应主管部门颁发的准许执业证明文件或营业执照”； （4）若为自然人：提供“身份证明材料”。</w:t>
            </w:r>
          </w:p>
        </w:tc>
        <w:tc>
          <w:tcPr>
            <w:tcW w:type="dxa" w:w="1661"/>
          </w:tcPr>
          <w:p>
            <w:pPr>
              <w:pStyle w:val="null3"/>
              <w:jc w:val="left"/>
            </w:pPr>
            <w:r>
              <w:rPr>
                <w:rFonts w:ascii="仿宋_GB2312" w:hAnsi="仿宋_GB2312" w:cs="仿宋_GB2312" w:eastAsia="仿宋_GB2312"/>
              </w:rPr>
              <w:t>投标（响应）函,供应商应当提供的资格、资质性及其他类似效力要求的相关证明材料.docx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磋商文件实质性要求</w:t>
            </w:r>
          </w:p>
        </w:tc>
        <w:tc>
          <w:tcPr>
            <w:tcW w:type="dxa" w:w="3322"/>
          </w:tcPr>
          <w:p>
            <w:pPr>
              <w:pStyle w:val="null3"/>
              <w:jc w:val="left"/>
            </w:pPr>
            <w:r>
              <w:rPr>
                <w:rFonts w:ascii="仿宋_GB2312" w:hAnsi="仿宋_GB2312" w:cs="仿宋_GB2312" w:eastAsia="仿宋_GB2312"/>
              </w:rPr>
              <w:t>磋商文件实质性要求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详见采购文件要求</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响应文件符合性审查部分签章</w:t>
            </w:r>
          </w:p>
        </w:tc>
        <w:tc>
          <w:tcPr>
            <w:tcW w:type="dxa" w:w="3322"/>
          </w:tcPr>
          <w:p>
            <w:pPr>
              <w:pStyle w:val="null3"/>
              <w:jc w:val="left"/>
            </w:pPr>
            <w:r>
              <w:rPr>
                <w:rFonts w:ascii="仿宋_GB2312" w:hAnsi="仿宋_GB2312" w:cs="仿宋_GB2312" w:eastAsia="仿宋_GB2312"/>
              </w:rPr>
              <w:t>响应文件符合性审查部分签章</w:t>
            </w:r>
          </w:p>
        </w:tc>
        <w:tc>
          <w:tcPr>
            <w:tcW w:type="dxa" w:w="1661"/>
          </w:tcPr>
          <w:p>
            <w:pPr>
              <w:pStyle w:val="null3"/>
              <w:jc w:val="left"/>
            </w:pPr>
            <w:r>
              <w:rPr>
                <w:rFonts w:ascii="仿宋_GB2312" w:hAnsi="仿宋_GB2312" w:cs="仿宋_GB2312" w:eastAsia="仿宋_GB2312"/>
              </w:rPr>
              <w:t>响应文件封面,满足采购文件实质性要求和评分的证明材料.docx,报价表,投标（响应）函,供应商应当提供的资格、资质性及其他类似效力要求的相关证明材料.docx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服务方案、质量保障方案、安全保障及应急预案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包含：①任务来源；②调查技术规范及标准；③人员安排及分工组织；④前期准备；⑤现场调查方案；⑥数据收集与记录；⑦数据审核及汇总；⑧报告编制及报送方案；⑨后勤保障方案；以上内容详细、完整、符合项目实际的得36分；存在漏项的，每有一项扣4分，每有一处内容存在缺陷（缺陷是指:存在项目名称、履约期限描述错误的内容；对项目需求理解存在偏差，实际方案存在相互矛盾，照搬其他项目方案而存在与本项目执行无关的内容；只有简单复制粘贴需求内容而无自己理解或解决方案的描述；方案内容实际操作中不能运用；不满足采购需求中非实质性要求的情形）扣2分，直至该项分数扣完为止，未提供方案不得分。</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提供的质量保障方案包含：①质量控制目标；②质量控制人员安排；③质量控制体系；④数据归档及质量控制措施；⑤样品保障措施；⑥报告审核方案；以上内容详细、完整、符合项目实际的得18分；存在漏项的，每有一项扣3分，每有一处内容存在缺陷（缺陷是指:存在项目名称、履约期限描述错误的内容；对项目需求理解存在偏差，实际方案存在相互矛盾，照搬其他项目方案而存在与本项目执行无关的内容；只有简单复制粘贴需求内容而无自己理解或解决方案的描述；方案内容实际操作中不能运用；不满足采购需求中非实质性要求的情形）扣1.5分，直至该项分数扣完为止，未提供方案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安全保障及应急预案</w:t>
            </w:r>
          </w:p>
        </w:tc>
        <w:tc>
          <w:tcPr>
            <w:tcW w:type="dxa" w:w="2575"/>
          </w:tcPr>
          <w:p>
            <w:pPr>
              <w:pStyle w:val="null3"/>
              <w:jc w:val="left"/>
            </w:pPr>
            <w:r>
              <w:rPr>
                <w:rFonts w:ascii="仿宋_GB2312" w:hAnsi="仿宋_GB2312" w:cs="仿宋_GB2312" w:eastAsia="仿宋_GB2312"/>
              </w:rPr>
              <w:t>根据供应商提供的安全保障及应急预案包含：①安全保障措施；②应对极端天气措施；③后续服务补充方案；以上内容详细、完整、符合项目实际的得6分；存在漏项的，每有一项扣2分，每有一处内容存在缺陷（缺陷是指:存在项目名称、履约期限描述错误的内容；对项目需求理解存在偏差，实际方案存在相互矛盾，照搬其他项目方案而存在与本项目执行无关的内容；只有简单复制粘贴需求内容而无自己理解或解决方案的描述；方案内容实际操作中不能运用；不满足采购需求中非实质性要求的情形）扣1分，直至该项分数扣完为止，未提供方案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供应商自2022年1月1日（含1日）以来承担过类似项目业绩的，每提供一个得3分，最多得6分，未提供不得分。 注：提供单个案例合同或中标（成交通知书）或任务文件复印件并加盖供应商电子签章。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vMerge/>
          </w:tcPr>
          <w:p/>
        </w:tc>
        <w:tc>
          <w:tcPr>
            <w:tcW w:type="dxa" w:w="1661"/>
          </w:tcPr>
          <w:p>
            <w:pPr>
              <w:pStyle w:val="null3"/>
              <w:jc w:val="left"/>
            </w:pPr>
            <w:r>
              <w:rPr>
                <w:rFonts w:ascii="仿宋_GB2312" w:hAnsi="仿宋_GB2312" w:cs="仿宋_GB2312" w:eastAsia="仿宋_GB2312"/>
              </w:rPr>
              <w:t>服务团队配置</w:t>
            </w:r>
          </w:p>
        </w:tc>
        <w:tc>
          <w:tcPr>
            <w:tcW w:type="dxa" w:w="2575"/>
          </w:tcPr>
          <w:p>
            <w:pPr>
              <w:pStyle w:val="null3"/>
              <w:jc w:val="left"/>
            </w:pPr>
            <w:r>
              <w:rPr>
                <w:rFonts w:ascii="仿宋_GB2312" w:hAnsi="仿宋_GB2312" w:cs="仿宋_GB2312" w:eastAsia="仿宋_GB2312"/>
              </w:rPr>
              <w:t>（1）项目负责人（1人）： 具有林学类、生态类、动植物学相关专业中级技术职称得3分；具有林学类、生态类、动植物学专业高级及以上技术职称得6分；本项最多得6分。 （2）技术负责人（1人）： 具有林学类、生态类、动植物学相关专业中级技术职称得3分；具有林学类、生态类、动植物学相关专业高级及以上技术职称得6分；本项最多得6分。 （3）质量负责人（1人）： 具有林学类、生态类、动植物学相关专业中级技术职称得3分；具有林学类、生态类、动植物学相关专业高级及以上技术职称得6分；本项最多得6分。 （4）其他服务团队人员（除项目、技术、质量负责人外）： 具有林学类、生态类、动植物学相关专业中级及以上技术职称得3分；本项最多得6分。 注：①以上人员不得重复使用，重复人员不得分； ②提供对应人员的有效证书复印件和身份证复印件和在职证明材料并加盖供应商电子签章。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满足采购文件实质性要求和评分的证明材料.docx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详见附件：供应商应当提供的资格、资质性及其他类似效力要求的相关证明材料.docx</w:t>
      </w:r>
    </w:p>
    <w:p>
      <w:pPr>
        <w:pStyle w:val="null3"/>
        <w:ind w:firstLine="960"/>
        <w:jc w:val="left"/>
      </w:pPr>
      <w:r>
        <w:rPr>
          <w:rFonts w:ascii="仿宋_GB2312" w:hAnsi="仿宋_GB2312" w:cs="仿宋_GB2312" w:eastAsia="仿宋_GB2312"/>
        </w:rPr>
        <w:t>详见附件：满足采购文件实质性要求和评分的证明材料.docx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