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版本号：N510781202600004220260326001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消控室升级改造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N5107812026000042</w:t>
      </w:r>
    </w:p>
    <w:p>
      <w:pPr>
        <w:pStyle w:val="null3"/>
        <w:jc w:val="left"/>
        <w:outlineLvl w:val="2"/>
      </w:pPr>
      <w:r>
        <w:rPr>
          <w:rFonts w:ascii="仿宋_GB2312" w:hAnsi="仿宋_GB2312" w:cs="仿宋_GB2312" w:eastAsia="仿宋_GB2312"/>
          <w:sz w:val="28"/>
          <w:b/>
        </w:rPr>
        <w:t>江油市人民医院</w:t>
      </w:r>
    </w:p>
    <w:p>
      <w:pPr>
        <w:pStyle w:val="null3"/>
        <w:jc w:val="center"/>
        <w:outlineLvl w:val="2"/>
      </w:pPr>
      <w:r>
        <w:rPr>
          <w:rFonts w:ascii="仿宋_GB2312" w:hAnsi="仿宋_GB2312" w:cs="仿宋_GB2312" w:eastAsia="仿宋_GB2312"/>
          <w:sz w:val="28"/>
          <w:b/>
        </w:rPr>
        <w:t>四川聚丰达工程管理服务有限公司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四川聚丰达工程管理服务有限公司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江油市人民医院</w:t>
      </w:r>
      <w:r>
        <w:rPr>
          <w:rFonts w:ascii="仿宋_GB2312" w:hAnsi="仿宋_GB2312" w:cs="仿宋_GB2312" w:eastAsia="仿宋_GB2312"/>
        </w:rPr>
        <w:t xml:space="preserve"> 委托，拟对 </w:t>
      </w:r>
      <w:r>
        <w:rPr>
          <w:rFonts w:ascii="仿宋_GB2312" w:hAnsi="仿宋_GB2312" w:cs="仿宋_GB2312" w:eastAsia="仿宋_GB2312"/>
        </w:rPr>
        <w:t>消控室升级改造</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N5107812026000042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消控室升级改造</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为新建外产科大楼监控存储扩容。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江油市人民医院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江油市纪念碑街中段30号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0816-3254006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四川聚丰达工程管理服务有限公司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绵阳市高新区石桥铺东路中国科技城跨境电子商务产业园6栋502室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0816-2178328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代理服务费收费标准：参照计价格【2002】1980号文件标准收取，由中标供应商支付（本项目代理服务费以中标金额为计费基准，费率按 1.5% 计取） 收款单位：四川聚丰达工程管理服务有限公司 开户银行：中国工商银行股份有限公司绵阳新华支行 银行账号：2308 4171 0910 0134 755</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江油市人民医院</w:t>
      </w:r>
      <w:r>
        <w:rPr>
          <w:rFonts w:ascii="仿宋_GB2312" w:hAnsi="仿宋_GB2312" w:cs="仿宋_GB2312" w:eastAsia="仿宋_GB2312"/>
        </w:rPr>
        <w:t xml:space="preserve"> 和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江油市人民医院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项目所有建设内容完成安装、调试、培训并投入正常使用，平稳运行4个月，经采购人确认达到使用标准后</w:t>
      </w:r>
      <w:r>
        <w:rPr>
          <w:rFonts w:ascii="仿宋_GB2312" w:hAnsi="仿宋_GB2312" w:cs="仿宋_GB2312" w:eastAsia="仿宋_GB2312"/>
        </w:rPr>
        <w:t xml:space="preserve"> ，达到验收条件起 </w:t>
      </w:r>
      <w:r>
        <w:rPr>
          <w:rFonts w:ascii="仿宋_GB2312" w:hAnsi="仿宋_GB2312" w:cs="仿宋_GB2312" w:eastAsia="仿宋_GB2312"/>
        </w:rPr>
        <w:t>60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双方如对质量要求和技术指标的约定标准有相互抵触或异议的事项，由采购人在行业标准、招标文件与投标文件中对质量要求和技术指标进行比较，以优胜原则确定标准进行验收。如出现争议，在场验收人员无法确定的，委托第三方质检机构进行检测，检测费用由中标供应商垫付，最终验收标准以检测结果为准，如检测合格由采购人承担检测费用，如检测不合格由中标供应商承担。</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按照采购文件中“技术要求”、“服务要求”及中标供应商投标（响应）文件进行验收。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按照采购文件“商务要求”及中标供应商投标（响应）文件进行验收。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供应商与采购人应严格按照《财政部关于进一步加强政府采购需求和履约验收管理的指导意见》（财库〔2016〕205号）以及《绵阳市财政局关于进一步做好政府采购项目履约验收工作的通知》（绵财采〔2021〕15号）文件的规定要求及国家行业主管部门规定的标准、方法和内容、采购文件、中标供应商投标（响应）文件、采购合同约定内容，由采购人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江油市人民医院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联系人：罗玲</w:t>
      </w:r>
    </w:p>
    <w:p>
      <w:pPr>
        <w:pStyle w:val="null3"/>
        <w:jc w:val="left"/>
      </w:pPr>
      <w:r>
        <w:rPr>
          <w:rFonts w:ascii="仿宋_GB2312" w:hAnsi="仿宋_GB2312" w:cs="仿宋_GB2312" w:eastAsia="仿宋_GB2312"/>
        </w:rPr>
        <w:t>联系电话：0816-3254006</w:t>
      </w:r>
    </w:p>
    <w:p>
      <w:pPr>
        <w:pStyle w:val="null3"/>
        <w:jc w:val="left"/>
      </w:pPr>
      <w:r>
        <w:rPr>
          <w:rFonts w:ascii="仿宋_GB2312" w:hAnsi="仿宋_GB2312" w:cs="仿宋_GB2312" w:eastAsia="仿宋_GB2312"/>
        </w:rPr>
        <w:t>地址：江油市纪念碑街中段30号</w:t>
      </w:r>
    </w:p>
    <w:p>
      <w:pPr>
        <w:pStyle w:val="null3"/>
        <w:jc w:val="left"/>
      </w:pPr>
      <w:r>
        <w:rPr>
          <w:rFonts w:ascii="仿宋_GB2312" w:hAnsi="仿宋_GB2312" w:cs="仿宋_GB2312" w:eastAsia="仿宋_GB2312"/>
        </w:rPr>
        <w:t>邮编：621700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联系人：周莹</w:t>
      </w:r>
    </w:p>
    <w:p>
      <w:pPr>
        <w:pStyle w:val="null3"/>
        <w:jc w:val="left"/>
      </w:pPr>
      <w:r>
        <w:rPr>
          <w:rFonts w:ascii="仿宋_GB2312" w:hAnsi="仿宋_GB2312" w:cs="仿宋_GB2312" w:eastAsia="仿宋_GB2312"/>
        </w:rPr>
        <w:t>联系电话：0816-2178328</w:t>
      </w:r>
    </w:p>
    <w:p>
      <w:pPr>
        <w:pStyle w:val="null3"/>
        <w:jc w:val="left"/>
      </w:pPr>
      <w:r>
        <w:rPr>
          <w:rFonts w:ascii="仿宋_GB2312" w:hAnsi="仿宋_GB2312" w:cs="仿宋_GB2312" w:eastAsia="仿宋_GB2312"/>
        </w:rPr>
        <w:t>地址：绵阳市高新区石桥铺东路中国科技城跨境电子商务产业园6栋502室</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A02010502 磁盘阵列</w:t>
            </w:r>
          </w:p>
        </w:tc>
        <w:tc>
          <w:tcPr>
            <w:tcW w:type="dxa" w:w="821"/>
          </w:tcPr>
          <w:p>
            <w:pPr>
              <w:pStyle w:val="null3"/>
              <w:jc w:val="left"/>
            </w:pPr>
            <w:r>
              <w:rPr>
                <w:rFonts w:ascii="仿宋_GB2312" w:hAnsi="仿宋_GB2312" w:cs="仿宋_GB2312" w:eastAsia="仿宋_GB2312"/>
              </w:rPr>
              <w:t>消控室升级改造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消控室升级改造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A02010502 磁盘阵列</w:t>
            </w:r>
          </w:p>
        </w:tc>
        <w:tc>
          <w:tcPr>
            <w:tcW w:type="dxa" w:w="2492"/>
          </w:tcPr>
          <w:p>
            <w:pPr>
              <w:pStyle w:val="null3"/>
              <w:jc w:val="left"/>
            </w:pPr>
            <w:r>
              <w:rPr>
                <w:rFonts w:ascii="仿宋_GB2312" w:hAnsi="仿宋_GB2312" w:cs="仿宋_GB2312" w:eastAsia="仿宋_GB2312"/>
              </w:rPr>
              <w:t>消控室升级改造</w:t>
            </w:r>
          </w:p>
        </w:tc>
        <w:tc>
          <w:tcPr>
            <w:tcW w:type="dxa" w:w="2492"/>
          </w:tcPr>
          <w:p>
            <w:pPr>
              <w:pStyle w:val="null3"/>
              <w:jc w:val="left"/>
            </w:pPr>
            <w:r>
              <w:rPr>
                <w:rFonts w:ascii="仿宋_GB2312" w:hAnsi="仿宋_GB2312" w:cs="仿宋_GB2312" w:eastAsia="仿宋_GB2312"/>
              </w:rPr>
              <w:t>高性能视频存储设备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标的名称：消控室升级改造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 xml:space="preserve"> 消控室升级改造</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02"/>
              <w:gridCol w:w="376"/>
              <w:gridCol w:w="4296"/>
              <w:gridCol w:w="308"/>
              <w:gridCol w:w="316"/>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4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color w:val="000000"/>
                    </w:rPr>
                    <w:t>技术规格</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平台管理终端</w:t>
                  </w:r>
                </w:p>
              </w:tc>
              <w:tc>
                <w:tcPr>
                  <w:tcW w:type="dxa" w:w="4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1. CPU：配置≥2颗处理器，单处理器物理核心数≥8核，主频≥3.0 GHz，末级缓存容量≥16 MB，线程数≥16线程，支持内存的最高速率≥3200 MHz，通道数≥2，位宽≥64；</w:t>
                  </w:r>
                  <w:r>
                    <w:br/>
                  </w:r>
                  <w:r>
                    <w:rPr>
                      <w:rFonts w:ascii="仿宋_GB2312" w:hAnsi="仿宋_GB2312" w:cs="仿宋_GB2312" w:eastAsia="仿宋_GB2312"/>
                      <w:sz w:val="24"/>
                      <w:color w:val="000000"/>
                    </w:rPr>
                    <w:t>2. 内存：配置≥64G DDR4，≥8根内存插槽；</w:t>
                  </w:r>
                  <w:r>
                    <w:br/>
                  </w:r>
                  <w:r>
                    <w:rPr>
                      <w:rFonts w:ascii="仿宋_GB2312" w:hAnsi="仿宋_GB2312" w:cs="仿宋_GB2312" w:eastAsia="仿宋_GB2312"/>
                      <w:sz w:val="24"/>
                      <w:color w:val="000000"/>
                    </w:rPr>
                    <w:t>3. 硬盘：≥2块1.2T 10K SAS 硬盘（Raid1），前置最大可选支持≥12块3.5寸(兼容2.5寸)热插拔SATA/SAS硬盘，板载最大可选支持≥1个SATA M.2硬盘；</w:t>
                  </w:r>
                  <w:r>
                    <w:br/>
                  </w:r>
                  <w:r>
                    <w:rPr>
                      <w:rFonts w:ascii="仿宋_GB2312" w:hAnsi="仿宋_GB2312" w:cs="仿宋_GB2312" w:eastAsia="仿宋_GB2312"/>
                      <w:sz w:val="24"/>
                      <w:color w:val="000000"/>
                    </w:rPr>
                    <w:t>4. 阵列卡：配置SAS_HBA卡（支持RAID 0/1/10）；</w:t>
                  </w:r>
                  <w:r>
                    <w:br/>
                  </w:r>
                  <w:r>
                    <w:rPr>
                      <w:rFonts w:ascii="仿宋_GB2312" w:hAnsi="仿宋_GB2312" w:cs="仿宋_GB2312" w:eastAsia="仿宋_GB2312"/>
                      <w:sz w:val="24"/>
                      <w:color w:val="000000"/>
                    </w:rPr>
                    <w:t>5. PCIE扩展：支持≥4个标准PCIE插槽；</w:t>
                  </w:r>
                  <w:r>
                    <w:br/>
                  </w:r>
                  <w:r>
                    <w:rPr>
                      <w:rFonts w:ascii="仿宋_GB2312" w:hAnsi="仿宋_GB2312" w:cs="仿宋_GB2312" w:eastAsia="仿宋_GB2312"/>
                      <w:sz w:val="24"/>
                      <w:color w:val="000000"/>
                    </w:rPr>
                    <w:t>6. 网口：2个千兆电口，支持选配10GbE SFP+等多种网络接口；</w:t>
                  </w:r>
                  <w:r>
                    <w:br/>
                  </w:r>
                  <w:r>
                    <w:rPr>
                      <w:rFonts w:ascii="仿宋_GB2312" w:hAnsi="仿宋_GB2312" w:cs="仿宋_GB2312" w:eastAsia="仿宋_GB2312"/>
                      <w:sz w:val="24"/>
                      <w:color w:val="000000"/>
                    </w:rPr>
                    <w:t>7. 其他接口不少于：标配1个IPMI RJ-45管理接口，位于机箱后部；7个USB 3.0接口 4个位于机箱后部，2个位于机箱前部，1个位于机箱内部；2个VGA接口 1个位于机箱前部，1个位于机箱后部；</w:t>
                  </w:r>
                  <w:r>
                    <w:br/>
                  </w:r>
                  <w:r>
                    <w:rPr>
                      <w:rFonts w:ascii="仿宋_GB2312" w:hAnsi="仿宋_GB2312" w:cs="仿宋_GB2312" w:eastAsia="仿宋_GB2312"/>
                      <w:sz w:val="24"/>
                      <w:color w:val="000000"/>
                    </w:rPr>
                    <w:t>8. 电源不低于：配置550W（1+1）高效铂金CRPS冗余电源。</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解码器</w:t>
                  </w:r>
                </w:p>
              </w:tc>
              <w:tc>
                <w:tcPr>
                  <w:tcW w:type="dxa" w:w="4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解码设备采用嵌入式架构，高度≤2U，具有≥12个HDMI 1.4输出接口、≥2个HDMI 1.4输入接口、≥2个千兆网口、≥2个光口；</w:t>
                  </w:r>
                  <w:r>
                    <w:br/>
                  </w:r>
                  <w:r>
                    <w:rPr>
                      <w:rFonts w:ascii="仿宋_GB2312" w:hAnsi="仿宋_GB2312" w:cs="仿宋_GB2312" w:eastAsia="仿宋_GB2312"/>
                      <w:sz w:val="24"/>
                      <w:color w:val="000000"/>
                    </w:rPr>
                    <w:t>2. 输入分辨率支持3840×2160</w:t>
                  </w:r>
                  <w:r>
                    <w:rPr>
                      <w:rFonts w:ascii="仿宋_GB2312" w:hAnsi="仿宋_GB2312" w:cs="仿宋_GB2312" w:eastAsia="仿宋_GB2312"/>
                      <w:sz w:val="24"/>
                      <w:color w:val="000000"/>
                    </w:rPr>
                    <w:t>dpi</w:t>
                  </w:r>
                  <w:r>
                    <w:rPr>
                      <w:rFonts w:ascii="仿宋_GB2312" w:hAnsi="仿宋_GB2312" w:cs="仿宋_GB2312" w:eastAsia="仿宋_GB2312"/>
                      <w:sz w:val="24"/>
                      <w:color w:val="000000"/>
                    </w:rPr>
                    <w:t>，输出分辨率支持</w:t>
                  </w:r>
                  <w:r>
                    <w:rPr>
                      <w:rFonts w:ascii="仿宋_GB2312" w:hAnsi="仿宋_GB2312" w:cs="仿宋_GB2312" w:eastAsia="仿宋_GB2312"/>
                      <w:sz w:val="24"/>
                      <w:color w:val="000000"/>
                    </w:rPr>
                    <w:t>3840×2160</w:t>
                  </w:r>
                  <w:r>
                    <w:rPr>
                      <w:rFonts w:ascii="仿宋_GB2312" w:hAnsi="仿宋_GB2312" w:cs="仿宋_GB2312" w:eastAsia="仿宋_GB2312"/>
                      <w:sz w:val="24"/>
                      <w:color w:val="000000"/>
                    </w:rPr>
                    <w:t>dpi</w:t>
                  </w:r>
                  <w:r>
                    <w:rPr>
                      <w:rFonts w:ascii="仿宋_GB2312" w:hAnsi="仿宋_GB2312" w:cs="仿宋_GB2312" w:eastAsia="仿宋_GB2312"/>
                      <w:sz w:val="24"/>
                      <w:color w:val="000000"/>
                    </w:rPr>
                    <w:t>；支持画面分割、拼接、开窗漫游功能，支持</w:t>
                  </w:r>
                  <w:r>
                    <w:rPr>
                      <w:rFonts w:ascii="仿宋_GB2312" w:hAnsi="仿宋_GB2312" w:cs="仿宋_GB2312" w:eastAsia="仿宋_GB2312"/>
                      <w:sz w:val="24"/>
                      <w:color w:val="000000"/>
                    </w:rPr>
                    <w:t>1、2、4、6、8、9、10、12、16、25、36等画面分割显示，支持将显示窗口在多个显示屏间进行拖动或跨屏显示，支持调节显示窗口大小；</w:t>
                  </w:r>
                  <w:r>
                    <w:br/>
                  </w:r>
                  <w:r>
                    <w:rPr>
                      <w:rFonts w:ascii="仿宋_GB2312" w:hAnsi="仿宋_GB2312" w:cs="仿宋_GB2312" w:eastAsia="仿宋_GB2312"/>
                      <w:sz w:val="24"/>
                      <w:color w:val="000000"/>
                    </w:rPr>
                    <w:t>3. 支持ONVIF、GB28181协议接入设备，支持RTP\RTSP协议进行预览；支持H.265、H.264、MPEG4、MJPEG等视频编码格式，支持PS、TS、ES、RTP等主流封装格式，支持子码流及主码流切换；</w:t>
                  </w:r>
                  <w:r>
                    <w:br/>
                  </w:r>
                  <w:r>
                    <w:rPr>
                      <w:rFonts w:ascii="仿宋_GB2312" w:hAnsi="仿宋_GB2312" w:cs="仿宋_GB2312" w:eastAsia="仿宋_GB2312"/>
                      <w:sz w:val="24"/>
                      <w:color w:val="000000"/>
                    </w:rPr>
                    <w:t>4. 解码能力支持或≥24路4096×2160（25fps）、或≥96路1920×1080（30fps）、或≥192路1280×720（30fps）分辨率的H.264、H.265、MPEG4视频图像解码输出；</w:t>
                  </w:r>
                  <w:r>
                    <w:br/>
                  </w:r>
                  <w:r>
                    <w:rPr>
                      <w:rFonts w:ascii="仿宋_GB2312" w:hAnsi="仿宋_GB2312" w:cs="仿宋_GB2312" w:eastAsia="仿宋_GB2312"/>
                      <w:sz w:val="24"/>
                      <w:color w:val="000000"/>
                    </w:rPr>
                    <w:t>5. 支持通过设备抓屏软件，将远程电脑桌面实时解码上墙显示，画面帧率应支持≥30fps，支持同时抓取≥8个任务上墙、≥8个4K信号，不消耗CPU性能，支持在电视墙进行8画面分割同时显示，支持对桌面进行整屏、单窗口、自定义区域抓屏上墙；</w:t>
                  </w:r>
                  <w:r>
                    <w:br/>
                  </w:r>
                  <w:r>
                    <w:rPr>
                      <w:rFonts w:ascii="仿宋_GB2312" w:hAnsi="仿宋_GB2312" w:cs="仿宋_GB2312" w:eastAsia="仿宋_GB2312"/>
                      <w:sz w:val="24"/>
                      <w:color w:val="000000"/>
                    </w:rPr>
                    <w:t>▲ 6. 支持对输入的视频画面进行90°、180°、270°旋转显示，支持回字形拼接，支持对解码的IPC输出的画面进行旋转，支持90°、180°左旋和90°、180°右旋；</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7. 支持直连前端人脸检测设备，支持实时展示人脸检测结果，包括口罩、眼镜、年龄、性别、表情等属性信息，属性可直接叠加画面显示；</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 支持接入智能行为分析摄像机，支持解码显示智能行为分析信息，包括越界入侵、区域入侵、移动侦测、起身离开等，并上传报警信息；</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 支持PC软件客户端、WEB 客户端、平台客户端、可视化触控平台等方式访问管理；</w:t>
                  </w:r>
                  <w:r>
                    <w:br/>
                  </w:r>
                  <w:r>
                    <w:rPr>
                      <w:rFonts w:ascii="仿宋_GB2312" w:hAnsi="仿宋_GB2312" w:cs="仿宋_GB2312" w:eastAsia="仿宋_GB2312"/>
                      <w:sz w:val="24"/>
                      <w:color w:val="000000"/>
                    </w:rPr>
                    <w:t>▲ 10. 支持通过平台/客户端界面查看屏幕运维信息，包括使用时长、序列号、温度、亮度、显示模式日支持下发配置屏幕参数；</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11. 支持通过自动识别屏幕的行列号信息，并能根据行列号信息，自动生成对应的电视墙规模和绑定输出口关系；</w:t>
                  </w:r>
                  <w:r>
                    <w:br/>
                  </w:r>
                  <w:r>
                    <w:rPr>
                      <w:rFonts w:ascii="仿宋_GB2312" w:hAnsi="仿宋_GB2312" w:cs="仿宋_GB2312" w:eastAsia="仿宋_GB2312"/>
                      <w:sz w:val="24"/>
                      <w:color w:val="000000"/>
                    </w:rPr>
                    <w:t>▲ 12. 支持自动检测输入源的信号类型，根据信号源类型和显示位置，自动配置信号源所在屏幕的显示场景模式；</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 13. 支持远程开关机控制，实现拼接墙整墙的开关机、定时开关机操作，支持远程控制拼接墙整墙或单屏亮度调节、图像模式配置或系统参数展示；</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 14. 产品符合GB/T 28181-2022</w:t>
                  </w:r>
                  <w:r>
                    <w:rPr>
                      <w:rFonts w:ascii="仿宋_GB2312" w:hAnsi="仿宋_GB2312" w:cs="仿宋_GB2312" w:eastAsia="仿宋_GB2312"/>
                      <w:sz w:val="24"/>
                      <w:color w:val="000000"/>
                    </w:rPr>
                    <w:t>公共安全视频监控联网系统信息传输、交换、控制技术要求。</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高性能视频存储设备</w:t>
                  </w:r>
                </w:p>
              </w:tc>
              <w:tc>
                <w:tcPr>
                  <w:tcW w:type="dxa" w:w="4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1. 网络存储设备，可接入硬盘≥48块，不低于64位处理器</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GB内存，≥2个USB3.0接口，≥1个VGA接口，不低于1200W、1+1冗余电源；</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41块16TB企业级</w:t>
                  </w:r>
                  <w:r>
                    <w:rPr>
                      <w:rFonts w:ascii="仿宋_GB2312" w:hAnsi="仿宋_GB2312" w:cs="仿宋_GB2312" w:eastAsia="仿宋_GB2312"/>
                      <w:sz w:val="24"/>
                      <w:color w:val="000000"/>
                    </w:rPr>
                    <w:t>硬盘，容量需满足已建设的</w:t>
                  </w:r>
                  <w:r>
                    <w:rPr>
                      <w:rFonts w:ascii="仿宋_GB2312" w:hAnsi="仿宋_GB2312" w:cs="仿宋_GB2312" w:eastAsia="仿宋_GB2312"/>
                      <w:sz w:val="24"/>
                      <w:color w:val="000000"/>
                    </w:rPr>
                    <w:t>500路</w:t>
                  </w:r>
                  <w:r>
                    <w:rPr>
                      <w:rFonts w:ascii="仿宋_GB2312" w:hAnsi="仿宋_GB2312" w:cs="仿宋_GB2312" w:eastAsia="仿宋_GB2312"/>
                      <w:sz w:val="24"/>
                      <w:color w:val="000000"/>
                    </w:rPr>
                    <w:t>监控存储</w:t>
                  </w:r>
                  <w:r>
                    <w:rPr>
                      <w:rFonts w:ascii="仿宋_GB2312" w:hAnsi="仿宋_GB2312" w:cs="仿宋_GB2312" w:eastAsia="仿宋_GB2312"/>
                      <w:sz w:val="24"/>
                      <w:color w:val="000000"/>
                    </w:rPr>
                    <w:t>90天以上</w:t>
                  </w:r>
                  <w:r>
                    <w:rPr>
                      <w:rFonts w:ascii="仿宋_GB2312" w:hAnsi="仿宋_GB2312" w:cs="仿宋_GB2312" w:eastAsia="仿宋_GB2312"/>
                      <w:sz w:val="24"/>
                      <w:b/>
                      <w:color w:val="000000"/>
                    </w:rPr>
                    <w:t>（供应商须单独提供承诺函，并加盖供应商单位公章。）</w:t>
                  </w:r>
                  <w:r>
                    <w:br/>
                  </w:r>
                  <w:r>
                    <w:rPr>
                      <w:rFonts w:ascii="仿宋_GB2312" w:hAnsi="仿宋_GB2312" w:cs="仿宋_GB2312" w:eastAsia="仿宋_GB2312"/>
                      <w:sz w:val="24"/>
                      <w:color w:val="000000"/>
                    </w:rPr>
                    <w:t>2. 支持RAID0、1、5、6等RAID模式，支持全局、局部等多种热备选择，支持坏盘自动重构；支持当磁盘处于非工作状态下，进入休眠状态，进行读写操作时可被唤醒，增加磁盘寿命；支持智能风扇调速，支持智能CPU调频等功能，</w:t>
                  </w:r>
                  <w:r>
                    <w:rPr>
                      <w:rFonts w:ascii="仿宋_GB2312" w:hAnsi="仿宋_GB2312" w:cs="仿宋_GB2312" w:eastAsia="仿宋_GB2312"/>
                      <w:sz w:val="24"/>
                      <w:color w:val="000000"/>
                    </w:rPr>
                    <w:t>满足</w:t>
                  </w:r>
                  <w:r>
                    <w:rPr>
                      <w:rFonts w:ascii="仿宋_GB2312" w:hAnsi="仿宋_GB2312" w:cs="仿宋_GB2312" w:eastAsia="仿宋_GB2312"/>
                      <w:sz w:val="24"/>
                      <w:color w:val="000000"/>
                    </w:rPr>
                    <w:t>500路监控存储，</w:t>
                  </w:r>
                  <w:r>
                    <w:rPr>
                      <w:rFonts w:ascii="仿宋_GB2312" w:hAnsi="仿宋_GB2312" w:cs="仿宋_GB2312" w:eastAsia="仿宋_GB2312"/>
                      <w:sz w:val="24"/>
                      <w:color w:val="000000"/>
                    </w:rPr>
                    <w:t>90天以上</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 接入带宽≥1500Mbps，支持对视音频、图片、智能数据（智能行为分析录像）流进行混合直存，无须存储服务器和图片服务器的参与，平台服务器宕机时，存储业务正常；</w:t>
                  </w:r>
                  <w:r>
                    <w:br/>
                  </w:r>
                  <w:r>
                    <w:rPr>
                      <w:rFonts w:ascii="仿宋_GB2312" w:hAnsi="仿宋_GB2312" w:cs="仿宋_GB2312" w:eastAsia="仿宋_GB2312"/>
                      <w:sz w:val="24"/>
                      <w:color w:val="000000"/>
                    </w:rPr>
                    <w:t>4. 设备具备≥4个2.5G数据网口，≥1个HDMI接口，具有定位灯、报警灯、网络状态灯、系统盘状态灯、硬盘状态灯，机箱具备防尘滤网，采用双立柱防震设计，设备左右侧面各有不少于2个抬手，具备前面板抽拉标签卡；</w:t>
                  </w:r>
                  <w:r>
                    <w:br/>
                  </w:r>
                  <w:r>
                    <w:rPr>
                      <w:rFonts w:ascii="仿宋_GB2312" w:hAnsi="仿宋_GB2312" w:cs="仿宋_GB2312" w:eastAsia="仿宋_GB2312"/>
                      <w:sz w:val="24"/>
                      <w:color w:val="000000"/>
                    </w:rPr>
                    <w:t>5. 每个控制单元支持双系统应用，当主系统出现故障时，备用系统可接管工作，外置系统盘支持RAID1模式，系统盘支持热插拔，支持系统盘为独立的2块HDD（SATA、SAS）或SSD盘，组成RAID1；</w:t>
                  </w:r>
                  <w:r>
                    <w:br/>
                  </w:r>
                  <w:r>
                    <w:rPr>
                      <w:rFonts w:ascii="仿宋_GB2312" w:hAnsi="仿宋_GB2312" w:cs="仿宋_GB2312" w:eastAsia="仿宋_GB2312"/>
                      <w:sz w:val="24"/>
                      <w:color w:val="000000"/>
                    </w:rPr>
                    <w:t>▲ 6. 支持病毒感知与评估，针对被攻击的主机提供日志和病毒样本，内置病毒检测引擎和不少于百万级病毒特征库；</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 7. 支持指定归档路径，实时流需支持同时录像和归档，归档的数据需支持使用通用播放器播放，归档路径需支持多级目录管理模式及配置不同权限，需支持视频、图片、文件归档；</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 8. 支持双激活模式下同时录像，组网后需以唯一IP接入，当一台设备出现异常后另一台设备需支持接管且录像不丢失、业务不中断，当异常设备故障恢复之后，数据需支持同步回迁；</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 9. 支持监管并同步实时展示存储主机状态，包括但不限于系统、硬盘、环控、报警、保养灯，需支持展示和统计主机的在离线状态，对于在线设备需支持同步显示和统计连接异常、警告，需支持主机状态报告的管理和下载，支持手动下载及策略下载，需支持配置包括但不限于每天、每三天、每周、每月的下载周期；</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 支持向导型快速配置，在配置前期对主机进行包括但不限于物理环境、域环境、平台环境扫描并提示包括但不限于硬盘数量异常、docker服务异常、镜像异常情况。</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综合安防管理平台</w:t>
                  </w:r>
                </w:p>
              </w:tc>
              <w:tc>
                <w:tcPr>
                  <w:tcW w:type="dxa" w:w="4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最大支持监控点管理容量≥100000路，最大支持用户≥10000个，支持并发在线用户≥1000个；本次项目配置授权路数要求：监控≥1500路；</w:t>
                  </w:r>
                  <w:r>
                    <w:br/>
                  </w:r>
                  <w:r>
                    <w:rPr>
                      <w:rFonts w:ascii="仿宋_GB2312" w:hAnsi="仿宋_GB2312" w:cs="仿宋_GB2312" w:eastAsia="仿宋_GB2312"/>
                      <w:sz w:val="24"/>
                      <w:color w:val="000000"/>
                    </w:rPr>
                    <w:t>2. 支持用户密码有效时间段进行设置管理，支持用户IP绑定，指定IP地址用户才能登陆平台；支持BS、CS客户端以及IOS、Android移动端应用；</w:t>
                  </w:r>
                  <w:r>
                    <w:br/>
                  </w:r>
                  <w:r>
                    <w:rPr>
                      <w:rFonts w:ascii="仿宋_GB2312" w:hAnsi="仿宋_GB2312" w:cs="仿宋_GB2312" w:eastAsia="仿宋_GB2312"/>
                      <w:sz w:val="24"/>
                      <w:color w:val="000000"/>
                    </w:rPr>
                    <w:t>3. 支持自动在1/4/6/7/9/16/24画面分隔模式间进行监控点轮巡预览，轮巡时间可设置，支持全屏显示，预览画面支持监控点信息、语音对讲、开关声音、云台与镜头控制、抓图、多图抓拍等；</w:t>
                  </w:r>
                  <w:r>
                    <w:br/>
                  </w:r>
                  <w:r>
                    <w:rPr>
                      <w:rFonts w:ascii="仿宋_GB2312" w:hAnsi="仿宋_GB2312" w:cs="仿宋_GB2312" w:eastAsia="仿宋_GB2312"/>
                      <w:sz w:val="24"/>
                      <w:color w:val="000000"/>
                    </w:rPr>
                    <w:t>▲4. 支持业务应用组件化，各组件独立运行维护、独立安装或卸载，支持部署组件（服务）到服务器集群，支持集群管理，支持系统分布式、负载均衡等技术，支持多级架构进行系统平台规</w:t>
                  </w:r>
                  <w:r>
                    <w:rPr>
                      <w:rFonts w:ascii="仿宋_GB2312" w:hAnsi="仿宋_GB2312" w:cs="仿宋_GB2312" w:eastAsia="仿宋_GB2312"/>
                      <w:sz w:val="24"/>
                      <w:color w:val="000000"/>
                    </w:rPr>
                    <w:t>模扩展，支持开放</w:t>
                  </w:r>
                  <w:r>
                    <w:rPr>
                      <w:rFonts w:ascii="仿宋_GB2312" w:hAnsi="仿宋_GB2312" w:cs="仿宋_GB2312" w:eastAsia="仿宋_GB2312"/>
                      <w:sz w:val="24"/>
                      <w:color w:val="000000"/>
                    </w:rPr>
                    <w:t>API接口给第三方系统对接；</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▲5. 支持根据用户使用习惯自定义配置快捷功能入口，支持首页投放大屏展示，支持不少于最近七日的用户活跃数统计，支持对系统中的分组、服务器、组件等统计概览、查看，支持统计服务器在线率及各服务器在线详情；</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▲6. 支持不同色彩展示运行告警状态，支持告警统计、概览、处理，支持告警记录查看、查询，支持告警单条、批量处理；支持系统最近7天每日告警数统计，支持评分量化系统监控指数，显示系统运行状态；</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▲7. 支持系统内各节点进行查看、增加、删除、修改，展示、查找；支持对系统内所有服务器进行监控，包括名称、IP地址、状态、未处理告警数、CPU使用率、内存使用率、磁盘容量、主机代理版等；支持对系统内所有组件信息进行监控，组件信息包含：组件名称、未处理告警数、所属服务器、最近操作时间、授权状态、维保期限、使用期限等；</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▲8. 支持对服务的参数配置进行查询、查看、修改、下发，支持告警策略配置启用、查看、修改、设置，支持集群信息查看、添加、删除，支持授权查看管理、导入、移除授权文件；支持在线授权激活、离线授权激活；</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▲9. 支持在预览监控点画面时进行一键上墙、 云台控制、语音对讲，支持视频画面叠加水印，包括视频预览、录像回放、即时回放、录像剪辑、手动录像和录像下载时叠加，支持录像回放和录像下载权限分离，支持为用户分配是否具有录像下载权限；</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▲10. 支持配置级联点位录像计划，支持级联点位抓图计划配置、图片查询和手动抓图，图片查询支持批量下载，支持配置批量下载图片数量上限；</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▲11. 支持接入行为分析服务器，接收行为分析事件并进行联动，行为分析事件包括：穿越警戒线、区域入侵、进入区域、离开区域、徘徊、停车、物品遗留、物品拿取、快速移动、疑似肢体冲突、人群聚集、突然倒地、起身、折线攀高、离岗、剧烈运动、玩手机检测、人数异常检测、声强突变检测；</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▲12. 支持开启自动发现，支持通过交换机设备IP、协议信息发现获取网络中的资源，支持重新发现，支持对发现的资源进行区域绑定，支持查看拓扑页面中的资源告警和线路告警，支持对告警进行处理；</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▲13. 支持对拓扑图进行编辑操作，包括拓扑布局修改、拓扑节点搜索、拓扑路线编辑，支持查看监控点到服务器之间的网络连接和流量情况；</w:t>
                  </w:r>
                  <w:r>
                    <w:rPr>
                      <w:rFonts w:ascii="仿宋_GB2312" w:hAnsi="仿宋_GB2312" w:cs="仿宋_GB2312" w:eastAsia="仿宋_GB2312"/>
                      <w:sz w:val="24"/>
                      <w:b/>
                      <w:color w:val="000000"/>
                    </w:rPr>
                    <w:t>（供应商承诺在中标后签订合同前提供由国家认可的第三方检测机构在认可能力范围内出具的检测报告，针对此项提供单独的承诺函并加盖供应商单位公章，格式自拟）</w:t>
                  </w:r>
                  <w:r>
                    <w:br/>
                  </w:r>
                  <w:r>
                    <w:rPr>
                      <w:rFonts w:ascii="仿宋_GB2312" w:hAnsi="仿宋_GB2312" w:cs="仿宋_GB2312" w:eastAsia="仿宋_GB2312"/>
                      <w:sz w:val="24"/>
                      <w:color w:val="000000"/>
                    </w:rPr>
                    <w:t>14. 支持IPv6网络适配，支持IPv6环境下部署、平台访问和业务应用实现。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系统调试</w:t>
                  </w:r>
                </w:p>
              </w:tc>
              <w:tc>
                <w:tcPr>
                  <w:tcW w:type="dxa" w:w="4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★1.本次建设内容要求与</w:t>
                  </w:r>
                  <w:r>
                    <w:rPr>
                      <w:rFonts w:ascii="仿宋_GB2312" w:hAnsi="仿宋_GB2312" w:cs="仿宋_GB2312" w:eastAsia="仿宋_GB2312"/>
                      <w:sz w:val="24"/>
                      <w:color w:val="000000"/>
                    </w:rPr>
                    <w:t>采购人现有</w:t>
                  </w:r>
                  <w:r>
                    <w:rPr>
                      <w:rFonts w:ascii="仿宋_GB2312" w:hAnsi="仿宋_GB2312" w:cs="仿宋_GB2312" w:eastAsia="仿宋_GB2312"/>
                      <w:sz w:val="24"/>
                      <w:color w:val="000000"/>
                    </w:rPr>
                    <w:t>监控软、硬件平台兼容，各项数据、图像及网络等能无缝对接，</w:t>
                  </w:r>
                  <w:r>
                    <w:rPr>
                      <w:rFonts w:ascii="仿宋_GB2312" w:hAnsi="仿宋_GB2312" w:cs="仿宋_GB2312" w:eastAsia="仿宋_GB2312"/>
                      <w:sz w:val="24"/>
                      <w:color w:val="000000"/>
                    </w:rPr>
                    <w:t>采购人现有</w:t>
                  </w:r>
                  <w:r>
                    <w:rPr>
                      <w:rFonts w:ascii="仿宋_GB2312" w:hAnsi="仿宋_GB2312" w:cs="仿宋_GB2312" w:eastAsia="仿宋_GB2312"/>
                      <w:sz w:val="24"/>
                      <w:color w:val="000000"/>
                    </w:rPr>
                    <w:t>设备品牌为海康威视、汉邦高科、英飞拓等；本次前端合计</w:t>
                  </w:r>
                  <w:r>
                    <w:rPr>
                      <w:rFonts w:ascii="仿宋_GB2312" w:hAnsi="仿宋_GB2312" w:cs="仿宋_GB2312" w:eastAsia="仿宋_GB2312"/>
                      <w:sz w:val="24"/>
                      <w:color w:val="000000"/>
                    </w:rPr>
                    <w:t>500个监控摄像头接入视频管理系统调试，项目实施过程中保证整个监控系统正常、稳定运行，需包含全部实施中涉及到的材料（如光纤跳线、网线等）和辅材,采购人不</w:t>
                  </w:r>
                  <w:r>
                    <w:rPr>
                      <w:rFonts w:ascii="仿宋_GB2312" w:hAnsi="仿宋_GB2312" w:cs="仿宋_GB2312" w:eastAsia="仿宋_GB2312"/>
                      <w:sz w:val="24"/>
                      <w:color w:val="000000"/>
                    </w:rPr>
                    <w:t>再</w:t>
                  </w:r>
                  <w:r>
                    <w:rPr>
                      <w:rFonts w:ascii="仿宋_GB2312" w:hAnsi="仿宋_GB2312" w:cs="仿宋_GB2312" w:eastAsia="仿宋_GB2312"/>
                      <w:sz w:val="24"/>
                      <w:color w:val="000000"/>
                    </w:rPr>
                    <w:t>单独付费</w:t>
                  </w:r>
                  <w:r>
                    <w:rPr>
                      <w:rFonts w:ascii="仿宋_GB2312" w:hAnsi="仿宋_GB2312" w:cs="仿宋_GB2312" w:eastAsia="仿宋_GB2312"/>
                      <w:sz w:val="24"/>
                      <w:color w:val="000000"/>
                    </w:rPr>
                    <w:t>。</w:t>
                  </w:r>
                  <w:r>
                    <w:rPr>
                      <w:rFonts w:ascii="仿宋_GB2312" w:hAnsi="仿宋_GB2312" w:cs="仿宋_GB2312" w:eastAsia="仿宋_GB2312"/>
                      <w:sz w:val="24"/>
                      <w:b/>
                      <w:color w:val="000000"/>
                    </w:rPr>
                    <w:t>（供应商须单独提供承诺函，并加盖供应商单位公章</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ind w:firstLine="420"/>
              <w:jc w:val="left"/>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带</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要求为实质性要求，供应商不满足的投标文件作无效处理；</w:t>
            </w:r>
            <w:r>
              <w:rPr>
                <w:rFonts w:ascii="仿宋_GB2312" w:hAnsi="仿宋_GB2312" w:cs="仿宋_GB2312" w:eastAsia="仿宋_GB2312"/>
                <w:sz w:val="21"/>
                <w:b/>
                <w:color w:val="000000"/>
              </w:rPr>
              <w:t>▲为重要功能参数</w:t>
            </w:r>
          </w:p>
          <w:p>
            <w:pPr>
              <w:pStyle w:val="null3"/>
              <w:ind w:firstLine="482"/>
              <w:jc w:val="left"/>
            </w:pPr>
            <w:r>
              <w:rPr>
                <w:rFonts w:ascii="仿宋_GB2312" w:hAnsi="仿宋_GB2312" w:cs="仿宋_GB2312" w:eastAsia="仿宋_GB2312"/>
                <w:sz w:val="24"/>
                <w:b/>
                <w:color w:val="000000"/>
              </w:rPr>
              <w:t>本项目核心产品：</w:t>
            </w:r>
            <w:r>
              <w:rPr>
                <w:rFonts w:ascii="仿宋_GB2312" w:hAnsi="仿宋_GB2312" w:cs="仿宋_GB2312" w:eastAsia="仿宋_GB2312"/>
                <w:sz w:val="24"/>
                <w:color w:val="000000"/>
              </w:rPr>
              <w:t>高性能视频存储设备</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1、项目所有建设内容完成安装、调试、培训并投入正常使用，平稳运行4个月，经采购人确认达到使用标准通过验收后，达到付款条件起60日内，据实结算说明为支付合同总金额的100%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中标供应商与采购人应严格按照《财政部关于进一步加强政府采购需求和履约验收管理的指导意见》（财库〔2016〕205号）以及《绵阳市财政局关于进一步做好政府采购项目履约验收工作的通知》（绵财采〔2021〕15号）规定、采购文件要求、中标供应商投标文件内容、采购合同约定内容，由采购人组织验收。（2）验收方法：中标供应商提出验收申请之日起30日内组织验收。履约验收工作由采购人负责，中标供应商必须在现场。质量验收合格，双方签署质量验收报告，验收结果不符合合同约定的，应当通知中标供应商限期达到合同约定的要求。给采购人造成损失的，中标供应商应当承担赔偿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次所购产品免费质保期三年，自整体验收通过后开始计算，三年内中标供应商需提供高质、高效的免费线上线下维保服务。（2）在质保期内提供7×24小时技术支持。（3）售后服务提供1小时内响应，2小时内到达现场（含节假日）。</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合同履行期间,若双方发生争议，可协商或由有关部门调解解决，协商或调解不成的，双方均有权在采购人所在地人民法院提请诉讼。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根据本项目编制项目实施方案和售后服务方案（投标人自行响应，具体要求详见评审细则及标准）。2.本项目未专门面向中小企业，若投标人需享受中小企业价格扣除，投标人在填写《中小企业声明函》时需逐项填写名称中序号1-5项产品相关信息，未逐项填写《中小企业声明函》造成的不利后果，由投标人自行承担。3.本项目适用本国产品标准，若投标人需享受本国产品价格评审优惠，投标人在填写《关于符合本国产品标准的声明函》时需逐项填写名称中序号1-5项产品相关信息，未逐项填写《关于符合本国产品标准的声明函》造成的不利后果，由投标人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同时需要提供具有独立承担民事责任能力的证明材料：投标人若为企业法人的，提供具有统一社会信用代码的营业执照；投标人若为事业法人的，提供具有统一社会信用代码的法人登记证书；投标人若为其他组织的，提供对应主管部门颁发的准许执业证明文件或营业执照；投标人若为自然人的，提供身份证明材料；投标人若为银行、保险、石油石化、电力、电信等有行业特殊情况的企业，提供分支机构具有统一社会信用代码的营业执照。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投标人应提交的相关证明材料,法定代表人身份证明、法定代表人授权委托书.docx,供应商基本情况表.docx,投标文件封面,投标（响应）函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采购预算（实质性要求）</w:t>
            </w:r>
          </w:p>
        </w:tc>
        <w:tc>
          <w:tcPr>
            <w:tcW w:type="dxa" w:w="3322"/>
          </w:tcPr>
          <w:p>
            <w:pPr>
              <w:pStyle w:val="null3"/>
              <w:jc w:val="left"/>
            </w:pPr>
            <w:r>
              <w:rPr>
                <w:rFonts w:ascii="仿宋_GB2312" w:hAnsi="仿宋_GB2312" w:cs="仿宋_GB2312" w:eastAsia="仿宋_GB2312"/>
              </w:rPr>
              <w:t>投标人的采购包投标报价高于采购预算的，其投标文件将按无效处理。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最高限价（实质性要求）</w:t>
            </w:r>
          </w:p>
        </w:tc>
        <w:tc>
          <w:tcPr>
            <w:tcW w:type="dxa" w:w="3322"/>
          </w:tcPr>
          <w:p>
            <w:pPr>
              <w:pStyle w:val="null3"/>
              <w:jc w:val="left"/>
            </w:pPr>
            <w:r>
              <w:rPr>
                <w:rFonts w:ascii="仿宋_GB2312" w:hAnsi="仿宋_GB2312" w:cs="仿宋_GB2312" w:eastAsia="仿宋_GB2312"/>
              </w:rPr>
              <w:t>投标人的采购包投标报价高于最高限价的，其投标文件将按无效处理。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投标有效期（实质性要求）</w:t>
            </w:r>
          </w:p>
        </w:tc>
        <w:tc>
          <w:tcPr>
            <w:tcW w:type="dxa" w:w="3322"/>
          </w:tcPr>
          <w:p>
            <w:pPr>
              <w:pStyle w:val="null3"/>
              <w:jc w:val="left"/>
            </w:pPr>
            <w:r>
              <w:rPr>
                <w:rFonts w:ascii="仿宋_GB2312" w:hAnsi="仿宋_GB2312" w:cs="仿宋_GB2312" w:eastAsia="仿宋_GB2312"/>
              </w:rPr>
              <w:t>投标文件未明确投标有效期或者投标有效期小于“投标人须知附表”中投标有效期要求的，其投标文件按无效处理。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第三章 技术、服务及其他要求 中的带“★”的要求（实质性要求）</w:t>
            </w:r>
          </w:p>
        </w:tc>
        <w:tc>
          <w:tcPr>
            <w:tcW w:type="dxa" w:w="3322"/>
          </w:tcPr>
          <w:p>
            <w:pPr>
              <w:pStyle w:val="null3"/>
              <w:jc w:val="left"/>
            </w:pPr>
            <w:r>
              <w:rPr>
                <w:rFonts w:ascii="仿宋_GB2312" w:hAnsi="仿宋_GB2312" w:cs="仿宋_GB2312" w:eastAsia="仿宋_GB2312"/>
              </w:rPr>
              <w:t>1、第三章 技术、服务及其他要求中的带“★”的要求为实质性要求，投标人应当在投标文件中作出响应；带“★”的技术、服务及其他要求要求提供证明材料的，投标人还应当提供相应的证明材料。 2、投标人未在投标文件中对带“★”的技术、服务及其他要求作出响应，或虽作出响应但未按照招标文件的要求提供相应证明材料的或响应情况存在负偏离的，投标文件按无效处理。</w:t>
            </w:r>
          </w:p>
        </w:tc>
        <w:tc>
          <w:tcPr>
            <w:tcW w:type="dxa" w:w="1661"/>
          </w:tcPr>
          <w:p>
            <w:pPr>
              <w:pStyle w:val="null3"/>
              <w:jc w:val="left"/>
            </w:pPr>
            <w:r>
              <w:rPr>
                <w:rFonts w:ascii="仿宋_GB2312" w:hAnsi="仿宋_GB2312" w:cs="仿宋_GB2312" w:eastAsia="仿宋_GB2312"/>
              </w:rPr>
              <w:t>产品技术参数响应表,投标人认为需要提供的其他证明材料.docx,商务应答表.docx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1.投标人对招标文件技术要求的应答根据以下情况进行评分：完全符合招标文件技术要求中软硬件技术要求”的得41分； 2.标注“★”的参数为实质性要求（2项），不满足视为无效投标。 3.标注“▲”为重要参数（19项），每有一项重要参数与采购文件要求有负偏离的，每一项扣1.5分，扣完为止。 4.其他参数为一般性参数（25项），每有一项一般性参数负偏离的，每一项扣0.5分，扣完为止。 备注说明：①参数条款以“技术参数”中序号1.2.3....分别一项；②技术参数中若要求了证明材料的按技术参数中的要求提供；未明确要求提供证明材料的以技术参数响应偏离表中的应答作为评标依据</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对供应商提交的《项目实施方案》进行综合评审。方案内容包括：①货源组织方案；②产品包装及运输方案；③产品质量保障措施；④安全管理体系与措施；⑤项目进度计划及对应的保障措施。供应商提交的方案内容齐全不缺项，内容满足需求的得15分，每有一项内容缺项扣3分，每有一项内容存在不足或存在缺陷扣1.5分，扣完为止。未提供方案不得分。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的要求缺少重要节点、关键细节缺失（如仅有框架或标题、单项内容仅有复制招标内容的要求、涉及内容无重点）；②缺陷具体是指：单项方案中出现套用其他项目方案或内容、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对供应商提交的《售后服务方案》进行综合评审。方案内容包括：①售后人员配备（人员、电话）、②售后服务保障措施（响应时间、维修更换方案、备品备件方案等）、③突发情况应急处理方案、④培训方案。供应商提交的方案内容齐全不缺项，内容满足需求的得10分，每有一项内容缺项扣2.5分，每有一项内容存在不足或存在缺陷扣1.25分，扣完为止。未提供方案不得分。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的要求缺少重要节点、关键细节缺失（如仅有框架或标题、单项内容仅有复制招标内容的要求、涉及内容无重点）；②缺陷具体是指：单项方案中出现套用其他项目方案或内容、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履约能力证明</w:t>
            </w:r>
          </w:p>
        </w:tc>
        <w:tc>
          <w:tcPr>
            <w:tcW w:type="dxa" w:w="2575"/>
          </w:tcPr>
          <w:p>
            <w:pPr>
              <w:pStyle w:val="null3"/>
              <w:jc w:val="left"/>
            </w:pPr>
            <w:r>
              <w:rPr>
                <w:rFonts w:ascii="仿宋_GB2312" w:hAnsi="仿宋_GB2312" w:cs="仿宋_GB2312" w:eastAsia="仿宋_GB2312"/>
              </w:rPr>
              <w:t>1.2023年至今具有类似项目业绩的，每提供一个得1分，最多得4分。（提供中标/成交通知书或合同复印件并加盖供应商单位公章）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p>
            <w:pPr>
              <w:pStyle w:val="null3"/>
              <w:jc w:val="left"/>
            </w:pPr>
            <w:r>
              <w:rPr>
                <w:rFonts w:ascii="仿宋_GB2312" w:hAnsi="仿宋_GB2312" w:cs="仿宋_GB2312" w:eastAsia="仿宋_GB2312"/>
              </w:rPr>
              <w:t>投标人认为需要提供的其他证明材料.docx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详见附件：法定代表人身份证明、法定代表人授权委托书.docx</w:t>
      </w:r>
    </w:p>
    <w:p>
      <w:pPr>
        <w:pStyle w:val="null3"/>
        <w:ind w:firstLine="960"/>
        <w:jc w:val="left"/>
      </w:pPr>
      <w:r>
        <w:rPr>
          <w:rFonts w:ascii="仿宋_GB2312" w:hAnsi="仿宋_GB2312" w:cs="仿宋_GB2312" w:eastAsia="仿宋_GB2312"/>
        </w:rPr>
        <w:t>详见附件：投标人认为需要提供的其他证明材料.docx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详见附件：供应商基本情况表.docx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