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版本号：N513422202600002020260319001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木里县树珠安置房建设项目方案设计服务采购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N5134222026000020</w:t>
      </w:r>
    </w:p>
    <w:p>
      <w:pPr>
        <w:pStyle w:val="null3"/>
        <w:jc w:val="center"/>
        <w:outlineLvl w:val="2"/>
      </w:pPr>
      <w:r>
        <w:rPr>
          <w:rFonts w:ascii="仿宋_GB2312" w:hAnsi="仿宋_GB2312" w:cs="仿宋_GB2312" w:eastAsia="仿宋_GB2312"/>
          <w:sz w:val="28"/>
          <w:b/>
        </w:rPr>
        <w:t>木里藏族自治县住房和城乡建设局</w:t>
      </w:r>
    </w:p>
    <w:p>
      <w:pPr>
        <w:pStyle w:val="null3"/>
        <w:jc w:val="center"/>
        <w:outlineLvl w:val="2"/>
      </w:pPr>
      <w:r>
        <w:rPr>
          <w:rFonts w:ascii="仿宋_GB2312" w:hAnsi="仿宋_GB2312" w:cs="仿宋_GB2312" w:eastAsia="仿宋_GB2312"/>
          <w:sz w:val="28"/>
          <w:b/>
        </w:rPr>
        <w:t>中晟众信工程咨询集团有限公司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中晟众信工程咨询集团有限公司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木里藏族自治县住房和城乡建设局</w:t>
      </w:r>
      <w:r>
        <w:rPr>
          <w:rFonts w:ascii="仿宋_GB2312" w:hAnsi="仿宋_GB2312" w:cs="仿宋_GB2312" w:eastAsia="仿宋_GB2312"/>
        </w:rPr>
        <w:t xml:space="preserve"> 委托，拟对 </w:t>
      </w:r>
      <w:r>
        <w:rPr>
          <w:rFonts w:ascii="仿宋_GB2312" w:hAnsi="仿宋_GB2312" w:cs="仿宋_GB2312" w:eastAsia="仿宋_GB2312"/>
        </w:rPr>
        <w:t>木里县树珠安置房建设项目方案设计服务采购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凉山彝族自治州木里藏族自治县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N5134222026000020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木里县树珠安置房建设项目方案设计服务采购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本次磋商共一个包，采购木里县树珠安置房建设项目方案设计服务。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1、根据本项目提出的特殊要求（描述：供应商须具备国家行政主管部门颁发的有效的工程设计建筑行业（建筑工程）专业乙级或以上资质。）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木里藏族自治县住房和城乡建设局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木里县乔瓦镇扎昌街243号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骆老师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0834-6522063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中晟众信工程咨询集团有限公司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西昌市长安街道富民路31号（易安居茶楼6楼）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0834-3247977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采购包1：975,900.00元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中“成本+合理利润”原则，以成交金额作为计算基准，按差额定率累进法计算后进行收取。（成交金额为100万以上，500万以下的，100万以下部分按照1.50%收取，100万以上部分按照0.80%收取） 收款单位：中晟众信工程咨询集团有限公司。 开户行：工行红星中路支行。 银行账号：4402259009006699976。</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木里藏族自治县住房和城乡建设局</w:t>
      </w:r>
      <w:r>
        <w:rPr>
          <w:rFonts w:ascii="仿宋_GB2312" w:hAnsi="仿宋_GB2312" w:cs="仿宋_GB2312" w:eastAsia="仿宋_GB2312"/>
        </w:rPr>
        <w:t xml:space="preserve"> 和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木里藏族自治县住房和城乡建设局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中晟众信工程咨询集团有限公司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按照本项目磋商文件中3.2.技术要求及成交供应商响应文件进行验收。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 （财库〔2016〕205号）的要求进行验收。（履约验收主体：采购人）</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本项目方案经县规委会审查通过后即视为验收通过。</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木里藏族自治县住房和城乡建设局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联系人：骆老师</w:t>
      </w:r>
    </w:p>
    <w:p>
      <w:pPr>
        <w:pStyle w:val="null3"/>
        <w:jc w:val="left"/>
      </w:pPr>
      <w:r>
        <w:rPr>
          <w:rFonts w:ascii="仿宋_GB2312" w:hAnsi="仿宋_GB2312" w:cs="仿宋_GB2312" w:eastAsia="仿宋_GB2312"/>
        </w:rPr>
        <w:t>联系电话：0834-6522063</w:t>
      </w:r>
    </w:p>
    <w:p>
      <w:pPr>
        <w:pStyle w:val="null3"/>
        <w:jc w:val="left"/>
      </w:pPr>
      <w:r>
        <w:rPr>
          <w:rFonts w:ascii="仿宋_GB2312" w:hAnsi="仿宋_GB2312" w:cs="仿宋_GB2312" w:eastAsia="仿宋_GB2312"/>
        </w:rPr>
        <w:t>地址：木里县乔瓦镇扎昌街243号</w:t>
      </w:r>
    </w:p>
    <w:p>
      <w:pPr>
        <w:pStyle w:val="null3"/>
        <w:jc w:val="left"/>
      </w:pPr>
      <w:r>
        <w:rPr>
          <w:rFonts w:ascii="仿宋_GB2312" w:hAnsi="仿宋_GB2312" w:cs="仿宋_GB2312" w:eastAsia="仿宋_GB2312"/>
        </w:rPr>
        <w:t>邮编：615800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联系电话：0834-3247977</w:t>
      </w:r>
    </w:p>
    <w:p>
      <w:pPr>
        <w:pStyle w:val="null3"/>
        <w:jc w:val="left"/>
      </w:pPr>
      <w:r>
        <w:rPr>
          <w:rFonts w:ascii="仿宋_GB2312" w:hAnsi="仿宋_GB2312" w:cs="仿宋_GB2312" w:eastAsia="仿宋_GB2312"/>
        </w:rPr>
        <w:t>地址：西昌市长安街道富民路31号(易安居茶楼6楼)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975,900.00</w:t>
      </w:r>
    </w:p>
    <w:p>
      <w:pPr>
        <w:pStyle w:val="null3"/>
        <w:jc w:val="left"/>
      </w:pPr>
      <w:r>
        <w:rPr>
          <w:rFonts w:ascii="仿宋_GB2312" w:hAnsi="仿宋_GB2312" w:cs="仿宋_GB2312" w:eastAsia="仿宋_GB2312"/>
        </w:rPr>
        <w:t>采购包最高限价（元）: 975,900.00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木里县树珠安置房建设项目方案设计服务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975,900.00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木里县树珠安置房建设项目方案设计服务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975,900.00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本项目报价是履行合同的最终价格，应包括供应商完成本项目所需的一切费用，采购人不再支付其他任何费用，因报价估算错误等引起的风险由供应商自行承担。</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标的名称：木里县树珠安置房建设项目方案设计服务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项目概述</w:t>
            </w:r>
          </w:p>
        </w:tc>
        <w:tc>
          <w:tcPr>
            <w:tcW w:type="dxa" w:w="5814"/>
          </w:tcPr>
          <w:p>
            <w:pPr>
              <w:pStyle w:val="null3"/>
              <w:ind w:firstLine="480"/>
              <w:jc w:val="left"/>
            </w:pPr>
            <w:r>
              <w:rPr>
                <w:rFonts w:ascii="仿宋_GB2312" w:hAnsi="仿宋_GB2312" w:cs="仿宋_GB2312" w:eastAsia="仿宋_GB2312"/>
                <w:sz w:val="24"/>
              </w:rPr>
              <w:t>为有序推动木里县树珠地质灾害功能疏解搬迁区安置工作，妥善解决群众安置需求，进一步改善人居环境，完善基础设施，提升公共服务水平和城市品质，推动城市高质量发展，按照县委、县政府工作安排，拟组织实施开展木里县树珠安置房建设项目方案设计工作，特通过政府采购方式确定方案设计单位</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设计范围及内容</w:t>
            </w:r>
          </w:p>
        </w:tc>
        <w:tc>
          <w:tcPr>
            <w:tcW w:type="dxa" w:w="5814"/>
          </w:tcPr>
          <w:p>
            <w:pPr>
              <w:pStyle w:val="null3"/>
              <w:ind w:firstLine="480"/>
              <w:jc w:val="both"/>
            </w:pPr>
            <w:r>
              <w:rPr>
                <w:rFonts w:ascii="仿宋_GB2312" w:hAnsi="仿宋_GB2312" w:cs="仿宋_GB2312" w:eastAsia="仿宋_GB2312"/>
                <w:sz w:val="24"/>
              </w:rPr>
              <w:t>本项目本次建设内容为安置房和社区配套用房，总规划用地面积约</w:t>
            </w:r>
            <w:r>
              <w:rPr>
                <w:rFonts w:ascii="仿宋_GB2312" w:hAnsi="仿宋_GB2312" w:cs="仿宋_GB2312" w:eastAsia="仿宋_GB2312"/>
                <w:sz w:val="24"/>
              </w:rPr>
              <w:t>137303平方米（拟实施范围示意图详见附件），总建筑面积约97800平方米，拟安置户数约245户。设计深度为方案设计（不含室内装饰装修及室外工程及其他专项设计）。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jc w:val="both"/>
            </w:pPr>
            <w:r>
              <w:rPr>
                <w:rFonts w:ascii="仿宋_GB2312" w:hAnsi="仿宋_GB2312" w:cs="仿宋_GB2312" w:eastAsia="仿宋_GB2312"/>
                <w:sz w:val="24"/>
              </w:rPr>
              <w:t>文本</w:t>
            </w:r>
            <w:r>
              <w:rPr>
                <w:rFonts w:ascii="仿宋_GB2312" w:hAnsi="仿宋_GB2312" w:cs="仿宋_GB2312" w:eastAsia="仿宋_GB2312"/>
                <w:sz w:val="24"/>
              </w:rPr>
              <w:t>3套、电子文档（PDF及CAD）各1套</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sz w:val="24"/>
              </w:rPr>
              <w:t>符合国家相关标准及要求。</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安全承诺</w:t>
            </w:r>
          </w:p>
        </w:tc>
        <w:tc>
          <w:tcPr>
            <w:tcW w:type="dxa" w:w="5814"/>
          </w:tcPr>
          <w:p>
            <w:pPr>
              <w:pStyle w:val="null3"/>
              <w:jc w:val="both"/>
            </w:pPr>
            <w:r>
              <w:rPr>
                <w:rFonts w:ascii="仿宋_GB2312" w:hAnsi="仿宋_GB2312" w:cs="仿宋_GB2312" w:eastAsia="仿宋_GB2312"/>
                <w:sz w:val="24"/>
              </w:rPr>
              <w:t>本项目在实施过程中发生的一切财产安全、人身安全由</w:t>
            </w:r>
            <w:r>
              <w:rPr>
                <w:rFonts w:ascii="仿宋_GB2312" w:hAnsi="仿宋_GB2312" w:cs="仿宋_GB2312" w:eastAsia="仿宋_GB2312"/>
                <w:sz w:val="24"/>
              </w:rPr>
              <w:t>供应商</w:t>
            </w:r>
            <w:r>
              <w:rPr>
                <w:rFonts w:ascii="仿宋_GB2312" w:hAnsi="仿宋_GB2312" w:cs="仿宋_GB2312" w:eastAsia="仿宋_GB2312"/>
                <w:sz w:val="24"/>
              </w:rPr>
              <w:t>自行负责。（提供承诺函）</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both"/>
            </w:pPr>
            <w:r>
              <w:rPr>
                <w:rFonts w:ascii="仿宋_GB2312" w:hAnsi="仿宋_GB2312" w:cs="仿宋_GB2312" w:eastAsia="仿宋_GB2312"/>
                <w:sz w:val="24"/>
              </w:rPr>
              <w:t>供应商</w:t>
            </w:r>
            <w:r>
              <w:rPr>
                <w:rFonts w:ascii="仿宋_GB2312" w:hAnsi="仿宋_GB2312" w:cs="仿宋_GB2312" w:eastAsia="仿宋_GB2312"/>
                <w:sz w:val="24"/>
              </w:rPr>
              <w:t>不得泄露本项目相关资料，因</w:t>
            </w:r>
            <w:r>
              <w:rPr>
                <w:rFonts w:ascii="仿宋_GB2312" w:hAnsi="仿宋_GB2312" w:cs="仿宋_GB2312" w:eastAsia="仿宋_GB2312"/>
                <w:sz w:val="24"/>
              </w:rPr>
              <w:t>供应商</w:t>
            </w:r>
            <w:r>
              <w:rPr>
                <w:rFonts w:ascii="仿宋_GB2312" w:hAnsi="仿宋_GB2312" w:cs="仿宋_GB2312" w:eastAsia="仿宋_GB2312"/>
                <w:sz w:val="24"/>
              </w:rPr>
              <w:t>或其工作人员等泄露的，采购人有权解除双方签订的合同并有权拒绝支付</w:t>
            </w:r>
            <w:r>
              <w:rPr>
                <w:rFonts w:ascii="仿宋_GB2312" w:hAnsi="仿宋_GB2312" w:cs="仿宋_GB2312" w:eastAsia="仿宋_GB2312"/>
                <w:sz w:val="24"/>
              </w:rPr>
              <w:t>供应商</w:t>
            </w:r>
            <w:r>
              <w:rPr>
                <w:rFonts w:ascii="仿宋_GB2312" w:hAnsi="仿宋_GB2312" w:cs="仿宋_GB2312" w:eastAsia="仿宋_GB2312"/>
                <w:sz w:val="24"/>
              </w:rPr>
              <w:t>已完成服务部分的相关费用，并追究其法律责任。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踏勘</w:t>
            </w:r>
          </w:p>
        </w:tc>
        <w:tc>
          <w:tcPr>
            <w:tcW w:type="dxa" w:w="5814"/>
          </w:tcPr>
          <w:p>
            <w:pPr>
              <w:pStyle w:val="null3"/>
              <w:jc w:val="both"/>
            </w:pPr>
            <w:r>
              <w:rPr>
                <w:rFonts w:ascii="仿宋_GB2312" w:hAnsi="仿宋_GB2312" w:cs="仿宋_GB2312" w:eastAsia="仿宋_GB2312"/>
                <w:sz w:val="24"/>
              </w:rPr>
              <w:t>本项目不组织现场踏勘，</w:t>
            </w:r>
            <w:r>
              <w:rPr>
                <w:rFonts w:ascii="仿宋_GB2312" w:hAnsi="仿宋_GB2312" w:cs="仿宋_GB2312" w:eastAsia="仿宋_GB2312"/>
                <w:sz w:val="24"/>
              </w:rPr>
              <w:t>供应商</w:t>
            </w:r>
            <w:r>
              <w:rPr>
                <w:rFonts w:ascii="仿宋_GB2312" w:hAnsi="仿宋_GB2312" w:cs="仿宋_GB2312" w:eastAsia="仿宋_GB2312"/>
                <w:sz w:val="24"/>
              </w:rPr>
              <w:t>需自行前往并费用自理。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480"/>
              <w:jc w:val="both"/>
            </w:pPr>
            <w:r>
              <w:rPr>
                <w:rFonts w:ascii="仿宋_GB2312" w:hAnsi="仿宋_GB2312" w:cs="仿宋_GB2312" w:eastAsia="仿宋_GB2312"/>
                <w:sz w:val="24"/>
              </w:rPr>
              <w:t>1、为保障项目服务质量，</w:t>
            </w:r>
            <w:r>
              <w:rPr>
                <w:rFonts w:ascii="仿宋_GB2312" w:hAnsi="仿宋_GB2312" w:cs="仿宋_GB2312" w:eastAsia="仿宋_GB2312"/>
                <w:sz w:val="24"/>
              </w:rPr>
              <w:t>供应商</w:t>
            </w:r>
            <w:r>
              <w:rPr>
                <w:rFonts w:ascii="仿宋_GB2312" w:hAnsi="仿宋_GB2312" w:cs="仿宋_GB2312" w:eastAsia="仿宋_GB2312"/>
                <w:sz w:val="24"/>
              </w:rPr>
              <w:t>应具有相应技术人员和相关业绩。</w:t>
            </w:r>
          </w:p>
          <w:p>
            <w:pPr>
              <w:pStyle w:val="null3"/>
              <w:ind w:left="480"/>
              <w:jc w:val="both"/>
            </w:pPr>
            <w:r>
              <w:rPr>
                <w:rFonts w:ascii="仿宋_GB2312" w:hAnsi="仿宋_GB2312" w:cs="仿宋_GB2312" w:eastAsia="仿宋_GB2312"/>
                <w:sz w:val="24"/>
              </w:rPr>
              <w:t>2、为保障项目服务质量，</w:t>
            </w:r>
            <w:r>
              <w:rPr>
                <w:rFonts w:ascii="仿宋_GB2312" w:hAnsi="仿宋_GB2312" w:cs="仿宋_GB2312" w:eastAsia="仿宋_GB2312"/>
                <w:sz w:val="24"/>
              </w:rPr>
              <w:t>供应商</w:t>
            </w:r>
            <w:r>
              <w:rPr>
                <w:rFonts w:ascii="仿宋_GB2312" w:hAnsi="仿宋_GB2312" w:cs="仿宋_GB2312" w:eastAsia="仿宋_GB2312"/>
                <w:sz w:val="24"/>
              </w:rPr>
              <w:t>应针对本项目提供服务方案：</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供应商</w:t>
            </w:r>
            <w:r>
              <w:rPr>
                <w:rFonts w:ascii="仿宋_GB2312" w:hAnsi="仿宋_GB2312" w:cs="仿宋_GB2312" w:eastAsia="仿宋_GB2312"/>
                <w:sz w:val="24"/>
              </w:rPr>
              <w:t>根据项目实际提供本项目的整体方案设计分析</w:t>
            </w:r>
            <w:r>
              <w:rPr>
                <w:rFonts w:ascii="仿宋_GB2312" w:hAnsi="仿宋_GB2312" w:cs="仿宋_GB2312" w:eastAsia="仿宋_GB2312"/>
                <w:sz w:val="24"/>
              </w:rPr>
              <w:t>，</w:t>
            </w:r>
            <w:r>
              <w:rPr>
                <w:rFonts w:ascii="仿宋_GB2312" w:hAnsi="仿宋_GB2312" w:cs="仿宋_GB2312" w:eastAsia="仿宋_GB2312"/>
                <w:sz w:val="24"/>
              </w:rPr>
              <w:t>包含：</w:t>
            </w:r>
            <w:r>
              <w:rPr>
                <w:rFonts w:ascii="仿宋_GB2312" w:hAnsi="仿宋_GB2312" w:cs="仿宋_GB2312" w:eastAsia="仿宋_GB2312"/>
                <w:sz w:val="24"/>
              </w:rPr>
              <w:t>①方案彩平图（含经济技术指标）；②安置房户型分布图；③安置房立面材质分析；④户型平面布局图；⑤户型立面图；⑥场地竖向分析图；⑦交通流线分析图；⑧消防流线分析图；⑨绿化分析图；⑩间距分析图；⑪供水管线分析图；⑫污水管线分析图；⑬雨水管线分析图；⑭电力管线分析图；⑮电信管线分析图。</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供应商</w:t>
            </w:r>
            <w:r>
              <w:rPr>
                <w:rFonts w:ascii="仿宋_GB2312" w:hAnsi="仿宋_GB2312" w:cs="仿宋_GB2312" w:eastAsia="仿宋_GB2312"/>
                <w:sz w:val="24"/>
              </w:rPr>
              <w:t>根据整体设计方案提供至少</w:t>
            </w:r>
            <w:r>
              <w:rPr>
                <w:rFonts w:ascii="仿宋_GB2312" w:hAnsi="仿宋_GB2312" w:cs="仿宋_GB2312" w:eastAsia="仿宋_GB2312"/>
                <w:sz w:val="24"/>
              </w:rPr>
              <w:t>5张本项目节点透视效果图</w:t>
            </w:r>
            <w:r>
              <w:rPr>
                <w:rFonts w:ascii="仿宋_GB2312" w:hAnsi="仿宋_GB2312" w:cs="仿宋_GB2312" w:eastAsia="仿宋_GB2312"/>
                <w:sz w:val="24"/>
              </w:rPr>
              <w:t>。</w:t>
            </w:r>
          </w:p>
          <w:p>
            <w:pPr>
              <w:pStyle w:val="null3"/>
              <w:jc w:val="left"/>
            </w:pPr>
            <w:r>
              <w:rPr>
                <w:rFonts w:ascii="仿宋_GB2312" w:hAnsi="仿宋_GB2312" w:cs="仿宋_GB2312" w:eastAsia="仿宋_GB2312"/>
                <w:sz w:val="21"/>
              </w:rPr>
              <w:t>注：以上要求无须在服务应答表及商务应答表中进行响应，但供应商应根据自身实际情况提供相应方案及相关证明材料，评审时，磋商小组将根据</w:t>
            </w:r>
            <w:r>
              <w:rPr>
                <w:rFonts w:ascii="仿宋_GB2312" w:hAnsi="仿宋_GB2312" w:cs="仿宋_GB2312" w:eastAsia="仿宋_GB2312"/>
                <w:sz w:val="21"/>
              </w:rPr>
              <w:t>5.4.2评审细则及标准进行评分。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合同签订后45天内完成（不含评审时间）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木里县乔瓦镇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成交供应商提出验收申请 ，达到验收条件起30日内，验收合同总金额的 100.00% 8）验收组织的其他事项：/ 9）技术履约验收内容：按照本项目磋商文件中3.2.技术要求及成交供应商响应文件进行验收。 10）商务履约验收内容：按照本项目磋商文件中“商务要求”及成交供应商响应文件进行验收。 11）履约验收标准： 严格按照《中华人民共和国政府采购法》、《中华人民共和国政府采购法实施条例》和《财政部关于进一步加强政府采购需求和履约验收管理的指导意见》 （财库〔2016〕205号）的要求进行验收。（履约验收主体：采购人） 12）履约验收其他事项：本项目方案经县规委会审查通过后即视为验收通过。</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2、方案经县规委会审查后，达到付款条件起10日内，支付合同总金额的50.00%</w:t>
            </w:r>
          </w:p>
          <w:p>
            <w:pPr>
              <w:pStyle w:val="null3"/>
              <w:jc w:val="left"/>
            </w:pPr>
            <w:r>
              <w:rPr>
                <w:rFonts w:ascii="仿宋_GB2312" w:hAnsi="仿宋_GB2312" w:cs="仿宋_GB2312" w:eastAsia="仿宋_GB2312"/>
              </w:rPr>
              <w:t>3、提交成果文本后，达到付款条件起10日内，支付合同总金额的10.00%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双方均应遵守合同，非因不可抗力而单方面终止执行合同的，将赔偿因违约给对方造成的经济损失，并向对方支付合同总额10%的违约金，如因成交供应商原因造成的，由采购人提请项目同级财政部门将其列入不良行为记录。 ②若因成交供应商原因在合同规定期限内无法提供服务，采购人有权终止合同，并请示项目同级财政部门进行处理，并由成交供应商向采购人支付10%的违约金；或经采购双方协商同意继续履行合同，采购人视情况每天按合同总额3‰的标准收取违约金。因不可抗拒力所导致的交货及付款延迟等按照《中华人民共和国民法典》有关条文处理。 ③成交供应商提供的服务质量不符合合同规定的，成交供应商应向采购人支付合同总价的5%的违约金，并须在15日内完善后续的服务工作，否则，视作成交供应商不能履约而违约。 ④采购人由于不可抗力的原因不能履行合同时，应及时向成交供应商和见证方、项目同级财政部门通报不能履行或不能完全履行的理由；成交供应商由于不可抗力的原因不能履行合同时，应在服务期到期以前及时向采购人和见证方、项目同级财政部门通报不能履行或不能完全履行的理由；在取得有关主管机关证明以后，可以签订延期履行、部分履行补充合同或者不履行合同，并根据情况可部分或全部免予承担违约责任。 ⑤解决争议的方法：合同履行期间,若双方发生争议，双方本着友好合作的态度，对合同履行过程中发生的违约行为进行及时的协商解决或由有关部门调解解决，如不能协商解决可向合同签约地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因一体化系统固化，关于商务要求的补充如下： ★1、采购人每次付款前，成交供应商应提交等额合规税务发票，否则采购人付款时间顺延，且不因此顺延成交供应商按合同约定时间提交成果的时间。采购人每次付款，自收到成交供应商发票后支付。 说明：①上述要求为实质性要求且须在商务应答表中进行响应，不允许负偏离，若偏离，将按无效投标处理。②本项目不适用于《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color w:val="000000"/>
        </w:rPr>
        <w:t>磋商小组可以根据磋商文件和磋商情况实质性变动第三章</w:t>
      </w:r>
      <w:r>
        <w:rPr>
          <w:rFonts w:ascii="仿宋_GB2312" w:hAnsi="仿宋_GB2312" w:cs="仿宋_GB2312" w:eastAsia="仿宋_GB2312"/>
          <w:sz w:val="21"/>
          <w:color w:val="000000"/>
        </w:rPr>
        <w:t>“技术、服务及其他要求”相关内容，但不得变动磋商文件中的其他内容。实质性变动的内容，须经采购人代表及监督代表确认。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color w:val="000000"/>
        </w:rPr>
        <w:t>磋商小组可以根据磋商文件和磋商情况实质性变动第七章</w:t>
      </w:r>
      <w:r>
        <w:rPr>
          <w:rFonts w:ascii="仿宋_GB2312" w:hAnsi="仿宋_GB2312" w:cs="仿宋_GB2312" w:eastAsia="仿宋_GB2312"/>
          <w:sz w:val="21"/>
          <w:color w:val="000000"/>
        </w:rPr>
        <w:t>“拟签订采购合同文本”，但不得变动磋商文件中的其他内容。实质性变动的内容，须经采购人代表及监督代表确认。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注：①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等特殊行业的，可允许分公司参与投标，分公司参与投标须获得具有法人资格的上级公司或总公司授权。可逐级授权，但须提供完整授权链条，以证明其具有承担民事责任的能力。同一上级公司或总公司的两个分支机构不得同时参加投标。并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响应文件封面,具有独立承担民事责任的能力证明材料,投标（响应）函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根据本项目提出的特殊要求</w:t>
            </w:r>
          </w:p>
        </w:tc>
        <w:tc>
          <w:tcPr>
            <w:tcW w:type="dxa" w:w="3322"/>
          </w:tcPr>
          <w:p>
            <w:pPr>
              <w:pStyle w:val="null3"/>
              <w:jc w:val="left"/>
            </w:pPr>
            <w:r>
              <w:rPr>
                <w:rFonts w:ascii="仿宋_GB2312" w:hAnsi="仿宋_GB2312" w:cs="仿宋_GB2312" w:eastAsia="仿宋_GB2312"/>
              </w:rPr>
              <w:t>供应商须具备国家行政主管部门颁发的有效的工程设计建筑行业（建筑工程）专业乙级或以上资质。</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1.响应报价低于全部通过符合性审查供应商响应报价平均值 50 %的，即响应报价&lt;全部通过符合性审查供应商响应报价平均值× 50 %； 2.响应报价低于通过符合性审查的次低报价供应商响应报价 50 %的，即响应报价&lt;通过符合性审查的次低报价供应商响应报价× 50 %； 3.响应报价低于采购项目（采购包）最高限价 50 %的，即响应报价&lt;采购项目（采购包）最高限价× 50%； 4.磋商小组基于专业判断，认为供应商报价过低，有可能影响产品质量或者不能诚信履约的其他情形。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jc w:val="left"/>
            </w:pPr>
            <w:r>
              <w:rPr>
                <w:rFonts w:ascii="仿宋_GB2312" w:hAnsi="仿宋_GB2312" w:cs="仿宋_GB2312" w:eastAsia="仿宋_GB2312"/>
              </w:rPr>
              <w:t>供应商应提交的相关证明材料,报价表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符合磋商文件3.2.技术要求中的实质性要求</w:t>
            </w:r>
          </w:p>
        </w:tc>
        <w:tc>
          <w:tcPr>
            <w:tcW w:type="dxa" w:w="3322"/>
          </w:tcPr>
          <w:p>
            <w:pPr>
              <w:pStyle w:val="null3"/>
              <w:jc w:val="left"/>
            </w:pPr>
            <w:r>
              <w:rPr>
                <w:rFonts w:ascii="仿宋_GB2312" w:hAnsi="仿宋_GB2312" w:cs="仿宋_GB2312" w:eastAsia="仿宋_GB2312"/>
              </w:rPr>
              <w:t>供应商按照磋商文件要求进行响应</w:t>
            </w:r>
          </w:p>
        </w:tc>
        <w:tc>
          <w:tcPr>
            <w:tcW w:type="dxa" w:w="1661"/>
          </w:tcPr>
          <w:p>
            <w:pPr>
              <w:pStyle w:val="null3"/>
              <w:jc w:val="left"/>
            </w:pPr>
            <w:r>
              <w:rPr>
                <w:rFonts w:ascii="仿宋_GB2312" w:hAnsi="仿宋_GB2312" w:cs="仿宋_GB2312" w:eastAsia="仿宋_GB2312"/>
              </w:rPr>
              <w:t>供应商应提交的相关证明材料,服务应答表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符合磋商文件“3.3.服务要求中3.3.2.商务要求”及“3.4.其他要求”（实质性要求）</w:t>
            </w:r>
          </w:p>
        </w:tc>
        <w:tc>
          <w:tcPr>
            <w:tcW w:type="dxa" w:w="3322"/>
          </w:tcPr>
          <w:p>
            <w:pPr>
              <w:pStyle w:val="null3"/>
              <w:jc w:val="left"/>
            </w:pPr>
            <w:r>
              <w:rPr>
                <w:rFonts w:ascii="仿宋_GB2312" w:hAnsi="仿宋_GB2312" w:cs="仿宋_GB2312" w:eastAsia="仿宋_GB2312"/>
              </w:rPr>
              <w:t>供应商按照磋商文件要求进行响应</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符合磋商文件中第二章2.1供应商须知附表15.实质性要求，不存在属于磋商文件规定的无效投标情形</w:t>
            </w:r>
          </w:p>
        </w:tc>
        <w:tc>
          <w:tcPr>
            <w:tcW w:type="dxa" w:w="3322"/>
          </w:tcPr>
          <w:p>
            <w:pPr>
              <w:pStyle w:val="null3"/>
              <w:jc w:val="left"/>
            </w:pPr>
            <w:r>
              <w:rPr>
                <w:rFonts w:ascii="仿宋_GB2312" w:hAnsi="仿宋_GB2312" w:cs="仿宋_GB2312" w:eastAsia="仿宋_GB2312"/>
              </w:rPr>
              <w:t>在评审过程中，磋商小组应对第二章2.1供应商须知附表15.实质性要求响应内容进行审查。未响应的或未响应完全的，磋商小组应当将其响应文件作为无效响应处理。(说明:针对磋商文件第二章2.1供应商须知附表15.实质性要求中“本磋商文件中“★”要求为实质性要求。供应商应当按照第五章评审程序中的符合性审查规定，在响应文件中进行实质性响应，否则作无效响应处理。”，除磋商文件中的明确要求进行单独响应或承诺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未载明或者载明的标的名称、数量、计量单位及其他政府采购合同实质性内容与磋商文件不一致，且采购单位无法接受的，属于无效响应。（实质性要求）</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响应文件封面,报价表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1、供应商根据项目实际提供本项目的整体方案设计分析（45分）。 包含：①方案彩平图（含经济技术指标）；②安置房户型分布图；③安置房立面材质分析；④户型平面布局图；⑤户型立面图；⑥场地竖向分析图；⑦交通流线分析图；⑧消防流线分析图；⑨绿化分析图；⑩间距分析图；⑪供水管线分析图；⑫污水管线分析图；⑬雨水管线分析图；⑭电力管线分析图；⑮电信管线分析图。 方案包含以上内容，符合采购需求且不存在缺陷的得45分；每缺少一项扣3分，每有一处有缺陷的扣1.5分，扣完为止。（缺陷是指：存在不适用项目实际情况的情形、项目地点区域错误、内容与本项目采购需求无关、明显复制其他项目内容中任意一种情形）。 2、节点透视效果图（15分） 供应商根据整体设计方案提供至少5张本项目节点透视效果图，符合采购需求且不存在缺陷的得15分；每缺少一张节点透视效果图扣3分，每有一处有缺陷的扣1.5分，扣完为止。（缺陷是指：存在不适用项目实际情况的情形、项目地点区域错误、内容与本项目采购需求无关、明显复制其他项目内容中任意一种情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1、项目负责人（1人）：具有一级注册建筑师资格的得4分；具有建筑设计专业高级或以上技术职称的得4分，具有建筑设计专业中级技术职称的得2分，本项最多得8分。 2、规划师（3人）：每有一人具有注册城乡规划师资格的得4分，本项最多得12分。 3、建筑师（1人）：具有一级注册建筑师资格的得4分，本项最多得4分。 4、结构工程师（1人）：具有一级注册结构工程师资格的得4分，本项最多得4分。 注：同一人员不重复计分，上述涉及人员需提供相关证书扫描件并进行单位电子签章。</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供应商提供2023年1月1日（含）至今类似本项目业绩的，每提供一个得2分，本项最多得2分。 注：提供合同扫描件并进行单位电子签章。（以合同签订时间为准）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报价分</w:t>
            </w:r>
          </w:p>
        </w:tc>
        <w:tc>
          <w:tcPr>
            <w:tcW w:type="dxa" w:w="2575"/>
          </w:tcPr>
          <w:p>
            <w:pPr>
              <w:pStyle w:val="null3"/>
              <w:jc w:val="left"/>
            </w:pPr>
            <w:r>
              <w:rPr>
                <w:rFonts w:ascii="仿宋_GB2312" w:hAnsi="仿宋_GB2312" w:cs="仿宋_GB2312" w:eastAsia="仿宋_GB2312"/>
              </w:rPr>
              <w:t>满足磋商文件要求且投标报价最低的投标报价为评标基准价，其价格分为满分。其他供应商的价格分按以下公式计算：报价得分=(评标基准价／投标报价)×10%×100； 注：本项目专门面向中小企业，因此不再对中小企业进行价格扣除。</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详见附件：具有独立承担民事责任的能力证明材料</w:t>
      </w:r>
    </w:p>
    <w:p>
      <w:pPr>
        <w:pStyle w:val="null3"/>
        <w:ind w:firstLine="960"/>
        <w:jc w:val="left"/>
      </w:pPr>
      <w:r>
        <w:rPr>
          <w:rFonts w:ascii="仿宋_GB2312" w:hAnsi="仿宋_GB2312" w:cs="仿宋_GB2312" w:eastAsia="仿宋_GB2312"/>
        </w:rPr>
        <w:t>详见附件：人员配置</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