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版本号：N511725202600003420260324001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广播电视户户通运行维护服务项目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N5117252026000034</w:t>
      </w:r>
    </w:p>
    <w:p>
      <w:pPr>
        <w:pStyle w:val="null3"/>
        <w:jc w:val="left"/>
        <w:outlineLvl w:val="2"/>
      </w:pPr>
      <w:r>
        <w:rPr>
          <w:rFonts w:ascii="仿宋_GB2312" w:hAnsi="仿宋_GB2312" w:cs="仿宋_GB2312" w:eastAsia="仿宋_GB2312"/>
          <w:sz w:val="28"/>
          <w:b/>
        </w:rPr>
        <w:t>渠县文化体育和旅游局</w:t>
      </w:r>
    </w:p>
    <w:p>
      <w:pPr>
        <w:pStyle w:val="null3"/>
        <w:jc w:val="center"/>
        <w:outlineLvl w:val="2"/>
      </w:pPr>
      <w:r>
        <w:rPr>
          <w:rFonts w:ascii="仿宋_GB2312" w:hAnsi="仿宋_GB2312" w:cs="仿宋_GB2312" w:eastAsia="仿宋_GB2312"/>
          <w:sz w:val="28"/>
          <w:b/>
        </w:rPr>
        <w:t>四川蓉亿诚企业服务有限公司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四川蓉亿诚企业服务有限公司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渠县文化体育和旅游局</w:t>
      </w:r>
      <w:r>
        <w:rPr>
          <w:rFonts w:ascii="仿宋_GB2312" w:hAnsi="仿宋_GB2312" w:cs="仿宋_GB2312" w:eastAsia="仿宋_GB2312"/>
        </w:rPr>
        <w:t xml:space="preserve"> 委托，拟对 </w:t>
      </w:r>
      <w:r>
        <w:rPr>
          <w:rFonts w:ascii="仿宋_GB2312" w:hAnsi="仿宋_GB2312" w:cs="仿宋_GB2312" w:eastAsia="仿宋_GB2312"/>
        </w:rPr>
        <w:t>广播电视户户通运行维护服务项目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达州市渠县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N5117252026000034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广播电视户户通运行维护服务项目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1.项目概述：根据四川省财政厅 四川省广播电视局《关于提前下达2025年中央和省级财政公共文化服务体系建设补助资金（广播电视）预算的通知》(川财教[2024]160号)、四川省广播电视局《关于印发&lt;2025年“视听四川”广电惠民服务项目(广播电视户户通运行维护)实施方案&gt;的通知》(川广发﹝2025﹞18号)精神，广播电视“户户通”对保障农村群众文化权益，解决群众听广播看电视问题发挥着重要作用。广播电视户户通运行维护服务项目主要包括：3697个自然村（直播卫星户户通，地面数字电视等）终端接收设备；地面数字电视发射系统：1个发射主站，3个补点站、传输覆盖网；县级应急广播平台、县级广播村村响平台和37个乡镇（街道办）、415个行政村（社区）广播村村响系统及其设备日常运行维护维修。</w:t>
      </w:r>
    </w:p>
    <w:p>
      <w:pPr>
        <w:pStyle w:val="null3"/>
        <w:jc w:val="left"/>
      </w:pPr>
      <w:r>
        <w:rPr>
          <w:rFonts w:ascii="仿宋_GB2312" w:hAnsi="仿宋_GB2312" w:cs="仿宋_GB2312" w:eastAsia="仿宋_GB2312"/>
        </w:rPr>
        <w:t>2.根据《四川省政府采购营商环境指标提升专项行动工作方案》要求“每个采购项目采购文件中要明确质疑、投诉的渠道和方式”，本项目：投诉受理部门：渠县财政局；投诉受理电话：0818-7327600；投诉受理地址：渠县工农街22号渠县财政大厦。</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渠县文化体育和旅游局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渠县渠江镇工农街79号一栋</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0818-7323048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四川蓉亿诚企业服务有限公司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四川省达州市通川区朝阳街道永盛大道9号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0818-8193777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采购包1：2,268,200.00元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代理服务费收费标准：以成交金额作为计算基数，参照《招标代理服务收费管理暂行办法》计价格[2002]1980号文的收费标准执行，由成交供应商向代理机构支付。</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渠县文化体育和旅游局</w:t>
      </w:r>
      <w:r>
        <w:rPr>
          <w:rFonts w:ascii="仿宋_GB2312" w:hAnsi="仿宋_GB2312" w:cs="仿宋_GB2312" w:eastAsia="仿宋_GB2312"/>
        </w:rPr>
        <w:t xml:space="preserve"> 和 </w:t>
      </w:r>
      <w:r>
        <w:rPr>
          <w:rFonts w:ascii="仿宋_GB2312" w:hAnsi="仿宋_GB2312" w:cs="仿宋_GB2312" w:eastAsia="仿宋_GB2312"/>
        </w:rPr>
        <w:t>四川蓉亿诚企业服务有限公司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渠县文化体育和旅游局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四川蓉亿诚企业服务有限公司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全部服务工作履约结束后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根据招标文件技术服务要求及中标人投标文件对技术服务要求响应情况进行验收。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根据招标文件商务要求及中标人投标文件对商务要求响应情况进行验收。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 号）、《政府采购需求管理办法》（财库〔2021〕22号）的要求及国家行业主管部门规定进行验收。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渠县文化体育和旅游局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四川蓉亿诚企业服务有限公司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四川蓉亿诚企业服务有限公司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联系电话：0818-7323048</w:t>
      </w:r>
    </w:p>
    <w:p>
      <w:pPr>
        <w:pStyle w:val="null3"/>
        <w:jc w:val="left"/>
      </w:pPr>
      <w:r>
        <w:rPr>
          <w:rFonts w:ascii="仿宋_GB2312" w:hAnsi="仿宋_GB2312" w:cs="仿宋_GB2312" w:eastAsia="仿宋_GB2312"/>
        </w:rPr>
        <w:t>地址：渠县渠江镇工农街79号一栋</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联系人：蒋老师</w:t>
      </w:r>
    </w:p>
    <w:p>
      <w:pPr>
        <w:pStyle w:val="null3"/>
        <w:jc w:val="left"/>
      </w:pPr>
      <w:r>
        <w:rPr>
          <w:rFonts w:ascii="仿宋_GB2312" w:hAnsi="仿宋_GB2312" w:cs="仿宋_GB2312" w:eastAsia="仿宋_GB2312"/>
        </w:rPr>
        <w:t>联系电话：0818-8193777</w:t>
      </w:r>
    </w:p>
    <w:p>
      <w:pPr>
        <w:pStyle w:val="null3"/>
        <w:jc w:val="left"/>
      </w:pPr>
      <w:r>
        <w:rPr>
          <w:rFonts w:ascii="仿宋_GB2312" w:hAnsi="仿宋_GB2312" w:cs="仿宋_GB2312" w:eastAsia="仿宋_GB2312"/>
        </w:rPr>
        <w:t>地址：四川省达州市通川区朝阳街道永盛大道9号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2,268,200.00</w:t>
      </w:r>
    </w:p>
    <w:p>
      <w:pPr>
        <w:pStyle w:val="null3"/>
        <w:jc w:val="left"/>
      </w:pPr>
      <w:r>
        <w:rPr>
          <w:rFonts w:ascii="仿宋_GB2312" w:hAnsi="仿宋_GB2312" w:cs="仿宋_GB2312" w:eastAsia="仿宋_GB2312"/>
        </w:rPr>
        <w:t>采购包最高限价（元）: 2,261,500.00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C06020500 广播电视传输服务</w:t>
            </w:r>
          </w:p>
        </w:tc>
        <w:tc>
          <w:tcPr>
            <w:tcW w:type="dxa" w:w="821"/>
          </w:tcPr>
          <w:p>
            <w:pPr>
              <w:pStyle w:val="null3"/>
              <w:jc w:val="left"/>
            </w:pPr>
            <w:r>
              <w:rPr>
                <w:rFonts w:ascii="仿宋_GB2312" w:hAnsi="仿宋_GB2312" w:cs="仿宋_GB2312" w:eastAsia="仿宋_GB2312"/>
              </w:rPr>
              <w:t>广播电视户户通运行维护服务项目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2,261,500.00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广播电视户户通运行维护服务项目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2,261,500.00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标的名称：广播电视户户通运行维护服务项目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实现县级应急广播播控平台与省平台信息畅通，按时转发省平台制播的应急信息，及时发布应急信息。县级广播村村响平台和</w:t>
            </w:r>
            <w:r>
              <w:rPr>
                <w:rFonts w:ascii="仿宋_GB2312" w:hAnsi="仿宋_GB2312" w:cs="仿宋_GB2312" w:eastAsia="仿宋_GB2312"/>
                <w:sz w:val="24"/>
              </w:rPr>
              <w:t>37个乡镇（街道办）、415个行政村（社区）的</w:t>
            </w:r>
            <w:r>
              <w:rPr>
                <w:rFonts w:ascii="仿宋_GB2312" w:hAnsi="仿宋_GB2312" w:cs="仿宋_GB2312" w:eastAsia="仿宋_GB2312"/>
                <w:sz w:val="24"/>
              </w:rPr>
              <w:t>应急广播</w:t>
            </w:r>
            <w:r>
              <w:rPr>
                <w:rFonts w:ascii="仿宋_GB2312" w:hAnsi="仿宋_GB2312" w:cs="仿宋_GB2312" w:eastAsia="仿宋_GB2312"/>
                <w:sz w:val="24"/>
              </w:rPr>
              <w:t>村村响正常播放</w:t>
            </w:r>
            <w:r>
              <w:rPr>
                <w:rFonts w:ascii="仿宋_GB2312" w:hAnsi="仿宋_GB2312" w:cs="仿宋_GB2312" w:eastAsia="仿宋_GB2312"/>
                <w:sz w:val="24"/>
              </w:rPr>
              <w:t>≥95%。应急广播终端接收正常率≥9</w:t>
            </w:r>
            <w:r>
              <w:rPr>
                <w:rFonts w:ascii="仿宋_GB2312" w:hAnsi="仿宋_GB2312" w:cs="仿宋_GB2312" w:eastAsia="仿宋_GB2312"/>
                <w:sz w:val="24"/>
              </w:rPr>
              <w:t>8</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实现全县</w:t>
            </w:r>
            <w:r>
              <w:rPr>
                <w:rFonts w:ascii="仿宋_GB2312" w:hAnsi="仿宋_GB2312" w:cs="仿宋_GB2312" w:eastAsia="仿宋_GB2312"/>
                <w:sz w:val="24"/>
              </w:rPr>
              <w:t>3697个自然村广播电视户户通正常运行≥95%，</w:t>
            </w:r>
            <w:r>
              <w:rPr>
                <w:rFonts w:ascii="仿宋_GB2312" w:hAnsi="仿宋_GB2312" w:cs="仿宋_GB2312" w:eastAsia="仿宋_GB2312"/>
                <w:sz w:val="24"/>
              </w:rPr>
              <w:t>四川省广播电视公共服务信息化系统</w:t>
            </w:r>
            <w:r>
              <w:rPr>
                <w:rFonts w:ascii="仿宋_GB2312" w:hAnsi="仿宋_GB2312" w:cs="仿宋_GB2312" w:eastAsia="仿宋_GB2312"/>
                <w:sz w:val="24"/>
              </w:rPr>
              <w:t>用户信息录入率</w:t>
            </w:r>
            <w:r>
              <w:rPr>
                <w:rFonts w:ascii="仿宋_GB2312" w:hAnsi="仿宋_GB2312" w:cs="仿宋_GB2312" w:eastAsia="仿宋_GB2312"/>
                <w:sz w:val="24"/>
              </w:rPr>
              <w:t xml:space="preserve"> 100%，APP线上线下派单率≥100%。</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确保地面数字电视发射主站、补点站、传输覆盖网运维保障，发射主站和每个补点站设备完好和运行正常，停播率</w:t>
            </w:r>
            <w:r>
              <w:rPr>
                <w:rFonts w:ascii="仿宋_GB2312" w:hAnsi="仿宋_GB2312" w:cs="仿宋_GB2312" w:eastAsia="仿宋_GB2312"/>
                <w:sz w:val="24"/>
              </w:rPr>
              <w:t>≤0.05% ，保障群众正常免费收听收看广播电视节目，群众满意率≥9</w:t>
            </w:r>
            <w:r>
              <w:rPr>
                <w:rFonts w:ascii="仿宋_GB2312" w:hAnsi="仿宋_GB2312" w:cs="仿宋_GB2312" w:eastAsia="仿宋_GB2312"/>
                <w:sz w:val="24"/>
              </w:rPr>
              <w:t>8</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保障全县</w:t>
            </w:r>
            <w:r>
              <w:rPr>
                <w:rFonts w:ascii="仿宋_GB2312" w:hAnsi="仿宋_GB2312" w:cs="仿宋_GB2312" w:eastAsia="仿宋_GB2312"/>
                <w:sz w:val="24"/>
              </w:rPr>
              <w:t>122个乡镇、村级广播电视公共服务网点规范服务，做好各类台帐的登记、数据上报。广播电视公共服务能力得到提升，群众满意</w:t>
            </w:r>
            <w:r>
              <w:rPr>
                <w:rFonts w:ascii="仿宋_GB2312" w:hAnsi="仿宋_GB2312" w:cs="仿宋_GB2312" w:eastAsia="仿宋_GB2312"/>
                <w:sz w:val="24"/>
              </w:rPr>
              <w:t>度</w:t>
            </w:r>
            <w:r>
              <w:rPr>
                <w:rFonts w:ascii="仿宋_GB2312" w:hAnsi="仿宋_GB2312" w:cs="仿宋_GB2312" w:eastAsia="仿宋_GB2312"/>
                <w:sz w:val="24"/>
              </w:rPr>
              <w:t>≥9</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保障全县地面数字电视发射站、补点站、传输覆盖网、应急广播系统安全可靠运行，确保</w:t>
            </w:r>
            <w:r>
              <w:rPr>
                <w:rFonts w:ascii="仿宋_GB2312" w:hAnsi="仿宋_GB2312" w:cs="仿宋_GB2312" w:eastAsia="仿宋_GB2312"/>
                <w:sz w:val="24"/>
              </w:rPr>
              <w:t>“零”中断运行。在省、市广播电视监测中心无故障记录产生。</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负责受理全县地面数字电视、直播卫星终端用户故障投诉，并在规定时间内完成故障检修。</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户户通设备修复响应</w:t>
            </w:r>
            <w:r>
              <w:rPr>
                <w:rFonts w:ascii="仿宋_GB2312" w:hAnsi="仿宋_GB2312" w:cs="仿宋_GB2312" w:eastAsia="仿宋_GB2312"/>
                <w:sz w:val="24"/>
              </w:rPr>
              <w:t>平均时间</w:t>
            </w:r>
            <w:r>
              <w:rPr>
                <w:rFonts w:ascii="仿宋_GB2312" w:hAnsi="仿宋_GB2312" w:cs="仿宋_GB2312" w:eastAsia="仿宋_GB2312"/>
                <w:sz w:val="24"/>
              </w:rPr>
              <w:t>≤30分钟，</w:t>
            </w:r>
            <w:r>
              <w:rPr>
                <w:rFonts w:ascii="仿宋_GB2312" w:hAnsi="仿宋_GB2312" w:cs="仿宋_GB2312" w:eastAsia="仿宋_GB2312"/>
                <w:sz w:val="24"/>
              </w:rPr>
              <w:t>一般性故障在接到报告后</w:t>
            </w:r>
            <w:r>
              <w:rPr>
                <w:rFonts w:ascii="仿宋_GB2312" w:hAnsi="仿宋_GB2312" w:cs="仿宋_GB2312" w:eastAsia="仿宋_GB2312"/>
                <w:sz w:val="24"/>
              </w:rPr>
              <w:t>2小时内恢复，重大</w:t>
            </w:r>
            <w:r>
              <w:rPr>
                <w:rFonts w:ascii="仿宋_GB2312" w:hAnsi="仿宋_GB2312" w:cs="仿宋_GB2312" w:eastAsia="仿宋_GB2312"/>
                <w:sz w:val="24"/>
              </w:rPr>
              <w:t>故障在接到报告后</w:t>
            </w:r>
            <w:r>
              <w:rPr>
                <w:rFonts w:ascii="仿宋_GB2312" w:hAnsi="仿宋_GB2312" w:cs="仿宋_GB2312" w:eastAsia="仿宋_GB2312"/>
                <w:sz w:val="24"/>
              </w:rPr>
              <w:t>4小时内恢复</w:t>
            </w:r>
            <w:r>
              <w:rPr>
                <w:rFonts w:ascii="仿宋_GB2312" w:hAnsi="仿宋_GB2312" w:cs="仿宋_GB2312" w:eastAsia="仿宋_GB2312"/>
                <w:sz w:val="24"/>
              </w:rPr>
              <w:t>。在规定时间不能修复的，须向用户提供备用设备，保证用户正常收听收看。</w:t>
            </w:r>
          </w:p>
          <w:p>
            <w:pPr>
              <w:pStyle w:val="null3"/>
              <w:ind w:firstLine="480"/>
              <w:jc w:val="both"/>
            </w:pPr>
            <w:r>
              <w:rPr>
                <w:rFonts w:ascii="仿宋_GB2312" w:hAnsi="仿宋_GB2312" w:cs="仿宋_GB2312" w:eastAsia="仿宋_GB2312"/>
                <w:sz w:val="24"/>
              </w:rPr>
              <w:t>8.保障已经建成的县级应急广播播控平台(含升级后的乡村级应急广播系统)的正常运行，保障已建成的应急广播播控平台及时发布应急广播信息，</w:t>
            </w:r>
            <w:r>
              <w:rPr>
                <w:rFonts w:ascii="仿宋_GB2312" w:hAnsi="仿宋_GB2312" w:cs="仿宋_GB2312" w:eastAsia="仿宋_GB2312"/>
                <w:sz w:val="24"/>
              </w:rPr>
              <w:t>应急广播系统故障响应完成平均时间</w:t>
            </w:r>
            <w:r>
              <w:rPr>
                <w:rFonts w:ascii="仿宋_GB2312" w:hAnsi="仿宋_GB2312" w:cs="仿宋_GB2312" w:eastAsia="仿宋_GB2312"/>
                <w:sz w:val="24"/>
              </w:rPr>
              <w:t>≤30分钟，</w:t>
            </w:r>
            <w:r>
              <w:rPr>
                <w:rFonts w:ascii="仿宋_GB2312" w:hAnsi="仿宋_GB2312" w:cs="仿宋_GB2312" w:eastAsia="仿宋_GB2312"/>
                <w:sz w:val="24"/>
              </w:rPr>
              <w:t>一般性故障在接到报告后</w:t>
            </w:r>
            <w:r>
              <w:rPr>
                <w:rFonts w:ascii="仿宋_GB2312" w:hAnsi="仿宋_GB2312" w:cs="仿宋_GB2312" w:eastAsia="仿宋_GB2312"/>
                <w:sz w:val="24"/>
              </w:rPr>
              <w:t>12小时内</w:t>
            </w:r>
            <w:r>
              <w:rPr>
                <w:rFonts w:ascii="仿宋_GB2312" w:hAnsi="仿宋_GB2312" w:cs="仿宋_GB2312" w:eastAsia="仿宋_GB2312"/>
                <w:sz w:val="24"/>
              </w:rPr>
              <w:t>修</w:t>
            </w:r>
            <w:r>
              <w:rPr>
                <w:rFonts w:ascii="仿宋_GB2312" w:hAnsi="仿宋_GB2312" w:cs="仿宋_GB2312" w:eastAsia="仿宋_GB2312"/>
                <w:sz w:val="24"/>
              </w:rPr>
              <w:t>复，重大</w:t>
            </w:r>
            <w:r>
              <w:rPr>
                <w:rFonts w:ascii="仿宋_GB2312" w:hAnsi="仿宋_GB2312" w:cs="仿宋_GB2312" w:eastAsia="仿宋_GB2312"/>
                <w:sz w:val="24"/>
              </w:rPr>
              <w:t>故障在接到报告后</w:t>
            </w:r>
            <w:r>
              <w:rPr>
                <w:rFonts w:ascii="仿宋_GB2312" w:hAnsi="仿宋_GB2312" w:cs="仿宋_GB2312" w:eastAsia="仿宋_GB2312"/>
                <w:sz w:val="24"/>
              </w:rPr>
              <w:t>24小时内</w:t>
            </w:r>
            <w:r>
              <w:rPr>
                <w:rFonts w:ascii="仿宋_GB2312" w:hAnsi="仿宋_GB2312" w:cs="仿宋_GB2312" w:eastAsia="仿宋_GB2312"/>
                <w:sz w:val="24"/>
              </w:rPr>
              <w:t>修</w:t>
            </w:r>
            <w:r>
              <w:rPr>
                <w:rFonts w:ascii="仿宋_GB2312" w:hAnsi="仿宋_GB2312" w:cs="仿宋_GB2312" w:eastAsia="仿宋_GB2312"/>
                <w:sz w:val="24"/>
              </w:rPr>
              <w:t>复</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确保广播电视公共服务</w:t>
            </w:r>
            <w:r>
              <w:rPr>
                <w:rFonts w:ascii="仿宋_GB2312" w:hAnsi="仿宋_GB2312" w:cs="仿宋_GB2312" w:eastAsia="仿宋_GB2312"/>
                <w:sz w:val="24"/>
              </w:rPr>
              <w:t>962511报修电话抽查满意度达到100%，省、市、县各级现场随机抽查用户满意度达100%。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总体服务要求</w:t>
            </w:r>
          </w:p>
        </w:tc>
        <w:tc>
          <w:tcPr>
            <w:tcW w:type="dxa" w:w="5814"/>
          </w:tcPr>
          <w:p>
            <w:pPr>
              <w:pStyle w:val="null3"/>
              <w:ind w:firstLine="480"/>
              <w:jc w:val="both"/>
            </w:pPr>
            <w:r>
              <w:rPr>
                <w:rFonts w:ascii="仿宋_GB2312" w:hAnsi="仿宋_GB2312" w:cs="仿宋_GB2312" w:eastAsia="仿宋_GB2312"/>
                <w:sz w:val="24"/>
              </w:rPr>
              <w:t>1.成交供应商在本次项目维护服务过程中，必须遵守以下要求：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1）技术原则：</w:t>
            </w:r>
          </w:p>
          <w:p>
            <w:pPr>
              <w:pStyle w:val="null3"/>
              <w:ind w:firstLine="480"/>
              <w:jc w:val="both"/>
            </w:pPr>
            <w:r>
              <w:rPr>
                <w:rFonts w:ascii="仿宋_GB2312" w:hAnsi="仿宋_GB2312" w:cs="仿宋_GB2312" w:eastAsia="仿宋_GB2312"/>
                <w:sz w:val="24"/>
              </w:rPr>
              <w:t>①保密原则：服务过程中的数据和结果数据须严格保密，未经授权不得泄露给任何单位和个人，不得利用此</w:t>
            </w:r>
            <w:r>
              <w:rPr>
                <w:rFonts w:ascii="仿宋_GB2312" w:hAnsi="仿宋_GB2312" w:cs="仿宋_GB2312" w:eastAsia="仿宋_GB2312"/>
                <w:sz w:val="24"/>
              </w:rPr>
              <w:t>数据进行任何侵害采购人的行为，否则采购人有权追究成交供应商的责任。</w:t>
            </w:r>
          </w:p>
          <w:p>
            <w:pPr>
              <w:pStyle w:val="null3"/>
              <w:ind w:firstLine="480"/>
              <w:jc w:val="both"/>
            </w:pPr>
            <w:r>
              <w:rPr>
                <w:rFonts w:ascii="仿宋_GB2312" w:hAnsi="仿宋_GB2312" w:cs="仿宋_GB2312" w:eastAsia="仿宋_GB2312"/>
                <w:sz w:val="24"/>
              </w:rPr>
              <w:t>②标准性原则：服务实施过程中应依据国家等级保护的相关标准进行。</w:t>
            </w:r>
          </w:p>
          <w:p>
            <w:pPr>
              <w:pStyle w:val="null3"/>
              <w:ind w:firstLine="480"/>
              <w:jc w:val="both"/>
            </w:pPr>
            <w:r>
              <w:rPr>
                <w:rFonts w:ascii="仿宋_GB2312" w:hAnsi="仿宋_GB2312" w:cs="仿宋_GB2312" w:eastAsia="仿宋_GB2312"/>
                <w:sz w:val="24"/>
              </w:rPr>
              <w:t>③规范性原则：</w:t>
            </w:r>
            <w:r>
              <w:rPr>
                <w:rFonts w:ascii="仿宋_GB2312" w:hAnsi="仿宋_GB2312" w:cs="仿宋_GB2312" w:eastAsia="仿宋_GB2312"/>
                <w:sz w:val="24"/>
              </w:rPr>
              <w:t>成交</w:t>
            </w:r>
            <w:r>
              <w:rPr>
                <w:rFonts w:ascii="仿宋_GB2312" w:hAnsi="仿宋_GB2312" w:cs="仿宋_GB2312" w:eastAsia="仿宋_GB2312"/>
                <w:sz w:val="24"/>
              </w:rPr>
              <w:t>供应商在服务中的过程和文档，应具有很好的规范性，可以便于跟踪和控制。</w:t>
            </w:r>
          </w:p>
          <w:p>
            <w:pPr>
              <w:pStyle w:val="null3"/>
              <w:ind w:firstLine="480"/>
              <w:jc w:val="both"/>
            </w:pPr>
            <w:r>
              <w:rPr>
                <w:rFonts w:ascii="仿宋_GB2312" w:hAnsi="仿宋_GB2312" w:cs="仿宋_GB2312" w:eastAsia="仿宋_GB2312"/>
                <w:sz w:val="24"/>
              </w:rPr>
              <w:t>④安全性原则：服务工作应不得影响系统和网络的正常运行；不得对现有系统的运行、业务的开展产生任何影响。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2）对系统及其他本地化业务系统网络安全进行升级提升服务；保障系统及其他本地化业务系统的稳定性和安全性。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3）系统新增设备、软件安装调试及安全保障、负责整个网络安全保障。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4）负责采购人安排的其他技术服务、咨询服务工作。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5）根据实际情况和采购人要求对业务系统运行环境进行安全维护保障，通过维护保障措施或更换实施零配件，提高业务系统运行稳定性和网络的安全性。</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成交</w:t>
            </w:r>
            <w:r>
              <w:rPr>
                <w:rFonts w:ascii="仿宋_GB2312" w:hAnsi="仿宋_GB2312" w:cs="仿宋_GB2312" w:eastAsia="仿宋_GB2312"/>
                <w:sz w:val="24"/>
                <w:color w:val="000000"/>
              </w:rPr>
              <w:t>供应商承诺在合同履行过程中为项目实施人员购买安全意外保险</w:t>
            </w:r>
            <w:r>
              <w:rPr>
                <w:rFonts w:ascii="仿宋_GB2312" w:hAnsi="仿宋_GB2312" w:cs="仿宋_GB2312" w:eastAsia="仿宋_GB2312"/>
                <w:sz w:val="24"/>
                <w:b/>
                <w:color w:val="000000"/>
              </w:rPr>
              <w:t>（投标时提供承诺函）。</w:t>
            </w:r>
          </w:p>
          <w:p>
            <w:pPr>
              <w:pStyle w:val="null3"/>
              <w:ind w:firstLine="480"/>
              <w:jc w:val="both"/>
            </w:pPr>
            <w:r>
              <w:rPr>
                <w:rFonts w:ascii="仿宋_GB2312" w:hAnsi="仿宋_GB2312" w:cs="仿宋_GB2312" w:eastAsia="仿宋_GB2312"/>
                <w:sz w:val="24"/>
                <w:color w:val="000000"/>
              </w:rPr>
              <w:t>3.成交供应商为本项目配备的服务团队的工作要求：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1）严格执行国家法律、法规、规章，遵守行业执业准则、职业道德规范和廉洁从业纪律规定。</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2）按照采购文件、合同约定，制定实施方案，组织人员参与服务，按时保质完成服务内容，实现服务目标，对服务程序、服务结果的真实性、合法性、完整性负责，并承担相应法律责任。</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3）成交供应商对服务过程中发现的重大问题和发生争议的重大事项应及时向采购人书面反映，并接受采购人的管理和监督。对执业过程中知悉的商业秘密严加保密，不得向外界泄露。</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抗风险能力要求：成交供应商针对本项目运行维护服务过程中因各种因素引发的纠纷事件，需有明确的处置流程，具备一定的责任承担能力；如相关政策进行调整或修改、废除，采购人则根据政策要求进行对应的调整或修改、废除（如疫情、自然灾害、政府相关政策调整或其它影响本项目的因素）。若因政策调整、计划变更或不具备工作条件等非采购人原因导致服务无法实施的，采购人有权根据工作需要无条件单方面解除本合同，不视作违约；若该项目部分服务无法实施，以实际实施内容支付服务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安全管理要求：成交供应商应加强安全管理教育和安全管理检查，发现问题和隐患及时处理和整改，避免施工过程中发生人身伤亡或其他事故。供应商须在响应文件中单独提供承诺函，承诺“自行承担本项目服务过程中所发生的所有安全事故责任、法律责任和赔偿责任，包括：其聘用的所有工作人员劳动用工安全事故、因操作不规范等因素造成的安全责任事故、与本项目相关的其他安全事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6）主体责任要求：成交供应商要严格遵守服务行业要求，服从采购人管理、监</w:t>
            </w:r>
            <w:r>
              <w:rPr>
                <w:rFonts w:ascii="仿宋_GB2312" w:hAnsi="仿宋_GB2312" w:cs="仿宋_GB2312" w:eastAsia="仿宋_GB2312"/>
                <w:sz w:val="24"/>
              </w:rPr>
              <w:t>督和指导。认真落实行业规范服务、安全稳定以及环境卫生等主体责任，有必要的防范措施预案。</w:t>
            </w:r>
          </w:p>
          <w:p>
            <w:pPr>
              <w:pStyle w:val="null3"/>
              <w:ind w:firstLine="480"/>
              <w:jc w:val="both"/>
            </w:pPr>
            <w:r>
              <w:rPr>
                <w:rFonts w:ascii="仿宋_GB2312" w:hAnsi="仿宋_GB2312" w:cs="仿宋_GB2312" w:eastAsia="仿宋_GB2312"/>
                <w:sz w:val="24"/>
              </w:rPr>
              <w:t>4.服务时限要求：运行维护维修服务应在接到报修工单30分钟内响应，城区4小时内到达现场及故障排除，特殊故障处理不超过12小时，农村24小时内到达现场及故障排除，特殊故障处理不超过48小时。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合同签定后365日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四川渠县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按照政府采购相关法律法规以及《财政部关于进一步加强政府采购需求和履约验收管理的指导意见》（财库[2016]205 号）、《政府采购需求管理办法》（财库〔2021〕22号）的要求及国家行业主管部门规定进行验收。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1、合同签订并生效后，达到付款条件起15日内，支付合同总金额的50.00%</w:t>
            </w:r>
          </w:p>
          <w:p>
            <w:pPr>
              <w:pStyle w:val="null3"/>
              <w:jc w:val="left"/>
            </w:pPr>
            <w:r>
              <w:rPr>
                <w:rFonts w:ascii="仿宋_GB2312" w:hAnsi="仿宋_GB2312" w:cs="仿宋_GB2312" w:eastAsia="仿宋_GB2312"/>
              </w:rPr>
              <w:t>2、合同履行半年并经采购人考核合格后，达到付款条件起15日内，支付合同总金额的40.00%</w:t>
            </w:r>
          </w:p>
          <w:p>
            <w:pPr>
              <w:pStyle w:val="null3"/>
              <w:jc w:val="left"/>
            </w:pPr>
            <w:r>
              <w:rPr>
                <w:rFonts w:ascii="仿宋_GB2312" w:hAnsi="仿宋_GB2312" w:cs="仿宋_GB2312" w:eastAsia="仿宋_GB2312"/>
              </w:rPr>
              <w:t>3、服务期满并经采购人验收合格后，达到付款条件起15日内，支付合同总金额的10.00%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采购人与中标供应商必须遵守本合同并执行合同中的各项规定，保证本合同的正常履行。2.如因中标供应商工作人员在履行职务过程中的疏忽、失职、过错等故意或者过失原因给采购人造成损失或侵害，包括但不限于采购人本身的财产损失、由此而导致的采购人对任何第三方的法律责任等，中标供应商对此均应承担全部的赔偿责任。 二、解决争议的方法：1.在执行本合同中发生的或与本合同有关的争端，采购人与中标供应商应通过友好协商解决，经协商在30天内不能达成协议时，应提交项目所在地仲裁委员会仲裁。2.仲裁裁决应为最终决定，并对采购人与中标供应商具有约束力。3.除另有裁决外，仲裁费应由败诉方负担。 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为保证项目顺利实施，供应商根据项目及公司自身情况提供项目实施方案内容包括：①项目背景认识及需求分析；②项目重、难点分析及应对措施；③运行维护服务目标及计划；④运行维护服务工作流程及技术方法；⑤人员安排人员培训；⑥拟投入本项目服务过程所需的设施设备安排；⑦服务过程中的响应时效；⑧日常巡检与预防性维护。（本项目不作实质性响应，仅为评分因素） 2.为保证项目顺利实施，供应商根据项目及公司自身情况提供质量管理方案内容包括：①质量保证体系；②质量控制措施；③作业时效管理方案；④质量检查的具体方案；⑤设备设施质量保障措施；⑥风险防范管理方案。（本项目不作实质性响应，仅为评分因素） 3.为保证项目顺利实施，供应商根据项目及公司自身情况提供应急管理方案内容包括：①服务期间应急保障计划；②服务期间应急预案；③服务期间应急处理措施。（本项目不作实质性响应，仅为评分因素） 4.为保证项目顺利实施，供应商根据项目及公司自身情况提供后续服务方案内容包括：①后续服务管理体系；②后续服务人员培训计划及保修计划；③后续服务保障措施。（本项目不作实质性响应，仅为评分因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1.供应商若为企业法人：提供“统一社会信用代码营业执照”； 2.若为事业法人：提供“统一社会信用代码法人登记证书”； 3.若为其他组织：提供“对应主管部门颁发的准许执业证明文件或营业执照”； 4.若为自然人：提供“身份证明材料”。</w:t>
            </w:r>
          </w:p>
        </w:tc>
        <w:tc>
          <w:tcPr>
            <w:tcW w:type="dxa" w:w="1661"/>
          </w:tcPr>
          <w:p>
            <w:pPr>
              <w:pStyle w:val="null3"/>
              <w:jc w:val="left"/>
            </w:pPr>
            <w:r>
              <w:rPr>
                <w:rFonts w:ascii="仿宋_GB2312" w:hAnsi="仿宋_GB2312" w:cs="仿宋_GB2312" w:eastAsia="仿宋_GB2312"/>
              </w:rPr>
              <w:t>供应商认为需要提供的其他资格证明材料.docx,投标文件封面,投标（响应）函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具有财务会计制度需提供以下其中一项证明材料： ①可提供近三年任一年度经审计的完整财务报告复印件（包含审计报告和审计报告中所涉及的财务报表、报表附注等）； ②可提供供应商内部的近三年任一年度财务报表复印件（至少包含资产负债表、利润表、现金流量表）； ③可提供截至响应文件递交截止日一年内银行出具的资信证明（复印件）； ④供应商注册时间截至响应文件递交截止日不足一年的，也可提供加盖工商备案主管部门印章的公司章程（复印件）。</w:t>
            </w:r>
          </w:p>
        </w:tc>
        <w:tc>
          <w:tcPr>
            <w:tcW w:type="dxa" w:w="1661"/>
          </w:tcPr>
          <w:p>
            <w:pPr>
              <w:pStyle w:val="null3"/>
              <w:jc w:val="left"/>
            </w:pPr>
            <w:r>
              <w:rPr>
                <w:rFonts w:ascii="仿宋_GB2312" w:hAnsi="仿宋_GB2312" w:cs="仿宋_GB2312" w:eastAsia="仿宋_GB2312"/>
              </w:rPr>
              <w:t>供应商认为需要提供的其他资格证明材料.docx,投标（响应）函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本项目技术服务及商务要求响应程度审查。</w:t>
            </w:r>
          </w:p>
        </w:tc>
        <w:tc>
          <w:tcPr>
            <w:tcW w:type="dxa" w:w="3322"/>
          </w:tcPr>
          <w:p>
            <w:pPr>
              <w:pStyle w:val="null3"/>
              <w:jc w:val="left"/>
            </w:pPr>
            <w:r>
              <w:rPr>
                <w:rFonts w:ascii="仿宋_GB2312" w:hAnsi="仿宋_GB2312" w:cs="仿宋_GB2312" w:eastAsia="仿宋_GB2312"/>
              </w:rPr>
              <w:t>审查投标供应商对本项目技术服务及商务要求的响应情况。</w:t>
            </w:r>
          </w:p>
        </w:tc>
        <w:tc>
          <w:tcPr>
            <w:tcW w:type="dxa" w:w="1661"/>
          </w:tcPr>
          <w:p>
            <w:pPr>
              <w:pStyle w:val="null3"/>
              <w:jc w:val="left"/>
            </w:pPr>
            <w:r>
              <w:rPr>
                <w:rFonts w:ascii="仿宋_GB2312" w:hAnsi="仿宋_GB2312" w:cs="仿宋_GB2312" w:eastAsia="仿宋_GB2312"/>
              </w:rPr>
              <w:t>供应商认为需要提供的其他证明材料.docx,技术服务及商务要求应答表.docx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根据供应商针对本项目实际情况提供的项目实施方案，内容包括： ①项目背景认识及需求分析； ②项目重、难点分析及应对措施； ③运行维护服务目标及计划； ④运行维护服务工作流程及技术方法； ⑤人员安排人员培训； ⑥拟投入本项目服务过程所需的设施设备安排； ⑦服务过程中的响应时效； ⑧日常巡检与预防性维护。 根据以上内容进行综合评审，方案完全包含上述内容，且内容满足项目需求的得32分，每缺少一项内容扣4分，每有一项不足或缺陷的扣2分，扣完为止。 注： 1.不足具体是指对应单项中的内容缺失(不完整)、与对应单项的要求缺少重要节点(如仅有框架或标题、单项内容仅有复制招标内容的要求、涉及内容无重点。 2.缺陷具体是指单项方案中出现套用其他项目方案或内容、内容中出现前后描述不一致现象或语言描述出现错误、内容涉及适用的规范及标准(方法)出现错误、实施地点区域错误等任意一种情形。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质量管理方案</w:t>
            </w:r>
          </w:p>
        </w:tc>
        <w:tc>
          <w:tcPr>
            <w:tcW w:type="dxa" w:w="2575"/>
          </w:tcPr>
          <w:p>
            <w:pPr>
              <w:pStyle w:val="null3"/>
              <w:jc w:val="left"/>
            </w:pPr>
            <w:r>
              <w:rPr>
                <w:rFonts w:ascii="仿宋_GB2312" w:hAnsi="仿宋_GB2312" w:cs="仿宋_GB2312" w:eastAsia="仿宋_GB2312"/>
              </w:rPr>
              <w:t>根据供应商针对本项目实际情况提供的质量管理方案，内容包括： ①质量保证体系； ②质量控制措施； ③作业时效管理方案； ④质量检查的具体方案； ⑤设备设施质量保障措施； ⑥风险防范管理方案。 根据以上内容进行综合评审，方案完全包含上述内容，且内容满足项目需求的得24分，每缺少一项内容扣4分，每有一项不足或缺陷的扣2分，扣完为止。 注： 1.不足具体是指对应单项中的内容缺失(不完整)、与对应单项的要求缺少重要节点(如仅有框架或标题、单项内容仅有复制招标内容的要求、涉及内容无重点。 2.缺陷具体是指单项方案中出现套用其他项目方案或内容、内容中出现前后描述不一致现象或语言描述出现错误、内容涉及适用的规范及标准(方法)出现错误、实施地点区域错误等任意一种情形。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应急管理方案</w:t>
            </w:r>
          </w:p>
        </w:tc>
        <w:tc>
          <w:tcPr>
            <w:tcW w:type="dxa" w:w="2575"/>
          </w:tcPr>
          <w:p>
            <w:pPr>
              <w:pStyle w:val="null3"/>
              <w:jc w:val="left"/>
            </w:pPr>
            <w:r>
              <w:rPr>
                <w:rFonts w:ascii="仿宋_GB2312" w:hAnsi="仿宋_GB2312" w:cs="仿宋_GB2312" w:eastAsia="仿宋_GB2312"/>
              </w:rPr>
              <w:t>根据供应商针对本项目实际情况提供的应急管理方案，内容包括： ①服务期间应急保障计划； ②服务期间应急预案； ③服务期间应急处理措施。 根据以上内容进行综合评审，方案完全包含上述内容，且内容满足项目需求的得12分，每缺少一项内容扣4分，每有一项不足或缺陷的扣2分，扣完为止。 注： 1.不足具体是指对应单项中的内容缺失(不完整)、与对应单项的要求缺少重要节点(如仅有框架或标题、单项内容仅有复制招标内容的要求、涉及内容无重点。 2.缺陷具体是指单项方案中出现套用其他项目方案或内容、内容中出现前后描述不一致现象或语言描述出现错误、内容涉及适用的规范及标准(方法)出现错误、实施地点区域错误等任意一种情形。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根据供应商针对本项目实际情况提供的后续服务方案，内容包括： ①后续服务管理体系； ②后续服务人员培训计划及保修计划； ③后续服务保障措施。 根据以上内容进行综合评审，方案完全包含上述内容，且内容满足项目需求的得12分，每缺少一项内容扣4分，每有一项不足或缺陷的扣2分，扣完为止。 注： 1.不足具体是指对应单项中的内容缺失(不完整)、与对应单项的要求缺少重要节点(如仅有框架或标题、单项内容仅有复制招标内容的要求、涉及内容无重点。 2.缺陷具体是指单项方案中出现套用其他项目方案或内容、内容中出现前后描述不一致现象或语言描述出现错误、内容涉及适用的规范及标准(方法)出现错误、实施地点区域错误等任意一种情形。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供应商具有一个类似项目业绩的得2.5分，每增加一个类似项目业绩加2.5分，本项最多得5分。 注：提供中标/成交通知书或合同复印件，否则不得分。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详见附件：供应商认为需要提供的其他资格证明材料.docx</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详见附件：技术服务及商务要求应答表.docx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