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版本号：N513437202600001120260330001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2026年地质灾害汛前、汛中、汛后排查及地质灾害综合防治体系专业技术支撑服务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N5134372026000011</w:t>
      </w:r>
    </w:p>
    <w:p>
      <w:pPr>
        <w:pStyle w:val="null3"/>
        <w:jc w:val="left"/>
        <w:outlineLvl w:val="2"/>
      </w:pPr>
      <w:r>
        <w:rPr>
          <w:rFonts w:ascii="仿宋_GB2312" w:hAnsi="仿宋_GB2312" w:cs="仿宋_GB2312" w:eastAsia="仿宋_GB2312"/>
          <w:sz w:val="28"/>
          <w:b/>
        </w:rPr>
        <w:t>雷波县自然资源局</w:t>
      </w:r>
    </w:p>
    <w:p>
      <w:pPr>
        <w:pStyle w:val="null3"/>
        <w:jc w:val="center"/>
        <w:outlineLvl w:val="2"/>
      </w:pPr>
      <w:r>
        <w:rPr>
          <w:rFonts w:ascii="仿宋_GB2312" w:hAnsi="仿宋_GB2312" w:cs="仿宋_GB2312" w:eastAsia="仿宋_GB2312"/>
          <w:sz w:val="28"/>
          <w:b/>
        </w:rPr>
        <w:t>凉山州锐行工程项目管理有限公司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凉山州锐行工程项目管理有限公司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雷波县自然资源局</w:t>
      </w:r>
      <w:r>
        <w:rPr>
          <w:rFonts w:ascii="仿宋_GB2312" w:hAnsi="仿宋_GB2312" w:cs="仿宋_GB2312" w:eastAsia="仿宋_GB2312"/>
        </w:rPr>
        <w:t xml:space="preserve"> 委托，拟对 </w:t>
      </w:r>
      <w:r>
        <w:rPr>
          <w:rFonts w:ascii="仿宋_GB2312" w:hAnsi="仿宋_GB2312" w:cs="仿宋_GB2312" w:eastAsia="仿宋_GB2312"/>
        </w:rPr>
        <w:t>2026年地质灾害汛前、汛中、汛后排查及地质灾害综合防治体系专业技术支撑服务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凉山彝族自治州雷波县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N5134372026000011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2026年地质灾害汛前、汛中、汛后排查及地质灾害综合防治体系专业技术支撑服务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对雷波县2026年地质灾害汛前、汛中、汛后排查及地质灾害综合防治体系提供专业技术支撑服务。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1、根据本项目提出的特殊条件（描述：具备行政主管部门颁发的地质灾害评估和治理工程勘查设计乙级及以上资质。（提供证书复印件）并进行电子签章）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雷波县自然资源局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雷波县锦城镇东升路152号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616550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0834-8822073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凉山州锐行工程项目管理有限公司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雷波县锦城镇北环路100号4楼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616550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0834-8867880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按照《国家发展改革委关于进一步放开建设项目专业服务价格的通知》(发改价格〔2015〕299号)规定、《四川省政府采购营商环境指标提升专项行动工作方案》中“成本+合理利润”原则，以采购包对应的中标（成交）金额作为计算基数，参照《招标代理服务收费管理办法》计价格[2002]1980号文和发改价格[2011]534号文，差额定率累进法进行计算，并按以下费率标准（服务采购项目）收取：（1）100万元以下，费率1.5%；100万元-500万元，费率0.8% 2.由中标（成交）供应商在领取中标（成交）通知书前向采购代理机构一次性缴纳全额代理服务费。 3.凉山州锐行工程项目管理有限公司基本账户信息 账户名称：凉山州锐行工程项目管理有限公司 开户行账户：94910120000004183 开户银行：凉山农村商业银行股份有限公司黄琅分理处 开户行行号：314684000016</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雷波县自然资源局</w:t>
      </w:r>
      <w:r>
        <w:rPr>
          <w:rFonts w:ascii="仿宋_GB2312" w:hAnsi="仿宋_GB2312" w:cs="仿宋_GB2312" w:eastAsia="仿宋_GB2312"/>
        </w:rPr>
        <w:t xml:space="preserve"> 和 </w:t>
      </w:r>
      <w:r>
        <w:rPr>
          <w:rFonts w:ascii="仿宋_GB2312" w:hAnsi="仿宋_GB2312" w:cs="仿宋_GB2312" w:eastAsia="仿宋_GB2312"/>
        </w:rPr>
        <w:t>凉山州锐行工程项目管理有限公司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雷波县自然资源局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凉山州锐行工程项目管理有限公司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如有在合同中另行约定。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按照本项目磋商文件中3.2.技术要求及成交供应商响应文件进行验收。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 （财库〔2016〕205号）的要求进行验收。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如有在合同中另行约定。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凉山州锐行工程项目管理有限公司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凉山州锐行工程项目管理有限公司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凉山州锐行工程项目管理有限公司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联系人：冯老师</w:t>
      </w:r>
    </w:p>
    <w:p>
      <w:pPr>
        <w:pStyle w:val="null3"/>
        <w:jc w:val="left"/>
      </w:pPr>
      <w:r>
        <w:rPr>
          <w:rFonts w:ascii="仿宋_GB2312" w:hAnsi="仿宋_GB2312" w:cs="仿宋_GB2312" w:eastAsia="仿宋_GB2312"/>
        </w:rPr>
        <w:t>联系电话：0834-8867880</w:t>
      </w:r>
    </w:p>
    <w:p>
      <w:pPr>
        <w:pStyle w:val="null3"/>
        <w:jc w:val="left"/>
      </w:pPr>
      <w:r>
        <w:rPr>
          <w:rFonts w:ascii="仿宋_GB2312" w:hAnsi="仿宋_GB2312" w:cs="仿宋_GB2312" w:eastAsia="仿宋_GB2312"/>
        </w:rPr>
        <w:t>地址：雷波县锦城镇北环路100号4楼</w:t>
      </w:r>
    </w:p>
    <w:p>
      <w:pPr>
        <w:pStyle w:val="null3"/>
        <w:jc w:val="left"/>
      </w:pPr>
      <w:r>
        <w:rPr>
          <w:rFonts w:ascii="仿宋_GB2312" w:hAnsi="仿宋_GB2312" w:cs="仿宋_GB2312" w:eastAsia="仿宋_GB2312"/>
        </w:rPr>
        <w:t>邮编：616550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2026年地质灾害汛前、汛中、汛后排查及地质灾害综合防治体系专业技术支撑服务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2026年地质灾害汛前、汛中、汛后排查及地质灾害综合防治体系专业技术支撑服务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供应商须在最高控制限价范围内结合本项目实际情况和本项目评标办法自主进行报价。</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标的名称：2026年地质灾害汛前、汛中、汛后排查及地质灾害综合防治体系专业技术支撑服务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技术服务要求（实质性要求）</w:t>
            </w:r>
          </w:p>
        </w:tc>
        <w:tc>
          <w:tcPr>
            <w:tcW w:type="dxa" w:w="5814"/>
          </w:tcPr>
          <w:p>
            <w:pPr>
              <w:pStyle w:val="null3"/>
              <w:jc w:val="both"/>
            </w:pPr>
            <w:r>
              <w:rPr>
                <w:rFonts w:ascii="仿宋_GB2312" w:hAnsi="仿宋_GB2312" w:cs="仿宋_GB2312" w:eastAsia="仿宋_GB2312"/>
                <w:sz w:val="28"/>
              </w:rPr>
              <w:t>一、工作内容及范围</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、技术支撑</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）协助雷波县自然资源局完善地质灾害管理台账，指导乡镇强化地质灾害防治措施和建议，使地质灾害管理形成闭环。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）复核群众报灾复核，对存在安全隐患的非预案点，从专业角度出发，通过研判明确有隐患的非预案点是否建立地质灾害预案。</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）协助雷波县自然资源局完善地质灾害防治工作安排、防灾责任制度落实及年度预案和应急预案编制。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）协助雷波县自然资源局完成“一表两卡”发放、应急演练、巡查排查、群测群防监测预警等工作的准备及开展。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）协助雷波县自然资源局完成县政府其他职能部门相关地灾工作。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）协助雷波县自然资源局完成小型地质灾害、险情处置、灾险情调查处置、报表、成功避险报告等信息的报送。</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、地质灾害隐患排查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）对已有隐患点进行核查，逐一分析研判地质灾害预案点的风险程度，复核受威胁对象信息及防灾措施建议。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对在建工程进行排查，充分利用已有卫片图斑、往期排查成果等资料对水电、交通、地灾等各类在建工程及工棚营地开展地质灾害隐患巡排查，严格项目地灾应急预案和地质灾害危险评估审查，发现问题，立即要求整改，同步移交主管行业部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盯紧水电库区、集中安置点、森林火灾迹地、铁路公路沿线、矿区、景区、学校、医院等凡是有人员居住和活动的区域，特别是要重点关注偏远山区、沟口岸边散居农户，全面开展“拉网式”“地毯式”地灾隐患排查，尤其是针对农村自主切坡建房，要仔细排查房前屋后是否存在地灾隐患，并提出明确的防治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对新发现的地质灾害隐患点，全面评价其类型、规模、成因及发展趋势，划定危险区范围，逐点登记造册，落实防灾责任清单，按照四川省地质灾害隐患点动态管理办法申报入库，逐一制定防灾预案，建立警示标识标牌，分门别类落实防范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结合工作实际，用简明的语言、视频、宣传图册等方式让广大干部群众清楚明白地质灾害基础知识、简易监测及防灾手段、灾情险情上报流程等防灾常识，针对地质灾害隐患点及在建工程、水电站库区、矿山、旅游景区、铁路沿线、森林火烧迹地等相关区域，逐点开展至少</w:t>
            </w:r>
            <w:r>
              <w:rPr>
                <w:rFonts w:ascii="仿宋_GB2312" w:hAnsi="仿宋_GB2312" w:cs="仿宋_GB2312" w:eastAsia="仿宋_GB2312"/>
                <w:sz w:val="28"/>
              </w:rPr>
              <w:t>1</w:t>
            </w:r>
            <w:r>
              <w:rPr>
                <w:rFonts w:ascii="仿宋_GB2312" w:hAnsi="仿宋_GB2312" w:cs="仿宋_GB2312" w:eastAsia="仿宋_GB2312"/>
                <w:sz w:val="28"/>
              </w:rPr>
              <w:t>次地灾防治宣传培训及避险演练。</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）根据相关文件及规范要求按时保质保量完成雷波县</w:t>
            </w:r>
            <w:r>
              <w:rPr>
                <w:rFonts w:ascii="仿宋_GB2312" w:hAnsi="仿宋_GB2312" w:cs="仿宋_GB2312" w:eastAsia="仿宋_GB2312"/>
                <w:sz w:val="28"/>
              </w:rPr>
              <w:t>2026</w:t>
            </w:r>
            <w:r>
              <w:rPr>
                <w:rFonts w:ascii="仿宋_GB2312" w:hAnsi="仿宋_GB2312" w:cs="仿宋_GB2312" w:eastAsia="仿宋_GB2312"/>
                <w:sz w:val="28"/>
              </w:rPr>
              <w:t>年汛前、汛期、汛后地质灾害专业巡排查工作，并按时间节点要求提交各阶段排查成果报告。</w:t>
            </w:r>
          </w:p>
          <w:p>
            <w:pPr>
              <w:pStyle w:val="null3"/>
              <w:jc w:val="both"/>
            </w:pPr>
            <w:r>
              <w:rPr>
                <w:rFonts w:ascii="仿宋_GB2312" w:hAnsi="仿宋_GB2312" w:cs="仿宋_GB2312" w:eastAsia="仿宋_GB2312"/>
                <w:sz w:val="28"/>
              </w:rPr>
              <w:t>二、人员及设备、车辆配置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、基本硬件支撑：</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）驻守人员要求：①</w:t>
            </w:r>
            <w:r>
              <w:rPr>
                <w:rFonts w:ascii="仿宋_GB2312" w:hAnsi="仿宋_GB2312" w:cs="仿宋_GB2312" w:eastAsia="仿宋_GB2312"/>
                <w:sz w:val="28"/>
              </w:rPr>
              <w:t>水工环</w:t>
            </w:r>
            <w:r>
              <w:rPr>
                <w:rFonts w:ascii="仿宋_GB2312" w:hAnsi="仿宋_GB2312" w:cs="仿宋_GB2312" w:eastAsia="仿宋_GB2312"/>
                <w:sz w:val="28"/>
              </w:rPr>
              <w:t>相关专业工程师及以上</w:t>
            </w:r>
            <w:r>
              <w:rPr>
                <w:rFonts w:ascii="仿宋_GB2312" w:hAnsi="仿宋_GB2312" w:cs="仿宋_GB2312" w:eastAsia="仿宋_GB2312"/>
                <w:sz w:val="28"/>
              </w:rPr>
              <w:t>2</w:t>
            </w:r>
            <w:r>
              <w:rPr>
                <w:rFonts w:ascii="仿宋_GB2312" w:hAnsi="仿宋_GB2312" w:cs="仿宋_GB2312" w:eastAsia="仿宋_GB2312"/>
                <w:sz w:val="28"/>
              </w:rPr>
              <w:t>名</w:t>
            </w:r>
            <w:r>
              <w:rPr>
                <w:rFonts w:ascii="仿宋_GB2312" w:hAnsi="仿宋_GB2312" w:cs="仿宋_GB2312" w:eastAsia="仿宋_GB2312"/>
                <w:sz w:val="28"/>
              </w:rPr>
              <w:t>；</w:t>
            </w:r>
            <w:r>
              <w:rPr>
                <w:rFonts w:ascii="仿宋_GB2312" w:hAnsi="仿宋_GB2312" w:cs="仿宋_GB2312" w:eastAsia="仿宋_GB2312"/>
                <w:sz w:val="28"/>
              </w:rPr>
              <w:t>②</w:t>
            </w:r>
            <w:r>
              <w:rPr>
                <w:rFonts w:ascii="仿宋_GB2312" w:hAnsi="仿宋_GB2312" w:cs="仿宋_GB2312" w:eastAsia="仿宋_GB2312"/>
                <w:sz w:val="28"/>
              </w:rPr>
              <w:t>水工环</w:t>
            </w:r>
            <w:r>
              <w:rPr>
                <w:rFonts w:ascii="仿宋_GB2312" w:hAnsi="仿宋_GB2312" w:cs="仿宋_GB2312" w:eastAsia="仿宋_GB2312"/>
                <w:sz w:val="28"/>
              </w:rPr>
              <w:t>相关专业助理工程师及以上</w:t>
            </w:r>
            <w:r>
              <w:rPr>
                <w:rFonts w:ascii="仿宋_GB2312" w:hAnsi="仿宋_GB2312" w:cs="仿宋_GB2312" w:eastAsia="仿宋_GB2312"/>
                <w:sz w:val="28"/>
              </w:rPr>
              <w:t>1</w:t>
            </w:r>
            <w:r>
              <w:rPr>
                <w:rFonts w:ascii="仿宋_GB2312" w:hAnsi="仿宋_GB2312" w:cs="仿宋_GB2312" w:eastAsia="仿宋_GB2312"/>
                <w:sz w:val="28"/>
              </w:rPr>
              <w:t>名；③驾驶员</w:t>
            </w:r>
            <w:r>
              <w:rPr>
                <w:rFonts w:ascii="仿宋_GB2312" w:hAnsi="仿宋_GB2312" w:cs="仿宋_GB2312" w:eastAsia="仿宋_GB2312"/>
                <w:sz w:val="28"/>
              </w:rPr>
              <w:t>2</w:t>
            </w:r>
            <w:r>
              <w:rPr>
                <w:rFonts w:ascii="仿宋_GB2312" w:hAnsi="仿宋_GB2312" w:cs="仿宋_GB2312" w:eastAsia="仿宋_GB2312"/>
                <w:sz w:val="28"/>
              </w:rPr>
              <w:t>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）技术设备需求（至少）：①无人机一台；②笔记本电脑</w:t>
            </w:r>
            <w:r>
              <w:rPr>
                <w:rFonts w:ascii="仿宋_GB2312" w:hAnsi="仿宋_GB2312" w:cs="仿宋_GB2312" w:eastAsia="仿宋_GB2312"/>
                <w:sz w:val="28"/>
              </w:rPr>
              <w:t>3</w:t>
            </w:r>
            <w:r>
              <w:rPr>
                <w:rFonts w:ascii="仿宋_GB2312" w:hAnsi="仿宋_GB2312" w:cs="仿宋_GB2312" w:eastAsia="仿宋_GB2312"/>
                <w:sz w:val="28"/>
              </w:rPr>
              <w:t>台；③</w:t>
            </w:r>
            <w:r>
              <w:rPr>
                <w:rFonts w:ascii="仿宋_GB2312" w:hAnsi="仿宋_GB2312" w:cs="仿宋_GB2312" w:eastAsia="仿宋_GB2312"/>
                <w:sz w:val="28"/>
              </w:rPr>
              <w:t>GPS</w:t>
            </w:r>
            <w:r>
              <w:rPr>
                <w:rFonts w:ascii="仿宋_GB2312" w:hAnsi="仿宋_GB2312" w:cs="仿宋_GB2312" w:eastAsia="仿宋_GB2312"/>
                <w:sz w:val="28"/>
              </w:rPr>
              <w:t>设备</w:t>
            </w:r>
            <w:r>
              <w:rPr>
                <w:rFonts w:ascii="仿宋_GB2312" w:hAnsi="仿宋_GB2312" w:cs="仿宋_GB2312" w:eastAsia="仿宋_GB2312"/>
                <w:sz w:val="28"/>
              </w:rPr>
              <w:t>1</w:t>
            </w:r>
            <w:r>
              <w:rPr>
                <w:rFonts w:ascii="仿宋_GB2312" w:hAnsi="仿宋_GB2312" w:cs="仿宋_GB2312" w:eastAsia="仿宋_GB2312"/>
                <w:sz w:val="28"/>
              </w:rPr>
              <w:t>台；④罗盘</w:t>
            </w:r>
            <w:r>
              <w:rPr>
                <w:rFonts w:ascii="仿宋_GB2312" w:hAnsi="仿宋_GB2312" w:cs="仿宋_GB2312" w:eastAsia="仿宋_GB2312"/>
                <w:sz w:val="28"/>
              </w:rPr>
              <w:t>1</w:t>
            </w:r>
            <w:r>
              <w:rPr>
                <w:rFonts w:ascii="仿宋_GB2312" w:hAnsi="仿宋_GB2312" w:cs="仿宋_GB2312" w:eastAsia="仿宋_GB2312"/>
                <w:sz w:val="28"/>
              </w:rPr>
              <w:t>台；⑤数码相机</w:t>
            </w:r>
            <w:r>
              <w:rPr>
                <w:rFonts w:ascii="仿宋_GB2312" w:hAnsi="仿宋_GB2312" w:cs="仿宋_GB2312" w:eastAsia="仿宋_GB2312"/>
                <w:sz w:val="28"/>
              </w:rPr>
              <w:t>1</w:t>
            </w:r>
            <w:r>
              <w:rPr>
                <w:rFonts w:ascii="仿宋_GB2312" w:hAnsi="仿宋_GB2312" w:cs="仿宋_GB2312" w:eastAsia="仿宋_GB2312"/>
                <w:sz w:val="28"/>
              </w:rPr>
              <w:t>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）交通工具需求：①排量</w:t>
            </w:r>
            <w:r>
              <w:rPr>
                <w:rFonts w:ascii="仿宋_GB2312" w:hAnsi="仿宋_GB2312" w:cs="仿宋_GB2312" w:eastAsia="仿宋_GB2312"/>
                <w:sz w:val="28"/>
              </w:rPr>
              <w:t>4.0L</w:t>
            </w:r>
            <w:r>
              <w:rPr>
                <w:rFonts w:ascii="仿宋_GB2312" w:hAnsi="仿宋_GB2312" w:cs="仿宋_GB2312" w:eastAsia="仿宋_GB2312"/>
                <w:sz w:val="28"/>
              </w:rPr>
              <w:t>及以上四驱车</w:t>
            </w:r>
            <w:r>
              <w:rPr>
                <w:rFonts w:ascii="仿宋_GB2312" w:hAnsi="仿宋_GB2312" w:cs="仿宋_GB2312" w:eastAsia="仿宋_GB2312"/>
                <w:sz w:val="28"/>
              </w:rPr>
              <w:t>2</w:t>
            </w:r>
            <w:r>
              <w:rPr>
                <w:rFonts w:ascii="仿宋_GB2312" w:hAnsi="仿宋_GB2312" w:cs="仿宋_GB2312" w:eastAsia="仿宋_GB2312"/>
                <w:sz w:val="28"/>
              </w:rPr>
              <w:t>辆常驻雷波。</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、巡排查要求：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）人员配置：①</w:t>
            </w:r>
            <w:r>
              <w:rPr>
                <w:rFonts w:ascii="仿宋_GB2312" w:hAnsi="仿宋_GB2312" w:cs="仿宋_GB2312" w:eastAsia="仿宋_GB2312"/>
                <w:sz w:val="28"/>
              </w:rPr>
              <w:t>水工环相关专业工程师及以上</w:t>
            </w:r>
            <w:r>
              <w:rPr>
                <w:rFonts w:ascii="仿宋_GB2312" w:hAnsi="仿宋_GB2312" w:cs="仿宋_GB2312" w:eastAsia="仿宋_GB2312"/>
                <w:sz w:val="28"/>
              </w:rPr>
              <w:t>3</w:t>
            </w:r>
            <w:r>
              <w:rPr>
                <w:rFonts w:ascii="仿宋_GB2312" w:hAnsi="仿宋_GB2312" w:cs="仿宋_GB2312" w:eastAsia="仿宋_GB2312"/>
                <w:sz w:val="28"/>
              </w:rPr>
              <w:t>名；②水工环相关专业助理工程师及以上</w:t>
            </w:r>
            <w:r>
              <w:rPr>
                <w:rFonts w:ascii="仿宋_GB2312" w:hAnsi="仿宋_GB2312" w:cs="仿宋_GB2312" w:eastAsia="仿宋_GB2312"/>
                <w:sz w:val="28"/>
              </w:rPr>
              <w:t>3</w:t>
            </w:r>
            <w:r>
              <w:rPr>
                <w:rFonts w:ascii="仿宋_GB2312" w:hAnsi="仿宋_GB2312" w:cs="仿宋_GB2312" w:eastAsia="仿宋_GB2312"/>
                <w:sz w:val="28"/>
              </w:rPr>
              <w:t>名；③驾驶员</w:t>
            </w:r>
            <w:r>
              <w:rPr>
                <w:rFonts w:ascii="仿宋_GB2312" w:hAnsi="仿宋_GB2312" w:cs="仿宋_GB2312" w:eastAsia="仿宋_GB2312"/>
                <w:sz w:val="28"/>
              </w:rPr>
              <w:t>3</w:t>
            </w:r>
            <w:r>
              <w:rPr>
                <w:rFonts w:ascii="仿宋_GB2312" w:hAnsi="仿宋_GB2312" w:cs="仿宋_GB2312" w:eastAsia="仿宋_GB2312"/>
                <w:sz w:val="28"/>
              </w:rPr>
              <w:t>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）技术设备需求：①无人机</w:t>
            </w:r>
            <w:r>
              <w:rPr>
                <w:rFonts w:ascii="仿宋_GB2312" w:hAnsi="仿宋_GB2312" w:cs="仿宋_GB2312" w:eastAsia="仿宋_GB2312"/>
                <w:sz w:val="28"/>
              </w:rPr>
              <w:t>3</w:t>
            </w:r>
            <w:r>
              <w:rPr>
                <w:rFonts w:ascii="仿宋_GB2312" w:hAnsi="仿宋_GB2312" w:cs="仿宋_GB2312" w:eastAsia="仿宋_GB2312"/>
                <w:sz w:val="28"/>
              </w:rPr>
              <w:t>台；②笔记本电脑</w:t>
            </w:r>
            <w:r>
              <w:rPr>
                <w:rFonts w:ascii="仿宋_GB2312" w:hAnsi="仿宋_GB2312" w:cs="仿宋_GB2312" w:eastAsia="仿宋_GB2312"/>
                <w:sz w:val="28"/>
              </w:rPr>
              <w:t>3</w:t>
            </w:r>
            <w:r>
              <w:rPr>
                <w:rFonts w:ascii="仿宋_GB2312" w:hAnsi="仿宋_GB2312" w:cs="仿宋_GB2312" w:eastAsia="仿宋_GB2312"/>
                <w:sz w:val="28"/>
              </w:rPr>
              <w:t>台；③</w:t>
            </w:r>
            <w:r>
              <w:rPr>
                <w:rFonts w:ascii="仿宋_GB2312" w:hAnsi="仿宋_GB2312" w:cs="仿宋_GB2312" w:eastAsia="仿宋_GB2312"/>
                <w:sz w:val="28"/>
              </w:rPr>
              <w:t>GPS</w:t>
            </w:r>
            <w:r>
              <w:rPr>
                <w:rFonts w:ascii="仿宋_GB2312" w:hAnsi="仿宋_GB2312" w:cs="仿宋_GB2312" w:eastAsia="仿宋_GB2312"/>
                <w:sz w:val="28"/>
              </w:rPr>
              <w:t>设备</w:t>
            </w:r>
            <w:r>
              <w:rPr>
                <w:rFonts w:ascii="仿宋_GB2312" w:hAnsi="仿宋_GB2312" w:cs="仿宋_GB2312" w:eastAsia="仿宋_GB2312"/>
                <w:sz w:val="28"/>
              </w:rPr>
              <w:t>3</w:t>
            </w:r>
            <w:r>
              <w:rPr>
                <w:rFonts w:ascii="仿宋_GB2312" w:hAnsi="仿宋_GB2312" w:cs="仿宋_GB2312" w:eastAsia="仿宋_GB2312"/>
                <w:sz w:val="28"/>
              </w:rPr>
              <w:t>台；④罗盘</w:t>
            </w:r>
            <w:r>
              <w:rPr>
                <w:rFonts w:ascii="仿宋_GB2312" w:hAnsi="仿宋_GB2312" w:cs="仿宋_GB2312" w:eastAsia="仿宋_GB2312"/>
                <w:sz w:val="28"/>
              </w:rPr>
              <w:t>3</w:t>
            </w:r>
            <w:r>
              <w:rPr>
                <w:rFonts w:ascii="仿宋_GB2312" w:hAnsi="仿宋_GB2312" w:cs="仿宋_GB2312" w:eastAsia="仿宋_GB2312"/>
                <w:sz w:val="28"/>
              </w:rPr>
              <w:t>台；⑤数码相机</w:t>
            </w:r>
            <w:r>
              <w:rPr>
                <w:rFonts w:ascii="仿宋_GB2312" w:hAnsi="仿宋_GB2312" w:cs="仿宋_GB2312" w:eastAsia="仿宋_GB2312"/>
                <w:sz w:val="28"/>
              </w:rPr>
              <w:t>3</w:t>
            </w:r>
            <w:r>
              <w:rPr>
                <w:rFonts w:ascii="仿宋_GB2312" w:hAnsi="仿宋_GB2312" w:cs="仿宋_GB2312" w:eastAsia="仿宋_GB2312"/>
                <w:sz w:val="28"/>
              </w:rPr>
              <w:t>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）交通工具需求：①排量</w:t>
            </w:r>
            <w:r>
              <w:rPr>
                <w:rFonts w:ascii="仿宋_GB2312" w:hAnsi="仿宋_GB2312" w:cs="仿宋_GB2312" w:eastAsia="仿宋_GB2312"/>
                <w:sz w:val="28"/>
              </w:rPr>
              <w:t>4.0L</w:t>
            </w:r>
            <w:r>
              <w:rPr>
                <w:rFonts w:ascii="仿宋_GB2312" w:hAnsi="仿宋_GB2312" w:cs="仿宋_GB2312" w:eastAsia="仿宋_GB2312"/>
                <w:sz w:val="28"/>
              </w:rPr>
              <w:t>及以上四驱车</w:t>
            </w:r>
            <w:r>
              <w:rPr>
                <w:rFonts w:ascii="仿宋_GB2312" w:hAnsi="仿宋_GB2312" w:cs="仿宋_GB2312" w:eastAsia="仿宋_GB2312"/>
                <w:sz w:val="28"/>
              </w:rPr>
              <w:t>3</w:t>
            </w:r>
            <w:r>
              <w:rPr>
                <w:rFonts w:ascii="仿宋_GB2312" w:hAnsi="仿宋_GB2312" w:cs="仿宋_GB2312" w:eastAsia="仿宋_GB2312"/>
                <w:sz w:val="28"/>
              </w:rPr>
              <w:t>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both"/>
            </w:pPr>
            <w:r>
              <w:rPr>
                <w:rFonts w:ascii="仿宋_GB2312" w:hAnsi="仿宋_GB2312" w:cs="仿宋_GB2312" w:eastAsia="仿宋_GB2312"/>
                <w:sz w:val="28"/>
              </w:rPr>
              <w:t>一、工作内容及范围</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、技术支撑</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）协助雷波县自然资源局完善地质灾害管理台账，指导乡镇强化地质灾害防治措施和建议，使地质灾害管理形成闭环。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）复核群众报灾复核，对存在安全隐患的非预案点，从专业角度出发，通过研判明确有隐患的非预案点是否建立地质灾害预案。</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）协助雷波县自然资源局完善地质灾害防治工作安排、防灾责任制度落实及年度预案和应急预案编制。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）协助雷波县自然资源局完成“一表两卡”发放、应急演练、巡查排查、群测群防监测预警等工作的准备及开展。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）协助雷波县自然资源局完成县政府其他职能部门相关地灾工作。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）协助雷波县自然资源局完成小型地质灾害、险情处置、灾险情调查处置、报表、成功避险报告等信息的报送。</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、地质灾害隐患排查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）对已有隐患点进行核查，逐一分析研判地质灾害预案点的风险程度，复核受威胁对象信息及防灾措施建议。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对在建工程进行排查，充分利用已有卫片图斑、往期排查成果等资料对水电、交通、地灾等各类在建工程及工棚营地开展地质灾害隐患巡排查，严格项目地灾应急预案和地质灾害危险评估审查，发现问题，立即要求整改，同步移交主管行业部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盯紧水电库区、集中安置点、森林火灾迹地、铁路公路沿线、矿区、景区、学校、医院等凡是有人员居住和活动的区域，特别是要重点关注偏远山区、沟口岸边散居农户，全面开展“拉网式”“地毯式”地灾隐患排查，尤其是针对农村自主切坡建房，要仔细排查房前屋后是否存在地灾隐患，并提出明确的防治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对新发现的地质灾害隐患点，全面评价其类型、规模、成因及发展趋势，划定危险区范围，逐点登记造册，落实防灾责任清单，按照四川省地质灾害隐患点动态管理办法申报入库，逐一制定防灾预案，建立警示标识标牌，分门别类落实防范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结合工作实际，用简明的语言、视频、宣传图册等方式让广大干部群众清楚明白地质灾害基础知识、简易监测及防灾手段、灾情险情上报流程等防灾常识，针对地质灾害隐患点及在建工程、水电站库区、矿山、旅游景区、铁路沿线、森林火烧迹地等相关区域，逐点开展至少</w:t>
            </w:r>
            <w:r>
              <w:rPr>
                <w:rFonts w:ascii="仿宋_GB2312" w:hAnsi="仿宋_GB2312" w:cs="仿宋_GB2312" w:eastAsia="仿宋_GB2312"/>
                <w:sz w:val="28"/>
              </w:rPr>
              <w:t>1</w:t>
            </w:r>
            <w:r>
              <w:rPr>
                <w:rFonts w:ascii="仿宋_GB2312" w:hAnsi="仿宋_GB2312" w:cs="仿宋_GB2312" w:eastAsia="仿宋_GB2312"/>
                <w:sz w:val="28"/>
              </w:rPr>
              <w:t>次地灾防治宣传培训及避险演练。</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）根据相关文件及规范要求按时保质保量完成雷波县</w:t>
            </w:r>
            <w:r>
              <w:rPr>
                <w:rFonts w:ascii="仿宋_GB2312" w:hAnsi="仿宋_GB2312" w:cs="仿宋_GB2312" w:eastAsia="仿宋_GB2312"/>
                <w:sz w:val="28"/>
              </w:rPr>
              <w:t>2026</w:t>
            </w:r>
            <w:r>
              <w:rPr>
                <w:rFonts w:ascii="仿宋_GB2312" w:hAnsi="仿宋_GB2312" w:cs="仿宋_GB2312" w:eastAsia="仿宋_GB2312"/>
                <w:sz w:val="28"/>
              </w:rPr>
              <w:t>年汛前、汛期、汛后地质灾害专业巡排查工作，并按时间节点要求提交各阶段排查成果报告。</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雷波县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 （财库〔2016〕205号）的要求进行验收。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1、汛前地质灾害排查完成，并提交相关资料，提供等额发票。拨付排查费用，达到付款条件起15日内，支付合同总金额的40.00%</w:t>
            </w:r>
          </w:p>
          <w:p>
            <w:pPr>
              <w:pStyle w:val="null3"/>
              <w:jc w:val="left"/>
            </w:pPr>
            <w:r>
              <w:rPr>
                <w:rFonts w:ascii="仿宋_GB2312" w:hAnsi="仿宋_GB2312" w:cs="仿宋_GB2312" w:eastAsia="仿宋_GB2312"/>
              </w:rPr>
              <w:t>2、汛中地质灾害排查完成，并提交相关资料，提供等额发票，达到付款条件起15日内，支付合同总金额的40.00%</w:t>
            </w:r>
          </w:p>
          <w:p>
            <w:pPr>
              <w:pStyle w:val="null3"/>
              <w:jc w:val="left"/>
            </w:pPr>
            <w:r>
              <w:rPr>
                <w:rFonts w:ascii="仿宋_GB2312" w:hAnsi="仿宋_GB2312" w:cs="仿宋_GB2312" w:eastAsia="仿宋_GB2312"/>
              </w:rPr>
              <w:t>3、汛后地质灾害排查完成，提供等额发票，并提交相关资料，达到付款条件起15日内，支付合同总金额的20.00%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双方均应遵守合同，非因不可抗力而单方面终止执行合同的，将赔偿因违约给对方造成的经济损失，并向对方支付合同总额10%的违约金，如因成交供应商原因造成的，由采购人提请项目同级财政部门将其列入不良行为记录。 ②若因成交供应商原因在合同规定期限内无法提供服务，采购人有权终止合同，并请示项目同级财政部门进行处理，并由成交供应商向采购人支付10%的违约金；或经采购双方协商同意继续履行合同，采购人视情况每天按合同总额3‰的标准收取违约金。因不可抗拒力所导致的交货及付款延迟等按照《中华人民共和国民法典》有关条文处理。 ③成交供应商提供的服务质量不符合合同规定的，成交供应商应向采购人支付合同总价的5%的违约金，并须在15日内完善后续的服务工作，否则，视作成交供应商不能履约而违约。 ④采购人由于不可抗力的原因不能履行合同时，应及时向成交供应商和见证方、项目同级财政部门通报不能履行或不能完全履行的理由；成交供应商由于不可抗力的原因不能履行合同时，应在服务期到期以前及时向采购人和见证方、项目同级财政部门通报不能履行或不能完全履行的理由；在取得有关主管机关证明以后，可以签订延期履行、部分履行补充合同或者不履行合同，并根据情况可部分或全部免予承担违约责任。 ⑤解决争议的方法：合同履行期间,若双方发生争议，双方本着友好合作的态度，对合同履行过程中发生的违约行为进行及时的协商解决或由有关部门调解解决，如不能协商 解决可向合同签约地法院通过法律诉讼解决。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安全承诺：本项目在实施过程中的一切财产安全、人身安全与采购人无关，由供应商自行负责。（提供承诺函）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参照第七章政府采购一体化平台提供的政府采购服务类合同模板。</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供应商需在使用投标(响应)客户端编制响应文件时，按要求填写《投标（响应）函》完成承诺并进行电子签章。上传相应证明材料。</w:t>
            </w:r>
          </w:p>
        </w:tc>
        <w:tc>
          <w:tcPr>
            <w:tcW w:type="dxa" w:w="1661"/>
          </w:tcPr>
          <w:p>
            <w:pPr>
              <w:pStyle w:val="null3"/>
              <w:jc w:val="left"/>
            </w:pPr>
            <w:r>
              <w:rPr>
                <w:rFonts w:ascii="仿宋_GB2312" w:hAnsi="仿宋_GB2312" w:cs="仿宋_GB2312" w:eastAsia="仿宋_GB2312"/>
              </w:rPr>
              <w:t>响应文件封面,供应商应提交的相关证明材料,关于符合本国产品标准的声明函,投标（响应）函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报价明细表,投标（响应）函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根据本项目提出的特殊条件</w:t>
            </w:r>
          </w:p>
        </w:tc>
        <w:tc>
          <w:tcPr>
            <w:tcW w:type="dxa" w:w="3322"/>
          </w:tcPr>
          <w:p>
            <w:pPr>
              <w:pStyle w:val="null3"/>
              <w:jc w:val="left"/>
            </w:pPr>
            <w:r>
              <w:rPr>
                <w:rFonts w:ascii="仿宋_GB2312" w:hAnsi="仿宋_GB2312" w:cs="仿宋_GB2312" w:eastAsia="仿宋_GB2312"/>
              </w:rPr>
              <w:t>具备行政主管部门颁发的地质灾害评估和治理工程勘查设计乙级及以上资质。（提供证书复印件）并进行电子签章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技术方案、信誉、人员配置、履约能力、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供应商针对本项目提供详细实施方案，包括①项目基 本情况；②项目目标分析；③组织机构；④人员、设备安排；⑤工作方案及工作措施；⑥质量管理体系 及保障措施；⑦进度安排及保障措施；⑧安全生产体系及保障措施；⑨野外防汛防火预案；⑩宣传培训方案。 方案符合采购文件要求的得53分，每有一项缺项或漏项扣5.3分，每有一项内容中有一处缺陷扣2.65分，扣完为止。（注：以上内容缺陷是指非专门针对本项目或不适用项目特性的情形、内容不完整、套用其他项目方案、内容前后矛盾、引用的规范及标准错误或失效、不利于项目实施、不可能实现的任意一种情形。）</w:t>
            </w:r>
          </w:p>
        </w:tc>
        <w:tc>
          <w:tcPr>
            <w:tcW w:type="dxa" w:w="831"/>
          </w:tcPr>
          <w:p>
            <w:pPr>
              <w:pStyle w:val="null3"/>
              <w:jc w:val="center"/>
            </w:pPr>
            <w:r>
              <w:rPr>
                <w:rFonts w:ascii="仿宋_GB2312" w:hAnsi="仿宋_GB2312" w:cs="仿宋_GB2312" w:eastAsia="仿宋_GB2312"/>
              </w:rPr>
              <w:t>53.0000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信誉</w:t>
            </w:r>
          </w:p>
        </w:tc>
        <w:tc>
          <w:tcPr>
            <w:tcW w:type="dxa" w:w="2575"/>
          </w:tcPr>
          <w:p>
            <w:pPr>
              <w:pStyle w:val="null3"/>
              <w:jc w:val="left"/>
            </w:pPr>
            <w:r>
              <w:rPr>
                <w:rFonts w:ascii="仿宋_GB2312" w:hAnsi="仿宋_GB2312" w:cs="仿宋_GB2312" w:eastAsia="仿宋_GB2312"/>
              </w:rPr>
              <w:t>四川省政府投资地质灾害防治项目建设市场信用平台信用查询结果，地质灾害防治市场信用评价为是AAA级、AA级、A级得5分；投标人是BBB级、BB级、B级得3分；投标人是B级以下不得分。需提供相关证明材料，不提供不得分（提供网页截图）。</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除满足基本人员要求外，每增加1名水工环相关专业高级职称人员加4分，水工环相关专业中级职称人员加2分，最多得20分。 注：提供相关证书及在职证明材料复印件，人员以本人最高职称计分，不重复得分。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供应商2021年1月1日以来每具有1个类似业绩得3分，最多得12分。 类似业绩指：地质灾害驻守督导、地质灾害防治工作技术支撑或地质灾害巡排查业绩。业绩时间以中标（成交）通知书签发时间或合同签订时间为准。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