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版本号：N513401202600005220260331002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西昌市电子政务外网综合运行维护服务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N5134012026000052</w:t>
      </w:r>
    </w:p>
    <w:p>
      <w:pPr>
        <w:pStyle w:val="null3"/>
        <w:jc w:val="center"/>
        <w:outlineLvl w:val="2"/>
      </w:pPr>
      <w:r>
        <w:rPr>
          <w:rFonts w:ascii="仿宋_GB2312" w:hAnsi="仿宋_GB2312" w:cs="仿宋_GB2312" w:eastAsia="仿宋_GB2312"/>
          <w:sz w:val="28"/>
          <w:b/>
        </w:rPr>
        <w:t>西昌市发展和改革局</w:t>
      </w:r>
    </w:p>
    <w:p>
      <w:pPr>
        <w:pStyle w:val="null3"/>
        <w:jc w:val="center"/>
        <w:outlineLvl w:val="2"/>
      </w:pPr>
      <w:r>
        <w:rPr>
          <w:rFonts w:ascii="仿宋_GB2312" w:hAnsi="仿宋_GB2312" w:cs="仿宋_GB2312" w:eastAsia="仿宋_GB2312"/>
          <w:sz w:val="28"/>
          <w:b/>
        </w:rPr>
        <w:t>四川中璟博达工程咨询有限公司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四川中璟博达工程咨询有限公司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西昌市发展和改革局</w:t>
      </w:r>
      <w:r>
        <w:rPr>
          <w:rFonts w:ascii="仿宋_GB2312" w:hAnsi="仿宋_GB2312" w:cs="仿宋_GB2312" w:eastAsia="仿宋_GB2312"/>
        </w:rPr>
        <w:t xml:space="preserve"> 委托，拟对 </w:t>
      </w:r>
      <w:r>
        <w:rPr>
          <w:rFonts w:ascii="仿宋_GB2312" w:hAnsi="仿宋_GB2312" w:cs="仿宋_GB2312" w:eastAsia="仿宋_GB2312"/>
        </w:rPr>
        <w:t>西昌市电子政务外网综合运行维护服务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凉山彝族自治州西昌市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N5134012026000052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西昌市电子政务外网综合运行维护服务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1、全市网络覆盖情况 截止目前全市共400余个接入点位，接入终端数量8000余台，涵盖25个乡镇（街道办）、116个党政机关及群团、174个村（社区）、1个政务服务中心、12个国企、1个央企、13个市场监管所、20个公安派出所、31个医院（卫生院）和3个省管监狱、7个消防队（站）等单位，支撑全市包括群众办事、民生服务、协同办公、视频会议、应急、医疗、司法、工商、消防、民政等大量电子政务业务，从2017年以来每年均是全州电子政务外网建设先进县（市），已成为我市数字政府建设及各职能单位业务正常运转的核心网络基础设施。 2、核心机房建设情况 由于我市电子政务外网的重要性，为避免核心区域故障造成全市所有协同办公、业务办理、数据交换、视频会议、群众办事等常规业务瘫痪外，特别要保障司法部监狱点名系统、国家和省级消防应急链路、政务大厅群众办事和成都铁路局工电调度系统等重点业务。因此我市电子政务外网设计了主、备两个异地机房，主机房按B级标准化机房设计建设，包括一个45平方的数通机房和一个30平方不间断电源设备间组成，备用机房建设面积为35平方。 3、用户准入和监管情况 全市所有单位均严格填写全市统一格式的《西昌市电子政务外网接入申请及责任书》，签订三方协议后按“规范”进行局域网改造达到接入要求后，再由中心审批方可入网。我市在全州率先采用MAC+IP绑定的技术方式实现每个使用人与电脑、IP地址、单位逐一对应，并建立实时更新的台帐系统。通过每台终端的MAC绑定实现每个IP地址对应到唯一用户，实现各个终端集中管理。 4、日常工作量情况。 由于我市电子政务外网运维管理已经精细化运行多年，运维效果在全州也处于领先地位，相对工作量较大。首先，我市用户基数接近1万终端，正常用户准入相关的增、减、删、改操作平均超过100条/天，此维护将占用大量时间；其次全市接入单位数量多，接入链路方式多样，不可避免每天都会有网络故障发生，涉及对三大运营商一线运维人员的技术支撑，需具有核心技术能力的人员才能胜任；第三，西昌市电子政务外网运行至今，涉及备案材料、等保资料、准入审批、地址规划资料、设备运维、合同协议、招投标、网络整改通知、文件上传下达等各种文档资料近百盒，每天对文档整理查询也需要大量工作。 5、日常安全监管情况 对全市所有单位的日常网络安全监管采用两种监管措施。首先，利用核心区域各种安全监管设备，每天对全市进行实时巡检，发现安全问题及时封堵避免事件进一步扩大；其次，对巡检中发现问题后接入单位无法解决的，由中心组织技术人员到现场摸排问题。第三，每年至少一次到各个单位进行内部局域网综合布线和终端安全检查，进行目标绩效打分，提出整改意见，督促规范用网。</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西昌市发展和改革局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西昌市大石板路50号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0834-3225195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四川中璟博达工程咨询有限公司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四川省凉山彝族自治州西昌市春栖大道37号高枧家园61幢9层1号(用于办公）</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0834-6967077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采购包1：490,000.00元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代理服务费收费标准：根据《四川省政府采购营商环境指标提升专项行动工作方案》中“成本+合理利润”原则计取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西昌市发展和改革局</w:t>
      </w:r>
      <w:r>
        <w:rPr>
          <w:rFonts w:ascii="仿宋_GB2312" w:hAnsi="仿宋_GB2312" w:cs="仿宋_GB2312" w:eastAsia="仿宋_GB2312"/>
        </w:rPr>
        <w:t xml:space="preserve"> 和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西昌市发展和改革局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四川中璟博达工程咨询有限公司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按照本项目采购文件中的技术服务要求及成交人响应文件、双方签订的合同进行验收。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按照本项目采购文件中的商务要求及成交人响应文件、双方签订的合同进行验收。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服务期限结束后，由采购人组织专业人员会同成交人按照《财政部关于进一步加强政府采购需求和履约验收管理的指导意见》（财库〔2016〕205号）并按照本项目采购文件、响应文件要求进行验收。验收合格的按照合同及资金管理规定办理资金结算手续。</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西昌市发展和改革局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联系人：潘先生</w:t>
      </w:r>
    </w:p>
    <w:p>
      <w:pPr>
        <w:pStyle w:val="null3"/>
        <w:jc w:val="left"/>
      </w:pPr>
      <w:r>
        <w:rPr>
          <w:rFonts w:ascii="仿宋_GB2312" w:hAnsi="仿宋_GB2312" w:cs="仿宋_GB2312" w:eastAsia="仿宋_GB2312"/>
        </w:rPr>
        <w:t>联系电话：0834-6967077</w:t>
      </w:r>
    </w:p>
    <w:p>
      <w:pPr>
        <w:pStyle w:val="null3"/>
        <w:jc w:val="left"/>
      </w:pPr>
      <w:r>
        <w:rPr>
          <w:rFonts w:ascii="仿宋_GB2312" w:hAnsi="仿宋_GB2312" w:cs="仿宋_GB2312" w:eastAsia="仿宋_GB2312"/>
        </w:rPr>
        <w:t>地址：西昌市春栖大道37号高枧家园61幢9层1号</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490,000.00</w:t>
      </w:r>
    </w:p>
    <w:p>
      <w:pPr>
        <w:pStyle w:val="null3"/>
        <w:jc w:val="left"/>
      </w:pPr>
      <w:r>
        <w:rPr>
          <w:rFonts w:ascii="仿宋_GB2312" w:hAnsi="仿宋_GB2312" w:cs="仿宋_GB2312" w:eastAsia="仿宋_GB2312"/>
        </w:rPr>
        <w:t>采购包最高限价（元）: 490,000.00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C16990000 其他信息技术服务</w:t>
            </w:r>
          </w:p>
        </w:tc>
        <w:tc>
          <w:tcPr>
            <w:tcW w:type="dxa" w:w="821"/>
          </w:tcPr>
          <w:p>
            <w:pPr>
              <w:pStyle w:val="null3"/>
              <w:jc w:val="left"/>
            </w:pPr>
            <w:r>
              <w:rPr>
                <w:rFonts w:ascii="仿宋_GB2312" w:hAnsi="仿宋_GB2312" w:cs="仿宋_GB2312" w:eastAsia="仿宋_GB2312"/>
              </w:rPr>
              <w:t>西昌市电子政务外网综合运行维护服务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490,000.00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西昌市电子政务外网综合运行维护服务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标的名称：西昌市电子政务外网综合运行维护服务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b/>
                <w:color w:val="333333"/>
              </w:rPr>
              <w:t>（一）电子政务外网运行维护：</w:t>
            </w:r>
            <w:r>
              <w:br/>
            </w:r>
            <w:r>
              <w:rPr>
                <w:rFonts w:ascii="仿宋_GB2312" w:hAnsi="仿宋_GB2312" w:cs="仿宋_GB2312" w:eastAsia="仿宋_GB2312"/>
                <w:sz w:val="24"/>
                <w:b/>
                <w:color w:val="333333"/>
              </w:rPr>
              <w:t>a、基础网络运维</w:t>
            </w:r>
            <w:r>
              <w:br/>
            </w:r>
            <w:r>
              <w:rPr>
                <w:rFonts w:ascii="仿宋_GB2312" w:hAnsi="仿宋_GB2312" w:cs="仿宋_GB2312" w:eastAsia="仿宋_GB2312"/>
                <w:sz w:val="24"/>
                <w:color w:val="333333"/>
              </w:rPr>
              <w:t>1.本次服务区域主要包括：西昌市党政机关、乡（镇）、街道等接入电子政务外网的单位，保障村（社区）的电子政务外网延伸、与州大数据中心主备线路稳定连接等工作。</w:t>
            </w:r>
            <w:r>
              <w:br/>
            </w:r>
            <w:r>
              <w:rPr>
                <w:rFonts w:ascii="仿宋_GB2312" w:hAnsi="仿宋_GB2312" w:cs="仿宋_GB2312" w:eastAsia="仿宋_GB2312"/>
                <w:sz w:val="24"/>
                <w:color w:val="333333"/>
              </w:rPr>
              <w:t>2.本次运维设备范围：电子政务外网核心主备两个机房。</w:t>
            </w:r>
            <w:r>
              <w:br/>
            </w:r>
            <w:r>
              <w:rPr>
                <w:rFonts w:ascii="仿宋_GB2312" w:hAnsi="仿宋_GB2312" w:cs="仿宋_GB2312" w:eastAsia="仿宋_GB2312"/>
                <w:sz w:val="24"/>
                <w:color w:val="333333"/>
              </w:rPr>
              <w:t>3.配置与管理：包括对核心机房网络设备的初始配置、日常策略配置调整及优化、固件升级等。</w:t>
            </w:r>
            <w:r>
              <w:br/>
            </w:r>
            <w:r>
              <w:rPr>
                <w:rFonts w:ascii="仿宋_GB2312" w:hAnsi="仿宋_GB2312" w:cs="仿宋_GB2312" w:eastAsia="仿宋_GB2312"/>
                <w:sz w:val="24"/>
                <w:color w:val="333333"/>
              </w:rPr>
              <w:t>4.故障排查：对核心机房网络设备进行故障排查，定位并解决问题。</w:t>
            </w:r>
            <w:r>
              <w:br/>
            </w:r>
            <w:r>
              <w:rPr>
                <w:rFonts w:ascii="仿宋_GB2312" w:hAnsi="仿宋_GB2312" w:cs="仿宋_GB2312" w:eastAsia="仿宋_GB2312"/>
                <w:sz w:val="24"/>
                <w:color w:val="333333"/>
              </w:rPr>
              <w:t>5.性能监控：对核心机房网络、电力、制冷等设备的性能进行监控，确保其稳定运行。</w:t>
            </w:r>
            <w:r>
              <w:br/>
            </w:r>
            <w:r>
              <w:rPr>
                <w:rFonts w:ascii="仿宋_GB2312" w:hAnsi="仿宋_GB2312" w:cs="仿宋_GB2312" w:eastAsia="仿宋_GB2312"/>
                <w:sz w:val="24"/>
                <w:color w:val="333333"/>
              </w:rPr>
              <w:t>6.日常问题收集处理：中心机房设备重大问题汇总收集处理，形成日常问题及处理台账。</w:t>
            </w:r>
            <w:r>
              <w:br/>
            </w:r>
            <w:r>
              <w:rPr>
                <w:rFonts w:ascii="仿宋_GB2312" w:hAnsi="仿宋_GB2312" w:cs="仿宋_GB2312" w:eastAsia="仿宋_GB2312"/>
                <w:sz w:val="24"/>
                <w:color w:val="333333"/>
              </w:rPr>
              <w:t>7.网络优化：对网络架构进行持续优化，提升网络性能和可靠性。</w:t>
            </w:r>
            <w:r>
              <w:br/>
            </w:r>
            <w:r>
              <w:rPr>
                <w:rFonts w:ascii="仿宋_GB2312" w:hAnsi="仿宋_GB2312" w:cs="仿宋_GB2312" w:eastAsia="仿宋_GB2312"/>
                <w:sz w:val="24"/>
                <w:b/>
                <w:color w:val="333333"/>
              </w:rPr>
              <w:t>b、安全防护</w:t>
            </w:r>
            <w:r>
              <w:br/>
            </w:r>
            <w:r>
              <w:rPr>
                <w:rFonts w:ascii="仿宋_GB2312" w:hAnsi="仿宋_GB2312" w:cs="仿宋_GB2312" w:eastAsia="仿宋_GB2312"/>
                <w:sz w:val="24"/>
                <w:color w:val="333333"/>
              </w:rPr>
              <w:t>1.在项目运行期，需按安全管理要求进行网络安全相关的维护。包括安全策略制定、网络监控、故障排除、策略制定、性能优化等工作。</w:t>
            </w:r>
            <w:r>
              <w:br/>
            </w:r>
            <w:r>
              <w:rPr>
                <w:rFonts w:ascii="仿宋_GB2312" w:hAnsi="仿宋_GB2312" w:cs="仿宋_GB2312" w:eastAsia="仿宋_GB2312"/>
                <w:sz w:val="24"/>
                <w:color w:val="333333"/>
              </w:rPr>
              <w:t>2.本年度本级不低于2次应急演练，形成演练报告，根据报告内容进行问题整改。</w:t>
            </w:r>
            <w:r>
              <w:br/>
            </w:r>
            <w:r>
              <w:rPr>
                <w:rFonts w:ascii="仿宋_GB2312" w:hAnsi="仿宋_GB2312" w:cs="仿宋_GB2312" w:eastAsia="仿宋_GB2312"/>
                <w:sz w:val="24"/>
                <w:color w:val="333333"/>
              </w:rPr>
              <w:t>3.配合完成上级部门组织的攻防演练，并在攻防演练期间对整体网络进行实时监控与告警、攻击事件调查与处置、持续监控与防护、总结演练经验等工作。</w:t>
            </w:r>
            <w:r>
              <w:br/>
            </w:r>
            <w:r>
              <w:rPr>
                <w:rFonts w:ascii="仿宋_GB2312" w:hAnsi="仿宋_GB2312" w:cs="仿宋_GB2312" w:eastAsia="仿宋_GB2312"/>
                <w:sz w:val="24"/>
                <w:color w:val="333333"/>
              </w:rPr>
              <w:t>4.定期进行政务外网日常安全自查，确保政府网络信息安全、稳定运行，内容包括：系统安全检查、访问控制与认证、数据安全等方面检查。</w:t>
            </w:r>
            <w:r>
              <w:br/>
            </w:r>
            <w:r>
              <w:rPr>
                <w:rFonts w:ascii="仿宋_GB2312" w:hAnsi="仿宋_GB2312" w:cs="仿宋_GB2312" w:eastAsia="仿宋_GB2312"/>
                <w:sz w:val="24"/>
                <w:color w:val="333333"/>
              </w:rPr>
              <w:t>5.定期进行终端安全日常监测，包括操作系统、用户行为监测等工作，对高危终端所在单位下发预警通知或整改通知。</w:t>
            </w:r>
            <w:r>
              <w:br/>
            </w:r>
            <w:r>
              <w:rPr>
                <w:rFonts w:ascii="仿宋_GB2312" w:hAnsi="仿宋_GB2312" w:cs="仿宋_GB2312" w:eastAsia="仿宋_GB2312"/>
                <w:sz w:val="24"/>
                <w:b/>
                <w:color w:val="333333"/>
              </w:rPr>
              <w:t>c、日常运维管理</w:t>
            </w:r>
            <w:r>
              <w:br/>
            </w:r>
            <w:r>
              <w:rPr>
                <w:rFonts w:ascii="仿宋_GB2312" w:hAnsi="仿宋_GB2312" w:cs="仿宋_GB2312" w:eastAsia="仿宋_GB2312"/>
                <w:sz w:val="24"/>
                <w:color w:val="333333"/>
              </w:rPr>
              <w:t>1.完成电子政务外网用户准入工作，持续更新准入用户增、减、删、改等信息。</w:t>
            </w:r>
            <w:r>
              <w:br/>
            </w:r>
            <w:r>
              <w:rPr>
                <w:rFonts w:ascii="仿宋_GB2312" w:hAnsi="仿宋_GB2312" w:cs="仿宋_GB2312" w:eastAsia="仿宋_GB2312"/>
                <w:sz w:val="24"/>
                <w:color w:val="333333"/>
              </w:rPr>
              <w:t>2.持续对全市电子政务外网接入单位进行绩效评估、技术指导和故障排除等工作。</w:t>
            </w:r>
            <w:r>
              <w:br/>
            </w:r>
            <w:r>
              <w:rPr>
                <w:rFonts w:ascii="仿宋_GB2312" w:hAnsi="仿宋_GB2312" w:cs="仿宋_GB2312" w:eastAsia="仿宋_GB2312"/>
                <w:sz w:val="24"/>
                <w:color w:val="333333"/>
              </w:rPr>
              <w:t>3.持续对用户单位电子政务外网相关文档、表格等的规范性进行监督和指导。</w:t>
            </w:r>
            <w:r>
              <w:br/>
            </w:r>
            <w:r>
              <w:rPr>
                <w:rFonts w:ascii="仿宋_GB2312" w:hAnsi="仿宋_GB2312" w:cs="仿宋_GB2312" w:eastAsia="仿宋_GB2312"/>
                <w:sz w:val="24"/>
                <w:color w:val="333333"/>
              </w:rPr>
              <w:t>4.编制我市电子政务外网相关资料，包括但不限于会议记录、工作简报、计划、总结等文档，并按要求进行各种资料、文件的归档工作。</w:t>
            </w:r>
            <w:r>
              <w:br/>
            </w:r>
            <w:r>
              <w:rPr>
                <w:rFonts w:ascii="仿宋_GB2312" w:hAnsi="仿宋_GB2312" w:cs="仿宋_GB2312" w:eastAsia="仿宋_GB2312"/>
                <w:sz w:val="24"/>
                <w:color w:val="333333"/>
              </w:rPr>
              <w:t>5.日常巡检：定期（日/周）对网络设备、线路等进行巡检，形成巡检记录表，确保网络环境的稳定性。</w:t>
            </w:r>
            <w:r>
              <w:br/>
            </w:r>
            <w:r>
              <w:rPr>
                <w:rFonts w:ascii="仿宋_GB2312" w:hAnsi="仿宋_GB2312" w:cs="仿宋_GB2312" w:eastAsia="仿宋_GB2312"/>
                <w:sz w:val="24"/>
                <w:color w:val="333333"/>
              </w:rPr>
              <w:t>6.备份与恢复：对网络配置、重要数据进行定期每月备份，确保在出现故障时能够迅速恢复。</w:t>
            </w:r>
            <w:r>
              <w:br/>
            </w:r>
            <w:r>
              <w:rPr>
                <w:rFonts w:ascii="仿宋_GB2312" w:hAnsi="仿宋_GB2312" w:cs="仿宋_GB2312" w:eastAsia="仿宋_GB2312"/>
                <w:sz w:val="24"/>
                <w:color w:val="333333"/>
              </w:rPr>
              <w:t>7.远程技术支持：按需提供专家级工程师远程支持，应对三级或更高层次的技术故障。</w:t>
            </w:r>
            <w:r>
              <w:br/>
            </w:r>
            <w:r>
              <w:rPr>
                <w:rFonts w:ascii="仿宋_GB2312" w:hAnsi="仿宋_GB2312" w:cs="仿宋_GB2312" w:eastAsia="仿宋_GB2312"/>
                <w:sz w:val="24"/>
                <w:color w:val="333333"/>
              </w:rPr>
              <w:t>注：故障定义</w:t>
            </w:r>
            <w:r>
              <w:br/>
            </w:r>
            <w:r>
              <w:rPr>
                <w:rFonts w:ascii="仿宋_GB2312" w:hAnsi="仿宋_GB2312" w:cs="仿宋_GB2312" w:eastAsia="仿宋_GB2312"/>
                <w:sz w:val="24"/>
                <w:color w:val="333333"/>
              </w:rPr>
              <w:t>（</w:t>
            </w:r>
            <w:r>
              <w:rPr>
                <w:rFonts w:ascii="仿宋_GB2312" w:hAnsi="仿宋_GB2312" w:cs="仿宋_GB2312" w:eastAsia="仿宋_GB2312"/>
                <w:sz w:val="24"/>
                <w:color w:val="333333"/>
              </w:rPr>
              <w:t>a）一级故障：因软件故障造成整个系统瘫痪。</w:t>
            </w:r>
            <w:r>
              <w:br/>
            </w:r>
            <w:r>
              <w:rPr>
                <w:rFonts w:ascii="仿宋_GB2312" w:hAnsi="仿宋_GB2312" w:cs="仿宋_GB2312" w:eastAsia="仿宋_GB2312"/>
                <w:sz w:val="24"/>
                <w:color w:val="333333"/>
              </w:rPr>
              <w:t>（</w:t>
            </w:r>
            <w:r>
              <w:rPr>
                <w:rFonts w:ascii="仿宋_GB2312" w:hAnsi="仿宋_GB2312" w:cs="仿宋_GB2312" w:eastAsia="仿宋_GB2312"/>
                <w:sz w:val="24"/>
                <w:color w:val="333333"/>
              </w:rPr>
              <w:t>b）二级故障：因软件故障严重影响系统运行，部分功能无法使用。</w:t>
            </w:r>
            <w:r>
              <w:br/>
            </w:r>
            <w:r>
              <w:rPr>
                <w:rFonts w:ascii="仿宋_GB2312" w:hAnsi="仿宋_GB2312" w:cs="仿宋_GB2312" w:eastAsia="仿宋_GB2312"/>
                <w:sz w:val="24"/>
                <w:color w:val="333333"/>
              </w:rPr>
              <w:t>（</w:t>
            </w:r>
            <w:r>
              <w:rPr>
                <w:rFonts w:ascii="仿宋_GB2312" w:hAnsi="仿宋_GB2312" w:cs="仿宋_GB2312" w:eastAsia="仿宋_GB2312"/>
                <w:sz w:val="24"/>
                <w:color w:val="333333"/>
              </w:rPr>
              <w:t>c）三级故障：因软件故障影响系统的效率，系统仍然可以运行，业务未中断</w:t>
            </w:r>
            <w:r>
              <w:br/>
            </w:r>
            <w:r>
              <w:rPr>
                <w:rFonts w:ascii="仿宋_GB2312" w:hAnsi="仿宋_GB2312" w:cs="仿宋_GB2312" w:eastAsia="仿宋_GB2312"/>
                <w:sz w:val="24"/>
                <w:color w:val="333333"/>
              </w:rPr>
              <w:t>8.驻场人员需要参与电子政务外网值班值守工作，以便及时应对突发情况。</w:t>
            </w:r>
            <w:r>
              <w:br/>
            </w:r>
            <w:r>
              <w:rPr>
                <w:rFonts w:ascii="仿宋_GB2312" w:hAnsi="仿宋_GB2312" w:cs="仿宋_GB2312" w:eastAsia="仿宋_GB2312"/>
                <w:sz w:val="24"/>
                <w:b/>
                <w:color w:val="333333"/>
              </w:rPr>
              <w:t>d、考核</w:t>
            </w:r>
            <w:r>
              <w:br/>
            </w:r>
            <w:r>
              <w:rPr>
                <w:rFonts w:ascii="仿宋_GB2312" w:hAnsi="仿宋_GB2312" w:cs="仿宋_GB2312" w:eastAsia="仿宋_GB2312"/>
                <w:sz w:val="24"/>
                <w:color w:val="333333"/>
              </w:rPr>
              <w:t>1.持续优化整体网络技术架构和管理规范等达到国家、省、州制定的相关电子政务外网规范标准。</w:t>
            </w:r>
            <w:r>
              <w:br/>
            </w:r>
            <w:r>
              <w:rPr>
                <w:rFonts w:ascii="仿宋_GB2312" w:hAnsi="仿宋_GB2312" w:cs="仿宋_GB2312" w:eastAsia="仿宋_GB2312"/>
                <w:sz w:val="24"/>
                <w:color w:val="333333"/>
              </w:rPr>
              <w:t xml:space="preserve">2.配合完成上级部门对我市电子政务外网的考核或调研任务，及时进行经验总结，并形成报告。 </w:t>
            </w:r>
            <w:r>
              <w:br/>
            </w:r>
            <w:r>
              <w:rPr>
                <w:rFonts w:ascii="仿宋_GB2312" w:hAnsi="仿宋_GB2312" w:cs="仿宋_GB2312" w:eastAsia="仿宋_GB2312"/>
                <w:sz w:val="24"/>
                <w:color w:val="333333"/>
              </w:rPr>
              <w:t>3.制订对全市各接入单位的目标绩效评分细则，按计划开展现场技术指导和评分，每年末按目标绩效管理进行评分，并提供扣分依据或证据。</w:t>
            </w:r>
            <w:r>
              <w:br/>
            </w:r>
            <w:r>
              <w:rPr>
                <w:rFonts w:ascii="仿宋_GB2312" w:hAnsi="仿宋_GB2312" w:cs="仿宋_GB2312" w:eastAsia="仿宋_GB2312"/>
                <w:sz w:val="24"/>
                <w:b/>
                <w:color w:val="333333"/>
              </w:rPr>
              <w:t>e、其他要求：</w:t>
            </w:r>
            <w:r>
              <w:br/>
            </w:r>
            <w:r>
              <w:rPr>
                <w:rFonts w:ascii="仿宋_GB2312" w:hAnsi="仿宋_GB2312" w:cs="仿宋_GB2312" w:eastAsia="仿宋_GB2312"/>
                <w:sz w:val="24"/>
                <w:color w:val="333333"/>
              </w:rPr>
              <w:t>完成上级和采购方交代的与本项目相关的其他工作。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4"/>
                <w:b/>
                <w:color w:val="333333"/>
              </w:rPr>
              <w:t>（一）基本服务要求</w:t>
            </w:r>
          </w:p>
          <w:p>
            <w:pPr>
              <w:pStyle w:val="null3"/>
              <w:spacing w:before="90"/>
              <w:ind w:left="90" w:firstLine="452"/>
              <w:jc w:val="both"/>
            </w:pPr>
            <w:r>
              <w:rPr>
                <w:rFonts w:ascii="仿宋_GB2312" w:hAnsi="仿宋_GB2312" w:cs="仿宋_GB2312" w:eastAsia="仿宋_GB2312"/>
                <w:sz w:val="24"/>
                <w:color w:val="333333"/>
              </w:rPr>
              <w:t>1、、供应商须对涉及的核心机房硬件设备，安排专人按期进行巡检，并提交季度硬件运维及巡检报告；对突发情况根据应急流程及时进行响应，安排技术人员及时解决问题。</w:t>
            </w:r>
          </w:p>
          <w:p>
            <w:pPr>
              <w:pStyle w:val="null3"/>
              <w:spacing w:before="90"/>
              <w:ind w:left="90" w:firstLine="452"/>
              <w:jc w:val="both"/>
            </w:pPr>
            <w:r>
              <w:rPr>
                <w:rFonts w:ascii="仿宋_GB2312" w:hAnsi="仿宋_GB2312" w:cs="仿宋_GB2312" w:eastAsia="仿宋_GB2312"/>
                <w:sz w:val="24"/>
                <w:color w:val="333333"/>
              </w:rPr>
              <w:t>2、、单项否决项条款</w:t>
            </w:r>
          </w:p>
          <w:p>
            <w:pPr>
              <w:pStyle w:val="null3"/>
              <w:spacing w:before="90"/>
              <w:ind w:firstLine="452"/>
              <w:jc w:val="both"/>
            </w:pPr>
            <w:r>
              <w:rPr>
                <w:rFonts w:ascii="仿宋_GB2312" w:hAnsi="仿宋_GB2312" w:cs="仿宋_GB2312" w:eastAsia="仿宋_GB2312"/>
                <w:sz w:val="24"/>
                <w:color w:val="333333"/>
              </w:rPr>
              <w:t>a)供应商应遵守保密原则，驻场人员入场后签订保密协议，对相关数据和信息内容等负有保密责任，不得随意复制和传播业务数据，如因驻场人员导致部门业务信息泄露，供应商将承担其所有责任。（实质性要求，提供承诺函，格式自拟）</w:t>
            </w:r>
          </w:p>
          <w:p>
            <w:pPr>
              <w:pStyle w:val="null3"/>
              <w:spacing w:before="90"/>
              <w:ind w:firstLine="452"/>
              <w:jc w:val="both"/>
            </w:pPr>
            <w:r>
              <w:rPr>
                <w:rFonts w:ascii="仿宋_GB2312" w:hAnsi="仿宋_GB2312" w:cs="仿宋_GB2312" w:eastAsia="仿宋_GB2312"/>
                <w:sz w:val="24"/>
                <w:color w:val="333333"/>
              </w:rPr>
              <w:t>b)若在服务过程中驻场人员因违规操作导致，发生重大安全事故造成人员和业务系统损失，供应商将无条件承担主要责任，包括但不限于按照合同约定赔偿损失、恢复服务、支付违约金等。（实质性要求，提供承诺函，格式自拟）</w:t>
            </w:r>
          </w:p>
          <w:p>
            <w:pPr>
              <w:pStyle w:val="null3"/>
              <w:spacing w:before="90"/>
              <w:ind w:firstLine="452"/>
              <w:jc w:val="both"/>
            </w:pPr>
            <w:r>
              <w:rPr>
                <w:rFonts w:ascii="仿宋_GB2312" w:hAnsi="仿宋_GB2312" w:cs="仿宋_GB2312" w:eastAsia="仿宋_GB2312"/>
                <w:sz w:val="24"/>
                <w:color w:val="333333"/>
              </w:rPr>
              <w:t>c)在运维服务期间，发生一起因运维服务人员故障处理不及时或超时，导致西昌市电子政务外网发生重大故障（重大故障指：核心设备故障或接入点位大于等于100个故障点位），且从故障发生起计算1小时内未恢复，供应商将无条件承担主要责任，将扣除项目合同50%的费用，同时包括但不限于按照合同约定赔偿损失、恢复服务、支付违约金等。（实质性要求，提供承诺函，格式自拟）</w:t>
            </w:r>
          </w:p>
          <w:p>
            <w:pPr>
              <w:pStyle w:val="null3"/>
              <w:spacing w:before="90"/>
              <w:ind w:left="90" w:firstLine="452"/>
              <w:jc w:val="both"/>
            </w:pPr>
            <w:r>
              <w:rPr>
                <w:rFonts w:ascii="仿宋_GB2312" w:hAnsi="仿宋_GB2312" w:cs="仿宋_GB2312" w:eastAsia="仿宋_GB2312"/>
                <w:sz w:val="24"/>
                <w:color w:val="333333"/>
              </w:rPr>
              <w:t>3、培训服务</w:t>
            </w:r>
          </w:p>
          <w:p>
            <w:pPr>
              <w:pStyle w:val="null3"/>
              <w:numPr>
                <w:ilvl w:val="0"/>
                <w:numId w:val="1"/>
              </w:numPr>
              <w:spacing w:before="90" w:after="105"/>
              <w:ind w:left="360"/>
              <w:jc w:val="both"/>
            </w:pPr>
            <w:r>
              <w:rPr>
                <w:rFonts w:ascii="仿宋_GB2312" w:hAnsi="仿宋_GB2312" w:cs="仿宋_GB2312" w:eastAsia="仿宋_GB2312"/>
                <w:sz w:val="24"/>
                <w:color w:val="333333"/>
              </w:rPr>
              <w:t>供应商要对运维服务项目进行全面梳理，提供必要的技术培训服务，以提高用户安全用网意识，使用户能了解并安全使用电子政务外网。</w:t>
            </w:r>
          </w:p>
          <w:p>
            <w:pPr>
              <w:pStyle w:val="null3"/>
              <w:numPr>
                <w:ilvl w:val="0"/>
                <w:numId w:val="1"/>
              </w:numPr>
              <w:spacing w:before="90" w:after="105"/>
              <w:ind w:left="360"/>
              <w:jc w:val="both"/>
            </w:pPr>
            <w:r>
              <w:rPr>
                <w:rFonts w:ascii="仿宋_GB2312" w:hAnsi="仿宋_GB2312" w:cs="仿宋_GB2312" w:eastAsia="仿宋_GB2312"/>
                <w:sz w:val="24"/>
                <w:color w:val="333333"/>
              </w:rPr>
              <w:t>培训范围：按需采用线上</w:t>
            </w:r>
            <w:r>
              <w:rPr>
                <w:rFonts w:ascii="仿宋_GB2312" w:hAnsi="仿宋_GB2312" w:cs="仿宋_GB2312" w:eastAsia="仿宋_GB2312"/>
                <w:sz w:val="24"/>
                <w:color w:val="333333"/>
              </w:rPr>
              <w:t>/线下等方式开展对全市电子政务外网接入单位全体或局部管理人员、使用人员、中心工作人员等的培训和指导。</w:t>
            </w:r>
          </w:p>
          <w:p>
            <w:pPr>
              <w:pStyle w:val="null3"/>
              <w:numPr>
                <w:ilvl w:val="0"/>
                <w:numId w:val="1"/>
              </w:numPr>
              <w:spacing w:before="90" w:after="105"/>
              <w:ind w:left="360"/>
              <w:jc w:val="both"/>
            </w:pPr>
            <w:r>
              <w:rPr>
                <w:rFonts w:ascii="仿宋_GB2312" w:hAnsi="仿宋_GB2312" w:cs="仿宋_GB2312" w:eastAsia="仿宋_GB2312"/>
                <w:sz w:val="24"/>
                <w:color w:val="333333"/>
              </w:rPr>
              <w:t>培训时间：根据中心工作安排情况，每年开展不少于</w:t>
            </w:r>
            <w:r>
              <w:rPr>
                <w:rFonts w:ascii="仿宋_GB2312" w:hAnsi="仿宋_GB2312" w:cs="仿宋_GB2312" w:eastAsia="仿宋_GB2312"/>
                <w:sz w:val="24"/>
                <w:color w:val="333333"/>
              </w:rPr>
              <w:t>2次培训。</w:t>
            </w:r>
          </w:p>
          <w:p>
            <w:pPr>
              <w:pStyle w:val="null3"/>
              <w:jc w:val="both"/>
            </w:pPr>
            <w:r>
              <w:rPr>
                <w:rFonts w:ascii="仿宋_GB2312" w:hAnsi="仿宋_GB2312" w:cs="仿宋_GB2312" w:eastAsia="仿宋_GB2312"/>
                <w:sz w:val="24"/>
                <w:b/>
                <w:color w:val="333333"/>
              </w:rPr>
              <w:t>（二）服务团队要求</w:t>
            </w:r>
          </w:p>
          <w:p>
            <w:pPr>
              <w:pStyle w:val="null3"/>
              <w:spacing w:before="90"/>
              <w:ind w:left="90" w:firstLine="452"/>
              <w:jc w:val="both"/>
            </w:pPr>
            <w:r>
              <w:rPr>
                <w:rFonts w:ascii="仿宋_GB2312" w:hAnsi="仿宋_GB2312" w:cs="仿宋_GB2312" w:eastAsia="仿宋_GB2312"/>
                <w:sz w:val="24"/>
                <w:color w:val="333333"/>
              </w:rPr>
              <w:t>1、现场驻场人员:不少于3人（鉴于机房核心设备主要是华为和华三设备，要求提供人员须具备中级及以上工程师比例不低于2人，且只限于“软考”或华为或华三厂商认证证书），根据本项目服务内容要求和运维工作内容 ,合理配置服务运维团队技术人员。技术人员要求具备的计算机软、硬件知识及掌握网络架构、安装调试、故障诊断与维修等技术保障能力，能够无缝承接中心机房运维、优化、升级等工作，形成政务外网运行、故障处理等日常运维记录。（提供承诺函，格式自拟）</w:t>
            </w:r>
          </w:p>
          <w:p>
            <w:pPr>
              <w:pStyle w:val="null3"/>
              <w:spacing w:before="90"/>
              <w:ind w:left="90" w:firstLine="452"/>
              <w:jc w:val="both"/>
            </w:pPr>
            <w:r>
              <w:rPr>
                <w:rFonts w:ascii="仿宋_GB2312" w:hAnsi="仿宋_GB2312" w:cs="仿宋_GB2312" w:eastAsia="仿宋_GB2312"/>
                <w:sz w:val="24"/>
                <w:color w:val="333333"/>
              </w:rPr>
              <w:t>2、系统出现故障，供应商7天*24小时响应，30分钟内应作出实质性响应。</w:t>
            </w:r>
          </w:p>
          <w:p>
            <w:pPr>
              <w:pStyle w:val="null3"/>
              <w:spacing w:before="90"/>
              <w:ind w:left="90" w:firstLine="452"/>
              <w:jc w:val="both"/>
            </w:pPr>
            <w:r>
              <w:rPr>
                <w:rFonts w:ascii="仿宋_GB2312" w:hAnsi="仿宋_GB2312" w:cs="仿宋_GB2312" w:eastAsia="仿宋_GB2312"/>
                <w:sz w:val="24"/>
                <w:color w:val="333333"/>
              </w:rPr>
              <w:t>3、驻场人员严格执行甲方考勤管理制度，请假需经甲方同意方可离岗，若单人请假时间超过2天应配备AB岗顶岗人员；工作日上下班考勤采取手工或线上考勤方式登记，季度汇总归档；制定节假日值班表，采用远程/现场值班方式实施考勤。考勤结论纳入《驻场运维考核评分表》进行评分。</w:t>
            </w:r>
          </w:p>
          <w:p>
            <w:pPr>
              <w:pStyle w:val="null3"/>
              <w:spacing w:before="90"/>
              <w:ind w:left="90" w:firstLine="452"/>
              <w:jc w:val="both"/>
            </w:pPr>
            <w:r>
              <w:rPr>
                <w:rFonts w:ascii="仿宋_GB2312" w:hAnsi="仿宋_GB2312" w:cs="仿宋_GB2312" w:eastAsia="仿宋_GB2312"/>
                <w:sz w:val="24"/>
                <w:color w:val="333333"/>
              </w:rPr>
              <w:t>4、在本服务有效期限内，本次涉及驻场人员，其人身安全及相关责任，均应由供应商自行承担。供应商应负责提供必要的安全培训、遵守所有适用的安全规定与标准，并采取一切合理、必要的措施，确保其驻场人员的人身安全不受损害。同时，供应商应为其驻场人员购买适当的保险，以覆盖可能发生的意外伤害风险。（提供承诺函，格式自拟）</w:t>
            </w:r>
          </w:p>
          <w:p>
            <w:pPr>
              <w:pStyle w:val="null3"/>
              <w:spacing w:before="90"/>
              <w:ind w:left="90" w:firstLine="452"/>
              <w:jc w:val="both"/>
            </w:pPr>
            <w:r>
              <w:rPr>
                <w:rFonts w:ascii="仿宋_GB2312" w:hAnsi="仿宋_GB2312" w:cs="仿宋_GB2312" w:eastAsia="仿宋_GB2312"/>
                <w:sz w:val="24"/>
                <w:color w:val="333333"/>
              </w:rPr>
              <w:t>5、验收标准参照以下考核表。</w:t>
            </w:r>
          </w:p>
          <w:p>
            <w:pPr>
              <w:pStyle w:val="null3"/>
              <w:spacing w:before="90"/>
              <w:ind w:left="90" w:firstLine="452"/>
              <w:jc w:val="both"/>
            </w:pPr>
            <w:r>
              <w:rPr>
                <w:rFonts w:ascii="仿宋_GB2312" w:hAnsi="仿宋_GB2312" w:cs="仿宋_GB2312" w:eastAsia="仿宋_GB2312"/>
                <w:sz w:val="24"/>
                <w:color w:val="333333"/>
              </w:rPr>
              <w:t>考核采取百分制，全年考核平均分数</w:t>
            </w:r>
            <w:r>
              <w:rPr>
                <w:rFonts w:ascii="仿宋_GB2312" w:hAnsi="仿宋_GB2312" w:cs="仿宋_GB2312" w:eastAsia="仿宋_GB2312"/>
                <w:sz w:val="24"/>
                <w:color w:val="333333"/>
              </w:rPr>
              <w:t>90分及以上算合格，支付全额运维费用；90分以下，按商务要求中“付款进度安排”付款。</w:t>
            </w:r>
          </w:p>
          <w:p>
            <w:pPr>
              <w:pStyle w:val="null3"/>
              <w:spacing w:before="90"/>
              <w:ind w:left="90" w:firstLine="454"/>
              <w:jc w:val="both"/>
            </w:pPr>
            <w:r>
              <w:rPr>
                <w:rFonts w:ascii="仿宋_GB2312" w:hAnsi="仿宋_GB2312" w:cs="仿宋_GB2312" w:eastAsia="仿宋_GB2312"/>
                <w:sz w:val="24"/>
                <w:b/>
                <w:color w:val="333333"/>
              </w:rPr>
              <w:t>《驻场运维考核评分表》</w:t>
            </w:r>
          </w:p>
          <w:p>
            <w:pPr>
              <w:pStyle w:val="null3"/>
              <w:ind w:firstLine="482"/>
              <w:jc w:val="both"/>
            </w:pPr>
            <w:r>
              <w:rPr>
                <w:rFonts w:ascii="仿宋_GB2312" w:hAnsi="仿宋_GB2312" w:cs="仿宋_GB2312" w:eastAsia="仿宋_GB2312"/>
                <w:sz w:val="24"/>
                <w:b/>
              </w:rPr>
              <w:t>减分项</w:t>
            </w:r>
          </w:p>
          <w:tbl>
            <w:tblPr>
              <w:tblInd w:type="dxa" w:w="105"/>
              <w:tblBorders>
                <w:top w:val="none" w:color="000000" w:sz="4"/>
                <w:left w:val="none" w:color="000000" w:sz="4"/>
                <w:bottom w:val="none" w:color="000000" w:sz="4"/>
                <w:right w:val="none" w:color="000000" w:sz="4"/>
                <w:insideH w:val="none"/>
                <w:insideV w:val="none"/>
              </w:tblBorders>
            </w:tblPr>
            <w:tblGrid>
              <w:gridCol w:w="676"/>
              <w:gridCol w:w="814"/>
              <w:gridCol w:w="1469"/>
              <w:gridCol w:w="742"/>
              <w:gridCol w:w="1159"/>
              <w:gridCol w:w="737"/>
            </w:tblGrid>
            <w:tr>
              <w:tc>
                <w:tcPr>
                  <w:tcW w:type="dxa" w:w="676"/>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评价类别</w:t>
                  </w:r>
                </w:p>
              </w:tc>
              <w:tc>
                <w:tcPr>
                  <w:tcW w:type="dxa" w:w="814"/>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指标定义</w:t>
                  </w:r>
                </w:p>
              </w:tc>
              <w:tc>
                <w:tcPr>
                  <w:tcW w:type="dxa" w:w="2211"/>
                  <w:gridSpan w:val="2"/>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评分标准</w:t>
                  </w:r>
                </w:p>
              </w:tc>
              <w:tc>
                <w:tcPr>
                  <w:tcW w:type="dxa" w:w="1159"/>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评价依据</w:t>
                  </w:r>
                </w:p>
              </w:tc>
              <w:tc>
                <w:tcPr>
                  <w:tcW w:type="dxa" w:w="737"/>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分值</w:t>
                  </w:r>
                </w:p>
                <w:p>
                  <w:pPr>
                    <w:pStyle w:val="null3"/>
                    <w:jc w:val="center"/>
                  </w:pPr>
                  <w:r>
                    <w:rPr>
                      <w:rFonts w:ascii="仿宋_GB2312" w:hAnsi="仿宋_GB2312" w:cs="仿宋_GB2312" w:eastAsia="仿宋_GB2312"/>
                      <w:sz w:val="24"/>
                      <w:b/>
                      <w:color w:val="000000"/>
                    </w:rPr>
                    <w:t>（扣分上限）</w:t>
                  </w: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指标值</w:t>
                  </w:r>
                </w:p>
              </w:tc>
              <w:tc>
                <w:tcPr>
                  <w:tcW w:type="dxa" w:w="742"/>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减分</w:t>
                  </w:r>
                </w:p>
              </w:tc>
              <w:tc>
                <w:tcPr>
                  <w:tcW w:type="dxa" w:w="1159"/>
                  <w:vMerge/>
                  <w:tcBorders>
                    <w:top w:val="single" w:color="000000" w:sz="4"/>
                    <w:left w:val="single" w:color="000000" w:sz="4"/>
                    <w:bottom w:val="single" w:color="000000" w:sz="4"/>
                    <w:right w:val="single" w:color="000000" w:sz="4"/>
                  </w:tcBorders>
                </w:tcPr>
                <w:p/>
              </w:tc>
              <w:tc>
                <w:tcPr>
                  <w:tcW w:type="dxa" w:w="737"/>
                  <w:vMerge/>
                  <w:tcBorders>
                    <w:top w:val="single" w:color="000000" w:sz="4"/>
                    <w:left w:val="single" w:color="000000" w:sz="4"/>
                    <w:bottom w:val="single" w:color="000000" w:sz="4"/>
                    <w:right w:val="single" w:color="000000" w:sz="4"/>
                  </w:tcBorders>
                </w:tcPr>
                <w:p/>
              </w:tc>
            </w:tr>
            <w:tr>
              <w:tc>
                <w:tcPr>
                  <w:tcW w:type="dxa" w:w="676"/>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故障</w:t>
                  </w:r>
                </w:p>
                <w:p>
                  <w:pPr>
                    <w:pStyle w:val="null3"/>
                    <w:jc w:val="center"/>
                  </w:pPr>
                  <w:r>
                    <w:rPr>
                      <w:rFonts w:ascii="仿宋_GB2312" w:hAnsi="仿宋_GB2312" w:cs="仿宋_GB2312" w:eastAsia="仿宋_GB2312"/>
                      <w:sz w:val="24"/>
                      <w:b/>
                      <w:color w:val="000000"/>
                    </w:rPr>
                    <w:t>处理</w:t>
                  </w:r>
                </w:p>
              </w:tc>
              <w:tc>
                <w:tcPr>
                  <w:tcW w:type="dxa" w:w="814"/>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24小时电话响应服务</w:t>
                  </w:r>
                </w:p>
              </w:tc>
              <w:tc>
                <w:tcPr>
                  <w:tcW w:type="dxa" w:w="1469"/>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拨打驻场工程师</w:t>
                  </w:r>
                  <w:r>
                    <w:rPr>
                      <w:rFonts w:ascii="仿宋_GB2312" w:hAnsi="仿宋_GB2312" w:cs="仿宋_GB2312" w:eastAsia="仿宋_GB2312"/>
                      <w:sz w:val="24"/>
                      <w:color w:val="000000"/>
                    </w:rPr>
                    <w:t>24小时电话响应服务号码无人接听，并且在30分钟内没有回拨电话。</w:t>
                  </w:r>
                </w:p>
              </w:tc>
              <w:tc>
                <w:tcPr>
                  <w:tcW w:type="dxa" w:w="742"/>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0.5分/次</w:t>
                  </w:r>
                </w:p>
              </w:tc>
              <w:tc>
                <w:tcPr>
                  <w:tcW w:type="dxa" w:w="1159"/>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以业主拨打驻场人员</w:t>
                  </w:r>
                  <w:r>
                    <w:rPr>
                      <w:rFonts w:ascii="仿宋_GB2312" w:hAnsi="仿宋_GB2312" w:cs="仿宋_GB2312" w:eastAsia="仿宋_GB2312"/>
                      <w:sz w:val="24"/>
                      <w:color w:val="000000"/>
                    </w:rPr>
                    <w:t>24小时电话号码的电话记录为依据</w:t>
                  </w:r>
                </w:p>
              </w:tc>
              <w:tc>
                <w:tcPr>
                  <w:tcW w:type="dxa" w:w="737"/>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20</w:t>
                  </w: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在业主将故障现象和资料传达给驻场工程师后，驻场工程师在</w:t>
                  </w:r>
                  <w:r>
                    <w:rPr>
                      <w:rFonts w:ascii="仿宋_GB2312" w:hAnsi="仿宋_GB2312" w:cs="仿宋_GB2312" w:eastAsia="仿宋_GB2312"/>
                      <w:sz w:val="24"/>
                      <w:color w:val="000000"/>
                    </w:rPr>
                    <w:t>1小时内未回复业主。</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1分/次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以业主和驻场工程师</w:t>
                  </w:r>
                  <w:r>
                    <w:rPr>
                      <w:rFonts w:ascii="仿宋_GB2312" w:hAnsi="仿宋_GB2312" w:cs="仿宋_GB2312" w:eastAsia="仿宋_GB2312"/>
                      <w:sz w:val="24"/>
                      <w:color w:val="000000"/>
                    </w:rPr>
                    <w:t>24小时电话响应服务号码的电话记录和上传资料为依据</w:t>
                  </w:r>
                </w:p>
              </w:tc>
              <w:tc>
                <w:tcPr>
                  <w:tcW w:type="dxa" w:w="737"/>
                  <w:vMerge/>
                  <w:tcBorders>
                    <w:top w:val="single" w:color="000000" w:sz="4"/>
                    <w:left w:val="single" w:color="000000" w:sz="4"/>
                    <w:bottom w:val="single" w:color="000000" w:sz="4"/>
                    <w:right w:val="single" w:color="000000" w:sz="4"/>
                  </w:tcBorders>
                </w:tcPr>
                <w:p/>
              </w:tc>
            </w:tr>
            <w:tr>
              <w:tc>
                <w:tcPr>
                  <w:tcW w:type="dxa" w:w="676"/>
                  <w:vMerge/>
                  <w:tcBorders>
                    <w:top w:val="single" w:color="000000" w:sz="4"/>
                    <w:left w:val="single" w:color="000000" w:sz="4"/>
                    <w:bottom w:val="single" w:color="000000" w:sz="4"/>
                    <w:right w:val="single" w:color="000000" w:sz="4"/>
                  </w:tcBorders>
                </w:tcPr>
                <w:p/>
              </w:tc>
              <w:tc>
                <w:tcPr>
                  <w:tcW w:type="dxa" w:w="814"/>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修复服务</w:t>
                  </w: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驻场工程师未在各级别事件对应的服务响应时间内赶赴现场。</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0.5分/次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3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20</w:t>
                  </w: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驻场工程师误诊导致故障时间延长，或因故障定位不准，导致同类故障再次发生。或故障未在规定时间内修复的。</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1-3分/次</w:t>
                  </w:r>
                </w:p>
              </w:tc>
              <w:tc>
                <w:tcPr>
                  <w:tcW w:type="dxa" w:w="1159"/>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根据系统登陆信息，日志等综合确定</w:t>
                  </w:r>
                </w:p>
              </w:tc>
              <w:tc>
                <w:tcPr>
                  <w:tcW w:type="dxa" w:w="737"/>
                  <w:vMerge/>
                  <w:tcBorders>
                    <w:top w:val="single" w:color="000000" w:sz="4"/>
                    <w:left w:val="single" w:color="000000" w:sz="4"/>
                    <w:bottom w:val="single" w:color="000000" w:sz="4"/>
                    <w:right w:val="single" w:color="000000" w:sz="4"/>
                  </w:tcBorders>
                </w:tcP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驻场工程师登陆设备系统后未按用户方要求操作或出现误操作导致故障时间延长或出现新的故障或故障未在规定时间内修复的。</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4分/次</w:t>
                  </w:r>
                </w:p>
              </w:tc>
              <w:tc>
                <w:tcPr>
                  <w:tcW w:type="dxa" w:w="1159"/>
                  <w:vMerge/>
                  <w:tcBorders>
                    <w:top w:val="single" w:color="000000" w:sz="4"/>
                    <w:left w:val="single" w:color="000000" w:sz="4"/>
                    <w:bottom w:val="single" w:color="000000" w:sz="4"/>
                    <w:right w:val="single" w:color="000000" w:sz="4"/>
                  </w:tcBorders>
                </w:tcPr>
                <w:p/>
              </w:tc>
              <w:tc>
                <w:tcPr>
                  <w:tcW w:type="dxa" w:w="737"/>
                  <w:vMerge/>
                  <w:tcBorders>
                    <w:top w:val="single" w:color="000000" w:sz="4"/>
                    <w:left w:val="single" w:color="000000" w:sz="4"/>
                    <w:bottom w:val="single" w:color="000000" w:sz="4"/>
                    <w:right w:val="single" w:color="000000" w:sz="4"/>
                  </w:tcBorders>
                </w:tcP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在较大影响的工作实施前未提供详细的实施方案。</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1分/次</w:t>
                  </w:r>
                </w:p>
              </w:tc>
              <w:tc>
                <w:tcPr>
                  <w:tcW w:type="dxa" w:w="1159"/>
                  <w:vMerge/>
                  <w:tcBorders>
                    <w:top w:val="single" w:color="000000" w:sz="4"/>
                    <w:left w:val="single" w:color="000000" w:sz="4"/>
                    <w:bottom w:val="single" w:color="000000" w:sz="4"/>
                    <w:right w:val="single" w:color="000000" w:sz="4"/>
                  </w:tcBorders>
                </w:tcPr>
                <w:p/>
              </w:tc>
              <w:tc>
                <w:tcPr>
                  <w:tcW w:type="dxa" w:w="737"/>
                  <w:vMerge/>
                  <w:tcBorders>
                    <w:top w:val="single" w:color="000000" w:sz="4"/>
                    <w:left w:val="single" w:color="000000" w:sz="4"/>
                    <w:bottom w:val="single" w:color="000000" w:sz="4"/>
                    <w:right w:val="single" w:color="000000" w:sz="4"/>
                  </w:tcBorders>
                </w:tcP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重大故障发生日起</w:t>
                  </w:r>
                  <w:r>
                    <w:rPr>
                      <w:rFonts w:ascii="仿宋_GB2312" w:hAnsi="仿宋_GB2312" w:cs="仿宋_GB2312" w:eastAsia="仿宋_GB2312"/>
                      <w:sz w:val="24"/>
                      <w:color w:val="000000"/>
                    </w:rPr>
                    <w:t>,1个工作日内驻场工程师未提交故障分析报告，或分析报告不满足业主要求。</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1分/次</w:t>
                  </w:r>
                </w:p>
              </w:tc>
              <w:tc>
                <w:tcPr>
                  <w:tcW w:type="dxa" w:w="1159"/>
                  <w:vMerge/>
                  <w:tcBorders>
                    <w:top w:val="single" w:color="000000" w:sz="4"/>
                    <w:left w:val="single" w:color="000000" w:sz="4"/>
                    <w:bottom w:val="single" w:color="000000" w:sz="4"/>
                    <w:right w:val="single" w:color="000000" w:sz="4"/>
                  </w:tcBorders>
                </w:tcPr>
                <w:p/>
              </w:tc>
              <w:tc>
                <w:tcPr>
                  <w:tcW w:type="dxa" w:w="737"/>
                  <w:vMerge/>
                  <w:tcBorders>
                    <w:top w:val="single" w:color="000000" w:sz="4"/>
                    <w:left w:val="single" w:color="000000" w:sz="4"/>
                    <w:bottom w:val="single" w:color="000000" w:sz="4"/>
                    <w:right w:val="single" w:color="000000" w:sz="4"/>
                  </w:tcBorders>
                </w:tcP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被上级部门通报批评</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2分/次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上级部门签发的通报</w:t>
                  </w:r>
                </w:p>
              </w:tc>
              <w:tc>
                <w:tcPr>
                  <w:tcW w:type="dxa" w:w="7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r>
            <w:tr>
              <w:tc>
                <w:tcPr>
                  <w:tcW w:type="dxa" w:w="67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考勤制度</w:t>
                  </w:r>
                </w:p>
              </w:tc>
              <w:tc>
                <w:tcPr>
                  <w:tcW w:type="dxa" w:w="814"/>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按需保障</w:t>
                  </w: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未经允许迟到早退</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0.5</w:t>
                  </w:r>
                  <w:r>
                    <w:rPr>
                      <w:rFonts w:ascii="仿宋_GB2312" w:hAnsi="仿宋_GB2312" w:cs="仿宋_GB2312" w:eastAsia="仿宋_GB2312"/>
                      <w:sz w:val="24"/>
                      <w:color w:val="000000"/>
                    </w:rPr>
                    <w:t>分</w:t>
                  </w:r>
                  <w:r>
                    <w:rPr>
                      <w:rFonts w:ascii="仿宋_GB2312" w:hAnsi="仿宋_GB2312" w:cs="仿宋_GB2312" w:eastAsia="仿宋_GB2312"/>
                      <w:sz w:val="24"/>
                      <w:color w:val="000000"/>
                    </w:rPr>
                    <w:t>/次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全部驻场人员累计</w:t>
                  </w:r>
                  <w:r>
                    <w:rPr>
                      <w:rFonts w:ascii="仿宋_GB2312" w:hAnsi="仿宋_GB2312" w:cs="仿宋_GB2312" w:eastAsia="仿宋_GB2312"/>
                      <w:sz w:val="24"/>
                    </w:rPr>
                    <w:t>1个年度请假超过10日起开始扣分（病假除外）</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1分/次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7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巡检服务</w:t>
                  </w:r>
                </w:p>
              </w:tc>
              <w:tc>
                <w:tcPr>
                  <w:tcW w:type="dxa" w:w="814"/>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及时巡检</w:t>
                  </w: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驻场工程师未按照客户要求进行中心机房巡检</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1分/次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巡检记录</w:t>
                  </w:r>
                </w:p>
              </w:tc>
              <w:tc>
                <w:tcPr>
                  <w:tcW w:type="dxa" w:w="73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巡检后未提供记录或记录未签字</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0.5分/次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巡检记录</w:t>
                  </w:r>
                </w:p>
              </w:tc>
              <w:tc>
                <w:tcPr>
                  <w:tcW w:type="dxa" w:w="737"/>
                  <w:vMerge/>
                  <w:tcBorders>
                    <w:top w:val="single" w:color="000000" w:sz="4"/>
                    <w:left w:val="single" w:color="000000" w:sz="4"/>
                    <w:bottom w:val="single" w:color="000000" w:sz="4"/>
                    <w:right w:val="single" w:color="000000" w:sz="4"/>
                  </w:tcBorders>
                </w:tcPr>
                <w:p/>
              </w:tc>
            </w:tr>
            <w:tr>
              <w:tc>
                <w:tcPr>
                  <w:tcW w:type="dxa" w:w="676"/>
                  <w:vMerge/>
                  <w:tcBorders>
                    <w:top w:val="single" w:color="000000" w:sz="4"/>
                    <w:left w:val="single" w:color="000000" w:sz="4"/>
                    <w:bottom w:val="single" w:color="000000" w:sz="4"/>
                    <w:right w:val="single" w:color="000000" w:sz="4"/>
                  </w:tcBorders>
                </w:tcPr>
                <w:p/>
              </w:tc>
              <w:tc>
                <w:tcPr>
                  <w:tcW w:type="dxa" w:w="8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巡检可靠性</w:t>
                  </w: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在驻场工程师巡检后的一定时间内如出现巡检中应发现的隐患而未发现的，导致故障的</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2分/次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业主和原厂商权威人员认定</w:t>
                  </w:r>
                </w:p>
              </w:tc>
              <w:tc>
                <w:tcPr>
                  <w:tcW w:type="dxa" w:w="737"/>
                  <w:vMerge/>
                  <w:tcBorders>
                    <w:top w:val="single" w:color="000000" w:sz="4"/>
                    <w:left w:val="single" w:color="000000" w:sz="4"/>
                    <w:bottom w:val="single" w:color="000000" w:sz="4"/>
                    <w:right w:val="single" w:color="000000" w:sz="4"/>
                  </w:tcBorders>
                </w:tcPr>
                <w:p/>
              </w:tc>
            </w:tr>
            <w:tr>
              <w:tc>
                <w:tcPr>
                  <w:tcW w:type="dxa" w:w="67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沟通协作</w:t>
                  </w:r>
                </w:p>
              </w:tc>
              <w:tc>
                <w:tcPr>
                  <w:tcW w:type="dxa" w:w="814"/>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驻场团队成员在与业主各级管理、维护人员沟通方面存在障碍</w:t>
                  </w: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在驻场团队与业主相关人员就同一问题沟通</w:t>
                  </w:r>
                  <w:r>
                    <w:rPr>
                      <w:rFonts w:ascii="仿宋_GB2312" w:hAnsi="仿宋_GB2312" w:cs="仿宋_GB2312" w:eastAsia="仿宋_GB2312"/>
                      <w:sz w:val="24"/>
                      <w:color w:val="000000"/>
                    </w:rPr>
                    <w:t>3次以上仍不能明白的</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0.5分/次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业主直接认定</w:t>
                  </w:r>
                </w:p>
              </w:tc>
              <w:tc>
                <w:tcPr>
                  <w:tcW w:type="dxa" w:w="73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驻场团队与其他为业主提供服务单位之间需协同合作时，明显出现推诿现象，使故障时间延长或者工程时间延长</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2分/次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参考业主团队主观判定</w:t>
                  </w:r>
                </w:p>
              </w:tc>
              <w:tc>
                <w:tcPr>
                  <w:tcW w:type="dxa" w:w="737"/>
                  <w:vMerge/>
                  <w:tcBorders>
                    <w:top w:val="single" w:color="000000" w:sz="4"/>
                    <w:left w:val="single" w:color="000000" w:sz="4"/>
                    <w:bottom w:val="single" w:color="000000" w:sz="4"/>
                    <w:right w:val="single" w:color="000000" w:sz="4"/>
                  </w:tcBorders>
                </w:tcPr>
                <w:p/>
              </w:tc>
            </w:tr>
            <w:tr>
              <w:tc>
                <w:tcPr>
                  <w:tcW w:type="dxa" w:w="676"/>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4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在与多个厂商协调处理复杂故障中，由于沟通和技术水平不到位，导致故障不能得到及时处理（事后分析故障是驻场团队责任）。</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2分/次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参考故障排查时间</w:t>
                  </w:r>
                </w:p>
              </w:tc>
              <w:tc>
                <w:tcPr>
                  <w:tcW w:type="dxa" w:w="737"/>
                  <w:vMerge/>
                  <w:tcBorders>
                    <w:top w:val="single" w:color="000000" w:sz="4"/>
                    <w:left w:val="single" w:color="000000" w:sz="4"/>
                    <w:bottom w:val="single" w:color="000000" w:sz="4"/>
                    <w:right w:val="single" w:color="000000" w:sz="4"/>
                  </w:tcBorders>
                </w:tcPr>
                <w:p/>
              </w:tc>
            </w:tr>
            <w:tr>
              <w:tc>
                <w:tcPr>
                  <w:tcW w:type="dxa" w:w="67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规范纪律</w:t>
                  </w:r>
                </w:p>
              </w:tc>
              <w:tc>
                <w:tcPr>
                  <w:tcW w:type="dxa" w:w="2283"/>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业主组织的正式或非正式的会议、讨论、集中办公、值班、现场支撑等活动，迟到</w:t>
                  </w:r>
                  <w:r>
                    <w:rPr>
                      <w:rFonts w:ascii="仿宋_GB2312" w:hAnsi="仿宋_GB2312" w:cs="仿宋_GB2312" w:eastAsia="仿宋_GB2312"/>
                      <w:sz w:val="24"/>
                      <w:color w:val="000000"/>
                    </w:rPr>
                    <w:t>15分钟以上或无故缺席的，或虽提前提出申请，但未获业主同意。</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1分/次</w:t>
                  </w:r>
                </w:p>
              </w:tc>
              <w:tc>
                <w:tcPr>
                  <w:tcW w:type="dxa" w:w="1159"/>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参考签到表和业主主观判定</w:t>
                  </w:r>
                </w:p>
              </w:tc>
              <w:tc>
                <w:tcPr>
                  <w:tcW w:type="dxa" w:w="73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r>
            <w:tr>
              <w:tc>
                <w:tcPr>
                  <w:tcW w:type="dxa" w:w="676"/>
                  <w:vMerge/>
                  <w:tcBorders>
                    <w:top w:val="single" w:color="000000" w:sz="4"/>
                    <w:left w:val="single" w:color="000000" w:sz="4"/>
                    <w:bottom w:val="single" w:color="000000" w:sz="4"/>
                    <w:right w:val="single" w:color="000000" w:sz="4"/>
                  </w:tcBorders>
                </w:tcPr>
                <w:p/>
              </w:tc>
              <w:tc>
                <w:tcPr>
                  <w:tcW w:type="dxa" w:w="2283"/>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驻场团队人员未告知业主同意的情况下，擅自离开现场。</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1分/次</w:t>
                  </w:r>
                </w:p>
              </w:tc>
              <w:tc>
                <w:tcPr>
                  <w:tcW w:type="dxa" w:w="1159"/>
                  <w:vMerge/>
                  <w:tcBorders>
                    <w:top w:val="single" w:color="000000" w:sz="4"/>
                    <w:left w:val="single" w:color="000000" w:sz="4"/>
                    <w:bottom w:val="single" w:color="000000" w:sz="4"/>
                    <w:right w:val="single" w:color="000000" w:sz="4"/>
                  </w:tcBorders>
                </w:tcPr>
                <w:p/>
              </w:tc>
              <w:tc>
                <w:tcPr>
                  <w:tcW w:type="dxa" w:w="737"/>
                  <w:vMerge/>
                  <w:tcBorders>
                    <w:top w:val="single" w:color="000000" w:sz="4"/>
                    <w:left w:val="single" w:color="000000" w:sz="4"/>
                    <w:bottom w:val="single" w:color="000000" w:sz="4"/>
                    <w:right w:val="single" w:color="000000" w:sz="4"/>
                  </w:tcBorders>
                </w:tcPr>
                <w:p/>
              </w:tc>
            </w:tr>
            <w:tr>
              <w:tc>
                <w:tcPr>
                  <w:tcW w:type="dxa" w:w="676"/>
                  <w:vMerge/>
                  <w:tcBorders>
                    <w:top w:val="single" w:color="000000" w:sz="4"/>
                    <w:left w:val="single" w:color="000000" w:sz="4"/>
                    <w:bottom w:val="single" w:color="000000" w:sz="4"/>
                    <w:right w:val="single" w:color="000000" w:sz="4"/>
                  </w:tcBorders>
                </w:tcPr>
                <w:p/>
              </w:tc>
              <w:tc>
                <w:tcPr>
                  <w:tcW w:type="dxa" w:w="2283"/>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违反业主相关安全原则和要求的，包括不可私自接入业主网络；不可将病毒引入业主网络、不可随意分配</w:t>
                  </w:r>
                  <w:r>
                    <w:rPr>
                      <w:rFonts w:ascii="仿宋_GB2312" w:hAnsi="仿宋_GB2312" w:cs="仿宋_GB2312" w:eastAsia="仿宋_GB2312"/>
                      <w:sz w:val="24"/>
                      <w:color w:val="000000"/>
                    </w:rPr>
                    <w:t>IP地址；不可私自接通内外网；不可利用业主为维护服务开展而给予的权限进行不适当的操作（尤其是对业主的运营及维护有所影响的操作）；不可私自获取业主的各种数据和资料等。</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2分/次</w:t>
                  </w:r>
                </w:p>
              </w:tc>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参考监控、登陆记录与系统日志综合等综合评估</w:t>
                  </w:r>
                </w:p>
              </w:tc>
              <w:tc>
                <w:tcPr>
                  <w:tcW w:type="dxa" w:w="737"/>
                  <w:vMerge/>
                  <w:tcBorders>
                    <w:top w:val="single" w:color="000000" w:sz="4"/>
                    <w:left w:val="single" w:color="000000" w:sz="4"/>
                    <w:bottom w:val="single" w:color="000000" w:sz="4"/>
                    <w:right w:val="single" w:color="000000" w:sz="4"/>
                  </w:tcBorders>
                </w:tcPr>
                <w:p/>
              </w:tc>
            </w:tr>
            <w:tr>
              <w:tc>
                <w:tcPr>
                  <w:tcW w:type="dxa" w:w="676"/>
                  <w:vMerge/>
                  <w:tcBorders>
                    <w:top w:val="single" w:color="000000" w:sz="4"/>
                    <w:left w:val="single" w:color="000000" w:sz="4"/>
                    <w:bottom w:val="single" w:color="000000" w:sz="4"/>
                    <w:right w:val="single" w:color="000000" w:sz="4"/>
                  </w:tcBorders>
                </w:tcPr>
                <w:p/>
              </w:tc>
              <w:tc>
                <w:tcPr>
                  <w:tcW w:type="dxa" w:w="2283"/>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发现有以下任一行为并造成后果的：</w:t>
                  </w:r>
                </w:p>
                <w:p>
                  <w:pPr>
                    <w:pStyle w:val="null3"/>
                    <w:jc w:val="center"/>
                  </w:pPr>
                  <w:r>
                    <w:rPr>
                      <w:rFonts w:ascii="仿宋_GB2312" w:hAnsi="仿宋_GB2312" w:cs="仿宋_GB2312" w:eastAsia="仿宋_GB2312"/>
                      <w:sz w:val="24"/>
                      <w:color w:val="000000"/>
                    </w:rPr>
                    <w:t>1、违反用户方规范化管理要求；2、违反保密要求；3、发生网络违规行为造成重大安全事故。</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3分/次</w:t>
                  </w:r>
                </w:p>
              </w:tc>
              <w:tc>
                <w:tcPr>
                  <w:tcW w:type="dxa" w:w="1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参考业主团队主观判定</w:t>
                  </w:r>
                </w:p>
              </w:tc>
              <w:tc>
                <w:tcPr>
                  <w:tcW w:type="dxa" w:w="7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r>
          </w:tbl>
          <w:p>
            <w:pPr>
              <w:pStyle w:val="null3"/>
              <w:jc w:val="both"/>
            </w:pPr>
            <w:r>
              <w:rPr>
                <w:rFonts w:ascii="仿宋_GB2312" w:hAnsi="仿宋_GB2312" w:cs="仿宋_GB2312" w:eastAsia="仿宋_GB2312"/>
                <w:sz w:val="24"/>
                <w:b/>
              </w:rPr>
              <w:t>加分项</w:t>
            </w:r>
          </w:p>
          <w:tbl>
            <w:tblPr>
              <w:tblInd w:type="dxa" w:w="105"/>
              <w:tblBorders>
                <w:top w:val="none" w:color="000000" w:sz="4"/>
                <w:left w:val="none" w:color="000000" w:sz="4"/>
                <w:bottom w:val="none" w:color="000000" w:sz="4"/>
                <w:right w:val="none" w:color="000000" w:sz="4"/>
                <w:insideH w:val="none"/>
                <w:insideV w:val="none"/>
              </w:tblBorders>
            </w:tblPr>
            <w:tblGrid>
              <w:gridCol w:w="661"/>
              <w:gridCol w:w="1056"/>
              <w:gridCol w:w="810"/>
              <w:gridCol w:w="736"/>
              <w:gridCol w:w="1348"/>
              <w:gridCol w:w="987"/>
            </w:tblGrid>
            <w:tr>
              <w:tc>
                <w:tcPr>
                  <w:tcW w:type="dxa" w:w="661"/>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评价类别</w:t>
                  </w:r>
                </w:p>
              </w:tc>
              <w:tc>
                <w:tcPr>
                  <w:tcW w:type="dxa" w:w="1056"/>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指标定义</w:t>
                  </w:r>
                </w:p>
              </w:tc>
              <w:tc>
                <w:tcPr>
                  <w:tcW w:type="dxa" w:w="1546"/>
                  <w:gridSpan w:val="2"/>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评分标准</w:t>
                  </w:r>
                </w:p>
              </w:tc>
              <w:tc>
                <w:tcPr>
                  <w:tcW w:type="dxa" w:w="1348"/>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评价依据</w:t>
                  </w:r>
                </w:p>
              </w:tc>
              <w:tc>
                <w:tcPr>
                  <w:tcW w:type="dxa" w:w="987"/>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分值</w:t>
                  </w:r>
                </w:p>
                <w:p>
                  <w:pPr>
                    <w:pStyle w:val="null3"/>
                    <w:jc w:val="center"/>
                  </w:pPr>
                  <w:r>
                    <w:rPr>
                      <w:rFonts w:ascii="仿宋_GB2312" w:hAnsi="仿宋_GB2312" w:cs="仿宋_GB2312" w:eastAsia="仿宋_GB2312"/>
                      <w:sz w:val="24"/>
                      <w:b/>
                      <w:color w:val="000000"/>
                    </w:rPr>
                    <w:t>（加分上限）</w:t>
                  </w:r>
                </w:p>
              </w:tc>
            </w:tr>
            <w:tr>
              <w:tc>
                <w:tcPr>
                  <w:tcW w:type="dxa" w:w="661"/>
                  <w:vMerge/>
                  <w:tcBorders>
                    <w:top w:val="single" w:color="000000" w:sz="4"/>
                    <w:left w:val="single" w:color="000000" w:sz="4"/>
                    <w:bottom w:val="single" w:color="000000" w:sz="4"/>
                    <w:right w:val="single" w:color="000000" w:sz="4"/>
                  </w:tcBorders>
                </w:tcPr>
                <w:p/>
              </w:tc>
              <w:tc>
                <w:tcPr>
                  <w:tcW w:type="dxa" w:w="1056"/>
                  <w:vMerge/>
                  <w:tcBorders>
                    <w:top w:val="single" w:color="000000" w:sz="4"/>
                    <w:left w:val="single" w:color="000000" w:sz="4"/>
                    <w:bottom w:val="single" w:color="000000" w:sz="4"/>
                    <w:right w:val="single" w:color="000000" w:sz="4"/>
                  </w:tcBorders>
                </w:tcPr>
                <w:p/>
              </w:tc>
              <w:tc>
                <w:tcPr>
                  <w:tcW w:type="dxa" w:w="810"/>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指标值</w:t>
                  </w:r>
                </w:p>
              </w:tc>
              <w:tc>
                <w:tcPr>
                  <w:tcW w:type="dxa" w:w="73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加分值</w:t>
                  </w:r>
                </w:p>
              </w:tc>
              <w:tc>
                <w:tcPr>
                  <w:tcW w:type="dxa" w:w="1348"/>
                  <w:vMerge/>
                  <w:tcBorders>
                    <w:top w:val="single" w:color="000000" w:sz="4"/>
                    <w:left w:val="single" w:color="000000" w:sz="4"/>
                    <w:bottom w:val="single" w:color="000000" w:sz="4"/>
                    <w:right w:val="single" w:color="000000" w:sz="4"/>
                  </w:tcBorders>
                </w:tcPr>
                <w:p/>
              </w:tc>
              <w:tc>
                <w:tcPr>
                  <w:tcW w:type="dxa" w:w="987"/>
                  <w:vMerge/>
                  <w:tcBorders>
                    <w:top w:val="single" w:color="000000" w:sz="4"/>
                    <w:left w:val="single" w:color="000000" w:sz="4"/>
                    <w:bottom w:val="single" w:color="000000" w:sz="4"/>
                    <w:right w:val="single" w:color="000000" w:sz="4"/>
                  </w:tcBorders>
                </w:tcPr>
                <w:p/>
              </w:tc>
            </w:tr>
            <w:tr>
              <w:tc>
                <w:tcPr>
                  <w:tcW w:type="dxa" w:w="661"/>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协作</w:t>
                  </w:r>
                </w:p>
              </w:tc>
              <w:tc>
                <w:tcPr>
                  <w:tcW w:type="dxa" w:w="105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驻场工程师在处理复杂故障进行过程中在完成本职工作之余，积极的协助业主或其他厂商解决了相关重大问题，使故障或工程整体进度得到了推进，根据实际情况对服务供应商酌情加分</w:t>
                  </w:r>
                </w:p>
              </w:tc>
              <w:tc>
                <w:tcPr>
                  <w:tcW w:type="dxa" w:w="810"/>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每出现一次，因驻场服务提供积极配合解决项目重大问题事件案例，根据实际情况加分</w:t>
                  </w:r>
                </w:p>
              </w:tc>
              <w:tc>
                <w:tcPr>
                  <w:tcW w:type="dxa" w:w="73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1-3分/次</w:t>
                  </w:r>
                </w:p>
              </w:tc>
              <w:tc>
                <w:tcPr>
                  <w:tcW w:type="dxa" w:w="134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驻场团队相关人员需向业主维护管理部门提供书面的情况说明报告，经用户方证实批准后执行。</w:t>
                  </w:r>
                </w:p>
              </w:tc>
              <w:tc>
                <w:tcPr>
                  <w:tcW w:type="dxa" w:w="987"/>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r>
            <w:tr>
              <w:tc>
                <w:tcPr>
                  <w:tcW w:type="dxa" w:w="661"/>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态度</w:t>
                  </w:r>
                </w:p>
              </w:tc>
              <w:tc>
                <w:tcPr>
                  <w:tcW w:type="dxa" w:w="1866"/>
                  <w:gridSpan w:val="2"/>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驻场团队在故障处理过程中，特别是涉及第三方服务提供商的复杂故障，主动增派力量，态度端正、不推诿，确保质量，积极协调前后端资源解决，并最终及时处理故障的，可酌情加分</w:t>
                  </w:r>
                </w:p>
              </w:tc>
              <w:tc>
                <w:tcPr>
                  <w:tcW w:type="dxa" w:w="73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1-3分/次</w:t>
                  </w:r>
                </w:p>
              </w:tc>
              <w:tc>
                <w:tcPr>
                  <w:tcW w:type="dxa" w:w="134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驻场团队相关人员需向业主维护管理部门提供书面的情况说明报告，经用户方证实批准后执行。</w:t>
                  </w:r>
                </w:p>
              </w:tc>
              <w:tc>
                <w:tcPr>
                  <w:tcW w:type="dxa" w:w="987"/>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r>
            <w:tr>
              <w:tc>
                <w:tcPr>
                  <w:tcW w:type="dxa" w:w="661"/>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质量</w:t>
                  </w:r>
                </w:p>
              </w:tc>
              <w:tc>
                <w:tcPr>
                  <w:tcW w:type="dxa" w:w="1866"/>
                  <w:gridSpan w:val="2"/>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连续</w:t>
                  </w:r>
                  <w:r>
                    <w:rPr>
                      <w:rFonts w:ascii="仿宋_GB2312" w:hAnsi="仿宋_GB2312" w:cs="仿宋_GB2312" w:eastAsia="仿宋_GB2312"/>
                      <w:sz w:val="24"/>
                      <w:color w:val="000000"/>
                    </w:rPr>
                    <w:t>3次现场服务一次性问题解决率均为100％，业主使用人感知较好的可酌情加分</w:t>
                  </w:r>
                </w:p>
              </w:tc>
              <w:tc>
                <w:tcPr>
                  <w:tcW w:type="dxa" w:w="73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1分/次</w:t>
                  </w:r>
                </w:p>
              </w:tc>
              <w:tc>
                <w:tcPr>
                  <w:tcW w:type="dxa" w:w="134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现场维护记录为准</w:t>
                  </w:r>
                </w:p>
              </w:tc>
              <w:tc>
                <w:tcPr>
                  <w:tcW w:type="dxa" w:w="987"/>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r>
            <w:tr>
              <w:tc>
                <w:tcPr>
                  <w:tcW w:type="dxa" w:w="661"/>
                  <w:vMerge/>
                  <w:tcBorders>
                    <w:top w:val="single" w:color="000000" w:sz="4"/>
                    <w:left w:val="single" w:color="000000" w:sz="4"/>
                    <w:bottom w:val="single" w:color="000000" w:sz="4"/>
                    <w:right w:val="single" w:color="000000" w:sz="4"/>
                  </w:tcBorders>
                </w:tcPr>
                <w:p/>
              </w:tc>
              <w:tc>
                <w:tcPr>
                  <w:tcW w:type="dxa" w:w="1866"/>
                  <w:gridSpan w:val="2"/>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连续</w:t>
                  </w:r>
                  <w:r>
                    <w:rPr>
                      <w:rFonts w:ascii="仿宋_GB2312" w:hAnsi="仿宋_GB2312" w:cs="仿宋_GB2312" w:eastAsia="仿宋_GB2312"/>
                      <w:sz w:val="24"/>
                      <w:color w:val="000000"/>
                    </w:rPr>
                    <w:t>5次电话服务一次性解决问题成功率100％，业主使用人感知较好的可酌情加分</w:t>
                  </w:r>
                </w:p>
              </w:tc>
              <w:tc>
                <w:tcPr>
                  <w:tcW w:type="dxa" w:w="73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1/次</w:t>
                  </w:r>
                </w:p>
              </w:tc>
              <w:tc>
                <w:tcPr>
                  <w:tcW w:type="dxa" w:w="134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现场维护记录为准</w:t>
                  </w:r>
                </w:p>
              </w:tc>
              <w:tc>
                <w:tcPr>
                  <w:tcW w:type="dxa" w:w="987"/>
                  <w:vMerge/>
                  <w:tcBorders>
                    <w:top w:val="single" w:color="000000" w:sz="4"/>
                    <w:left w:val="single" w:color="000000" w:sz="4"/>
                    <w:bottom w:val="single" w:color="000000" w:sz="4"/>
                    <w:right w:val="single" w:color="000000" w:sz="4"/>
                  </w:tcBorders>
                </w:tcPr>
                <w:p/>
              </w:tc>
            </w:tr>
            <w:tr>
              <w:tc>
                <w:tcPr>
                  <w:tcW w:type="dxa" w:w="661"/>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建议</w:t>
                  </w:r>
                </w:p>
              </w:tc>
              <w:tc>
                <w:tcPr>
                  <w:tcW w:type="dxa" w:w="105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驻场团队提出了有利于故障或工程、技术、管理等方面改进的建设性意见或建议，并得到了业主的采纳，根据实际情况对驻场团队酌情加分</w:t>
                  </w:r>
                </w:p>
              </w:tc>
              <w:tc>
                <w:tcPr>
                  <w:tcW w:type="dxa" w:w="810"/>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驻场团队每提出一个重大的建设性意见得到业主采纳，加</w:t>
                  </w:r>
                  <w:r>
                    <w:rPr>
                      <w:rFonts w:ascii="仿宋_GB2312" w:hAnsi="仿宋_GB2312" w:cs="仿宋_GB2312" w:eastAsia="仿宋_GB2312"/>
                      <w:sz w:val="24"/>
                      <w:color w:val="000000"/>
                    </w:rPr>
                    <w:t>1分</w:t>
                  </w:r>
                </w:p>
              </w:tc>
              <w:tc>
                <w:tcPr>
                  <w:tcW w:type="dxa" w:w="73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1-3分/次</w:t>
                  </w:r>
                </w:p>
              </w:tc>
              <w:tc>
                <w:tcPr>
                  <w:tcW w:type="dxa" w:w="134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驻场团队相关人员需向业主维护管理部门提供书面的情况说明报告，经用户方证实批准后执行。</w:t>
                  </w:r>
                </w:p>
              </w:tc>
              <w:tc>
                <w:tcPr>
                  <w:tcW w:type="dxa" w:w="987"/>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r>
            <w:tr>
              <w:tc>
                <w:tcPr>
                  <w:tcW w:type="dxa" w:w="661"/>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稳定性</w:t>
                  </w:r>
                </w:p>
              </w:tc>
              <w:tc>
                <w:tcPr>
                  <w:tcW w:type="dxa" w:w="105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驻场团队在季度日常支撑及维护中，未出现重大障碍或事故，酌情加分</w:t>
                  </w:r>
                </w:p>
              </w:tc>
              <w:tc>
                <w:tcPr>
                  <w:tcW w:type="dxa" w:w="810"/>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季度稳定运行无障碍，根据系统重要程度加分</w:t>
                  </w:r>
                </w:p>
              </w:tc>
              <w:tc>
                <w:tcPr>
                  <w:tcW w:type="dxa" w:w="73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1－2分/系统</w:t>
                  </w:r>
                </w:p>
              </w:tc>
              <w:tc>
                <w:tcPr>
                  <w:tcW w:type="dxa" w:w="134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驻场团队相关人员需向业主维护管理部门提供书面的情况说明报告，经用户方证实批准后执行。</w:t>
                  </w:r>
                </w:p>
              </w:tc>
              <w:tc>
                <w:tcPr>
                  <w:tcW w:type="dxa" w:w="987"/>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r>
            <w:tr>
              <w:tc>
                <w:tcPr>
                  <w:tcW w:type="dxa" w:w="661"/>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节假日保障服务</w:t>
                  </w:r>
                </w:p>
              </w:tc>
              <w:tc>
                <w:tcPr>
                  <w:tcW w:type="dxa" w:w="105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根据业主通知进行节假日和重点期间支撑保障，根据通报情况，酌情加分</w:t>
                  </w:r>
                </w:p>
              </w:tc>
              <w:tc>
                <w:tcPr>
                  <w:tcW w:type="dxa" w:w="810"/>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上级部门通报排名</w:t>
                  </w:r>
                </w:p>
              </w:tc>
              <w:tc>
                <w:tcPr>
                  <w:tcW w:type="dxa" w:w="73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2分/次</w:t>
                  </w:r>
                </w:p>
              </w:tc>
              <w:tc>
                <w:tcPr>
                  <w:tcW w:type="dxa" w:w="134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上级部门签发的通报中，排名在前三名</w:t>
                  </w:r>
                </w:p>
              </w:tc>
              <w:tc>
                <w:tcPr>
                  <w:tcW w:type="dxa" w:w="987"/>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color w:val="000000"/>
              </w:rPr>
              <w:t>服务期限：</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333333"/>
                <w:shd w:fill="FFFFFF" w:val="clear"/>
              </w:rPr>
              <w:t>合同总服务期限三年。实行一年一考核、考核合格后分期付款的办法。</w:t>
            </w:r>
          </w:p>
          <w:p>
            <w:pPr>
              <w:pStyle w:val="null3"/>
              <w:jc w:val="left"/>
            </w:pPr>
            <w:r>
              <w:rPr>
                <w:rFonts w:ascii="仿宋_GB2312" w:hAnsi="仿宋_GB2312" w:cs="仿宋_GB2312" w:eastAsia="仿宋_GB2312"/>
                <w:sz w:val="24"/>
                <w:color w:val="333333"/>
                <w:shd w:fill="FFFFFF" w:val="clear"/>
              </w:rPr>
              <w:t>采购预算：本项目采购预算</w:t>
            </w:r>
            <w:r>
              <w:rPr>
                <w:rFonts w:ascii="仿宋_GB2312" w:hAnsi="仿宋_GB2312" w:cs="仿宋_GB2312" w:eastAsia="仿宋_GB2312"/>
                <w:sz w:val="24"/>
                <w:color w:val="333333"/>
                <w:shd w:fill="FFFFFF" w:val="clear"/>
              </w:rPr>
              <w:t>49万元为一年的预算。</w:t>
            </w:r>
          </w:p>
          <w:p>
            <w:pPr>
              <w:pStyle w:val="null3"/>
              <w:jc w:val="left"/>
            </w:pPr>
            <w:r>
              <w:rPr>
                <w:rFonts w:ascii="仿宋_GB2312" w:hAnsi="仿宋_GB2312" w:cs="仿宋_GB2312" w:eastAsia="仿宋_GB2312"/>
                <w:sz w:val="24"/>
                <w:color w:val="333333"/>
                <w:shd w:fill="FFFFFF" w:val="clear"/>
              </w:rPr>
              <w:t>其他要求：</w:t>
            </w:r>
            <w:r>
              <w:rPr>
                <w:rFonts w:ascii="仿宋_GB2312" w:hAnsi="仿宋_GB2312" w:cs="仿宋_GB2312" w:eastAsia="仿宋_GB2312"/>
                <w:sz w:val="24"/>
                <w:color w:val="333333"/>
              </w:rPr>
              <w:t>在运维期间，针对运维服务要求内的工作内容及服务人员的食宿、差旅等所产生的一切费用均由供应商负责。</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1095日历天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西昌市（采购人指定地点）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双方合同约定的内容和有关要求。由采购人组织验收小组或委托其他专业机构。遵行《财政部关于进一步加强政府采购需求和履约验收管理的指导意见》（财库〔2016〕205号）等相关法律法规、技术标准与规范流程组织评审验收。(2)验收标准:按采购文件要求、成交供应商的响应文件及承诺、签订的合同、国家及行业相关规范标准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1、进度款，签订合同后，达到付款条件起30日内，据实结算说明为签订合同后1个月内支付合同金额的50%。</w:t>
            </w:r>
          </w:p>
          <w:p>
            <w:pPr>
              <w:pStyle w:val="null3"/>
              <w:jc w:val="left"/>
            </w:pPr>
            <w:r>
              <w:rPr>
                <w:rFonts w:ascii="仿宋_GB2312" w:hAnsi="仿宋_GB2312" w:cs="仿宋_GB2312" w:eastAsia="仿宋_GB2312"/>
              </w:rPr>
              <w:t>2、尾款， 实行一年一考核、考核合格后，达到付款条件起7日内，据实结算说明为根据年度运维结束（自签订合同后一年服务期满）依据服务考核结果，考核分数90分及以上算合格；90分以下，则将按照：结算金额=Y（合同总金额）*（X（考核分数）*100/90）%-已付金额，核算实际的年度运维结算费用。在项目整体验收后1个月内支付，达到付款条件起7日内，支付考核后剩余合同金额。</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A、甲乙双方必须遵守本合同并执行合同中的各项规定，保证本合同的正常履行。 B、如因乙方工作人员在履行职务过程中的的疏忽、失职、过错等故意或者过失原因给甲方造成损 失或侵害，包括但不限于甲方本身的财产损失、由此而导致的甲方对任何第三方的法律责任等，乙方对此均应承担全部的赔偿责任。不可抗力事件处理： ①在合同有效期内，任何一方因不可抗力事件导致不能履行合同，则合同履行期可延长，其延长期与不可抗力影响期相同。 ②不可抗力事件发生后，应立即通知对方，并寄送有关权威机构出具的证明。 C、不可抗力事件延续10天以上，双方应通过友好协商，确定是否继续履行合同。 解决合同纠纷的方式: 1、在执行本合同中发生的或与本合同有关的争端，双方应通过友好协商解决，经协商在10天内不能达成协议时，应提交采购人所在地区仲裁委员会仲裁。 2、仲裁裁决应为最终决定，并对双方具有约束力。3、除另有裁决外，仲裁费应由败诉方负担。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①供应商提供2024年度或2025年度经审计的财务报告（包含审计报告和审计报告中 所涉及的财务报表和报表附注）；②提供2024年度或2025年度供应商内部编制的财务报表（包括资产 负债表、利润表、现金流量表）；③供应商注册时间截至响应文件提交截止之日前不足一年的，也可提供在相关主管部门备案的公司章程等证明材料。【以上三项内容任选其中一项进行响应】供应商需在使用投标(响应)客户端编制响应文件时， 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满足磋商文件其他实质性要求。</w:t>
            </w:r>
          </w:p>
        </w:tc>
        <w:tc>
          <w:tcPr>
            <w:tcW w:type="dxa" w:w="1661"/>
          </w:tcPr>
          <w:p>
            <w:pPr>
              <w:pStyle w:val="null3"/>
              <w:jc w:val="left"/>
            </w:pPr>
            <w:r>
              <w:rPr>
                <w:rFonts w:ascii="仿宋_GB2312" w:hAnsi="仿宋_GB2312" w:cs="仿宋_GB2312" w:eastAsia="仿宋_GB2312"/>
              </w:rPr>
              <w:t>响应文件封面,供应商应提交的相关证明材料,服务应答表,投标（响应）函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项目需求分析及运维建议、实施方案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项目需求分析及运维建议</w:t>
            </w:r>
          </w:p>
        </w:tc>
        <w:tc>
          <w:tcPr>
            <w:tcW w:type="dxa" w:w="2575"/>
          </w:tcPr>
          <w:p>
            <w:pPr>
              <w:pStyle w:val="null3"/>
              <w:jc w:val="left"/>
            </w:pPr>
            <w:r>
              <w:rPr>
                <w:rFonts w:ascii="仿宋_GB2312" w:hAnsi="仿宋_GB2312" w:cs="仿宋_GB2312" w:eastAsia="仿宋_GB2312"/>
              </w:rPr>
              <w:t>根据供应商提供的方案进行综合评审，方案包含以下内容：1、本项目网络部分整体架构分析；2、本项目接入点位及覆盖范围分析；3、本项目综合运维中的重难点分析；4、结合目前国内网络安全风险态势，对西昌市电子政务外网互联网出口架构进行风险分析，并提出具体技术建议；5、本项目易发生的应急事件和突发故障分析；6、针对我市部分偏远山区村（社区）延伸、部署和规范管理电子政务外网难点进行分析，通过举例1-3个偏远村级部署环境，从规范管理方向提出可行性建议；7、结合本市实际情况对用户准入措施从技术和管理两方面进行分析，提出有效可行的建议。供应商提供以上方案得28分，方案每缺少一项扣4分，方案内容不完整或存在缺陷每一处扣2分，每小项扣完为止。 注：内容不完整或存在缺陷是指内容脱离项目实际情况或与项目无关的或与项目不匹配或项目名称、实施地点、涉及的规范、技术标准要求与本项目不一致等情形，以评审专家结合项目实际情况和响应文件独立评审为准。</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根据本项目内容及要求编制项目实施方案，内容包括：1、本项目运维服务机构设置；2、项目负责人、技术负责人和安全负责人岗位职责；3、预分派驻场人员配置及岗位职责；4、制订《西昌市电子政务外网网络安全应急预案》；5、本项目中涉及的安全设备、数通设备、物理安全设施等的安全优化措施；6、针对本项目实施中输出资料及文档管理办法或制度；7、主备核心机房日常管理措施或制度。方案完整、描述清晰的得28分，以上内容每有一项缺项的扣4分；以上内容不完整或存在缺陷每一处扣2分，每小项扣完为止。 注：内容不完整或存在缺陷是指内容脱离项目实际情况或与项目无关的或与项目不匹配或项目名称、实施地点、涉及的规范、技术标准要求与本项目不一致等情形，以评审专家结合项目实际情况和响应文件独立评审为准。</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拟安排项目负责人、技术负责人、网络安全负责人均为投标单位员工，否则本项不得分。 1、项目负责人（1名）：具有计算机技术与软件专业技术资格：信息系统项目管理师或网络规划设计师，每提供1个有效证书得4分，总分8分。（需提供证书复印件并加盖投标人鲜章） 2、技术负责人（1名）：具有计算机技术与软件专业技术资格（网络规划设计师或网络工程师）、通信专业技术人员职业资格（互联网技术或交换技术或传输与接入（有线））证书，每具有1个上述有效高级证书得4分，中级证书得3分。总分10分。（需提供证书复印件并加盖投标人鲜章） 3、网络安全负责人（1名）：具有计算机技术与软件专业技术资格：信息安全工程师或网络工程师证书，每提供1个有效证书得3分。总分6分。（需提供证书复印件并加盖投标人鲜章） 注：以上提供的人员需提供有效在职证明材料，否则不得分。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2023年1月1日（含）至递交响应文件截止日，供应商每提供1个网络运维类项目业绩得2分，本项最多得10分。 注：提供合同复印件或者中标（成交）通知书。</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报价满足磋商文件要求且磋商价格最低的磋商报价为评标基准价，其价格分为满分。其他供应商的价格分统一按照下列公式计算：磋商报价得分=（磋商基准价/磋商报价)×10分×100%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