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版本号：N510525202600006420260326001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2025年度县属国企专项审计项目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N5105252026000064</w:t>
      </w:r>
    </w:p>
    <w:p>
      <w:pPr>
        <w:pStyle w:val="null3"/>
        <w:jc w:val="left"/>
        <w:outlineLvl w:val="2"/>
      </w:pPr>
      <w:r>
        <w:rPr>
          <w:rFonts w:ascii="仿宋_GB2312" w:hAnsi="仿宋_GB2312" w:cs="仿宋_GB2312" w:eastAsia="仿宋_GB2312"/>
          <w:sz w:val="28"/>
          <w:b/>
        </w:rPr>
        <w:t>古蔺县国有资产监督管理局</w:t>
      </w:r>
    </w:p>
    <w:p>
      <w:pPr>
        <w:pStyle w:val="null3"/>
        <w:jc w:val="center"/>
        <w:outlineLvl w:val="2"/>
      </w:pPr>
      <w:r>
        <w:rPr>
          <w:rFonts w:ascii="仿宋_GB2312" w:hAnsi="仿宋_GB2312" w:cs="仿宋_GB2312" w:eastAsia="仿宋_GB2312"/>
          <w:sz w:val="28"/>
          <w:b/>
        </w:rPr>
        <w:t>中金招标有限责任公司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中金招标有限责任公司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古蔺县国有资产监督管理局</w:t>
      </w:r>
      <w:r>
        <w:rPr>
          <w:rFonts w:ascii="仿宋_GB2312" w:hAnsi="仿宋_GB2312" w:cs="仿宋_GB2312" w:eastAsia="仿宋_GB2312"/>
        </w:rPr>
        <w:t xml:space="preserve"> 委托，拟对 </w:t>
      </w:r>
      <w:r>
        <w:rPr>
          <w:rFonts w:ascii="仿宋_GB2312" w:hAnsi="仿宋_GB2312" w:cs="仿宋_GB2312" w:eastAsia="仿宋_GB2312"/>
        </w:rPr>
        <w:t>2025年度县属国企专项审计项目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泸州市古蔺县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N5105252026000064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2025年度县属国企专项审计项目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采购审计供应商1名，为采购人提供针对古蔺县蔺发集团、产投集团和建投集团（以下简称三大集团）及其实际管理的子公司2025年度实际生产经营状况专项审计服务。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1、投标人具有有效的《会计师事务所执业许可证》。（描述：投标人具有有效的《会计师事务所执业许可证》，提供有效期内的证书扫描件并加盖供应商电子印章。）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古蔺县国有资产监督管理局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古蔺县彰德街道蔺阳大道126号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13882705563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中金招标有限责任公司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泸州市江阳区佳乐世纪城（金融商业中心）7号楼2301号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谢先生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0830-3161022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供应商支付，根据四川省财政厅关于印发《四川省政府采购营商环境指标提升专项行动工作方案》的通知（川财采[2020]74号）文件，招标代理服务费收费以成本支出加合理利润的原则；按代理协议约定，以成交金额作为计算基数，按差额定率累进法进行计算，并按以下费率标准（服务采购项目）收取：成交金额100万元以下，费率1.5%。按以上标准计算后不足人民币5000元按5000元收取。由中标（成交）人在领取成交通知书前支付。代理服务费收款单位：中金招标有限责任公司四川分公司 开户行：交通银行股份有限公司成都高新南区支行 账号：511610015018170335724 开票联系人：卿女士 联系电话：0830-3161022。</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古蔺县国有资产监督管理局</w:t>
      </w:r>
      <w:r>
        <w:rPr>
          <w:rFonts w:ascii="仿宋_GB2312" w:hAnsi="仿宋_GB2312" w:cs="仿宋_GB2312" w:eastAsia="仿宋_GB2312"/>
        </w:rPr>
        <w:t xml:space="preserve"> 和 </w:t>
      </w:r>
      <w:r>
        <w:rPr>
          <w:rFonts w:ascii="仿宋_GB2312" w:hAnsi="仿宋_GB2312" w:cs="仿宋_GB2312" w:eastAsia="仿宋_GB2312"/>
        </w:rPr>
        <w:t>中金招标有限责任公司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古蔺县国有资产监督管理局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中金招标有限责任公司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中标人完成所有服务工作并向采购人提出验收申请后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财政部关于进一步加强政府采购需求和履约验收管理的指导意见》财库(2016)205号等政府采购相关法律法规的要求进行验收。①按照本项目采购文件中“技术、服务要求”及中标人投标文件进行验收。②按照本项目采购文件中“商务要求”及中标人投标文件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财政部关于进一步加强政府采购需求和履约验收管理的指导意见》财库(2016)205号等政府采购相关法律法规的要求进行验收。①按照本项目采购文件中“技术、服务要求”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财政部关于进一步加强政府采购需求和履约验收管理的指导意见》财库(2016)205号等政府采购相关法律法规的要求进行验收。按照本项目采购文件中“商务要求”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财政部关于进一步加强政府采购需求和履约验收管理的指导意见》财库(2016)205号等政府采购相关法律法规的要求进行验收。①按照本项目采购文件中“技术、服务要求”及中标人投标文件进行验收。②按照本项目采购文件中“商务要求”及中标人投标文件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财政部关于进一步加强政府采购需求和履约验收管理的指导意见》财库(2016)205号等政府采购相关法律法规的要求进行验收。①按照本项目采购文件中“技术、服务要求”及中标人投标文件进行验收。②按照本项目采购文件中“商务要求”及中标人投标文件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古蔺县国有资产监督管理局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联系人：刘先生</w:t>
      </w:r>
    </w:p>
    <w:p>
      <w:pPr>
        <w:pStyle w:val="null3"/>
        <w:jc w:val="left"/>
      </w:pPr>
      <w:r>
        <w:rPr>
          <w:rFonts w:ascii="仿宋_GB2312" w:hAnsi="仿宋_GB2312" w:cs="仿宋_GB2312" w:eastAsia="仿宋_GB2312"/>
        </w:rPr>
        <w:t>联系电话：13882705563</w:t>
      </w:r>
    </w:p>
    <w:p>
      <w:pPr>
        <w:pStyle w:val="null3"/>
        <w:jc w:val="left"/>
      </w:pPr>
      <w:r>
        <w:rPr>
          <w:rFonts w:ascii="仿宋_GB2312" w:hAnsi="仿宋_GB2312" w:cs="仿宋_GB2312" w:eastAsia="仿宋_GB2312"/>
        </w:rPr>
        <w:t>地址：古蔺县彰德街道蔺阳大道126号</w:t>
      </w:r>
    </w:p>
    <w:p>
      <w:pPr>
        <w:pStyle w:val="null3"/>
        <w:jc w:val="left"/>
      </w:pPr>
      <w:r>
        <w:rPr>
          <w:rFonts w:ascii="仿宋_GB2312" w:hAnsi="仿宋_GB2312" w:cs="仿宋_GB2312" w:eastAsia="仿宋_GB2312"/>
        </w:rPr>
        <w:t>邮编：646500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联系人：谢先生</w:t>
      </w:r>
    </w:p>
    <w:p>
      <w:pPr>
        <w:pStyle w:val="null3"/>
        <w:jc w:val="left"/>
      </w:pPr>
      <w:r>
        <w:rPr>
          <w:rFonts w:ascii="仿宋_GB2312" w:hAnsi="仿宋_GB2312" w:cs="仿宋_GB2312" w:eastAsia="仿宋_GB2312"/>
        </w:rPr>
        <w:t>联系电话：0830-3161022</w:t>
      </w:r>
    </w:p>
    <w:p>
      <w:pPr>
        <w:pStyle w:val="null3"/>
        <w:jc w:val="left"/>
      </w:pPr>
      <w:r>
        <w:rPr>
          <w:rFonts w:ascii="仿宋_GB2312" w:hAnsi="仿宋_GB2312" w:cs="仿宋_GB2312" w:eastAsia="仿宋_GB2312"/>
        </w:rPr>
        <w:t>地址：泸州市江阳区佳乐世纪城（金融商业中心）7号楼2301号</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800,000.00</w:t>
      </w:r>
    </w:p>
    <w:p>
      <w:pPr>
        <w:pStyle w:val="null3"/>
        <w:jc w:val="left"/>
      </w:pPr>
      <w:r>
        <w:rPr>
          <w:rFonts w:ascii="仿宋_GB2312" w:hAnsi="仿宋_GB2312" w:cs="仿宋_GB2312" w:eastAsia="仿宋_GB2312"/>
        </w:rPr>
        <w:t>采购包最高限价（元）: 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C23030000 审计服务</w:t>
            </w:r>
          </w:p>
        </w:tc>
        <w:tc>
          <w:tcPr>
            <w:tcW w:type="dxa" w:w="821"/>
          </w:tcPr>
          <w:p>
            <w:pPr>
              <w:pStyle w:val="null3"/>
              <w:jc w:val="left"/>
            </w:pPr>
            <w:r>
              <w:rPr>
                <w:rFonts w:ascii="仿宋_GB2312" w:hAnsi="仿宋_GB2312" w:cs="仿宋_GB2312" w:eastAsia="仿宋_GB2312"/>
              </w:rPr>
              <w:t>国有企业生产经营情况审计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800,000.00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国有企业生产经营情况审计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标的名称：国有企业生产经营情况审计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一、技术服务要求</w:t>
            </w:r>
          </w:p>
        </w:tc>
        <w:tc>
          <w:tcPr>
            <w:tcW w:type="dxa" w:w="5814"/>
          </w:tcPr>
          <w:p>
            <w:pPr>
              <w:pStyle w:val="null3"/>
              <w:ind w:firstLine="482"/>
              <w:jc w:val="both"/>
            </w:pPr>
            <w:r>
              <w:rPr>
                <w:rFonts w:ascii="仿宋_GB2312" w:hAnsi="仿宋_GB2312" w:cs="仿宋_GB2312" w:eastAsia="仿宋_GB2312"/>
                <w:sz w:val="24"/>
                <w:b/>
              </w:rPr>
              <w:t>1、项目概况：</w:t>
            </w:r>
          </w:p>
          <w:p>
            <w:pPr>
              <w:pStyle w:val="null3"/>
              <w:ind w:firstLine="480"/>
              <w:jc w:val="both"/>
            </w:pPr>
            <w:r>
              <w:rPr>
                <w:rFonts w:ascii="仿宋_GB2312" w:hAnsi="仿宋_GB2312" w:cs="仿宋_GB2312" w:eastAsia="仿宋_GB2312"/>
                <w:sz w:val="24"/>
              </w:rPr>
              <w:t>审计</w:t>
            </w:r>
            <w:r>
              <w:rPr>
                <w:rFonts w:ascii="仿宋_GB2312" w:hAnsi="仿宋_GB2312" w:cs="仿宋_GB2312" w:eastAsia="仿宋_GB2312"/>
                <w:sz w:val="24"/>
              </w:rPr>
              <w:t>202</w:t>
            </w:r>
            <w:r>
              <w:rPr>
                <w:rFonts w:ascii="仿宋_GB2312" w:hAnsi="仿宋_GB2312" w:cs="仿宋_GB2312" w:eastAsia="仿宋_GB2312"/>
                <w:sz w:val="24"/>
              </w:rPr>
              <w:t>5</w:t>
            </w:r>
            <w:r>
              <w:rPr>
                <w:rFonts w:ascii="仿宋_GB2312" w:hAnsi="仿宋_GB2312" w:cs="仿宋_GB2312" w:eastAsia="仿宋_GB2312"/>
                <w:sz w:val="24"/>
              </w:rPr>
              <w:t>年度</w:t>
            </w:r>
            <w:r>
              <w:rPr>
                <w:rFonts w:ascii="仿宋_GB2312" w:hAnsi="仿宋_GB2312" w:cs="仿宋_GB2312" w:eastAsia="仿宋_GB2312"/>
                <w:sz w:val="24"/>
              </w:rPr>
              <w:t>三大集团及其实际管理的子公司实际</w:t>
            </w:r>
            <w:r>
              <w:rPr>
                <w:rFonts w:ascii="仿宋_GB2312" w:hAnsi="仿宋_GB2312" w:cs="仿宋_GB2312" w:eastAsia="仿宋_GB2312"/>
                <w:sz w:val="24"/>
              </w:rPr>
              <w:t>生产</w:t>
            </w:r>
            <w:r>
              <w:rPr>
                <w:rFonts w:ascii="仿宋_GB2312" w:hAnsi="仿宋_GB2312" w:cs="仿宋_GB2312" w:eastAsia="仿宋_GB2312"/>
                <w:sz w:val="24"/>
              </w:rPr>
              <w:t>经营状况。</w:t>
            </w:r>
          </w:p>
          <w:p>
            <w:pPr>
              <w:pStyle w:val="null3"/>
              <w:ind w:firstLine="482"/>
              <w:jc w:val="both"/>
            </w:pPr>
            <w:r>
              <w:rPr>
                <w:rFonts w:ascii="仿宋_GB2312" w:hAnsi="仿宋_GB2312" w:cs="仿宋_GB2312" w:eastAsia="仿宋_GB2312"/>
                <w:sz w:val="24"/>
                <w:b/>
              </w:rPr>
              <w:t>2、审计范围及服务内容：</w:t>
            </w:r>
          </w:p>
          <w:p>
            <w:pPr>
              <w:pStyle w:val="null3"/>
              <w:ind w:firstLine="480"/>
              <w:jc w:val="both"/>
            </w:pPr>
            <w:r>
              <w:rPr>
                <w:rFonts w:ascii="仿宋_GB2312" w:hAnsi="仿宋_GB2312" w:cs="仿宋_GB2312" w:eastAsia="仿宋_GB2312"/>
                <w:sz w:val="24"/>
                <w:color w:val="000000"/>
              </w:rPr>
              <w:t>2025年度被审计企业的实际生产经营情况，包括但不限于资产负债构成、收入支出构成（生产成本、运营费用、工资薪酬、劳务派遣人员费用、利息支出等）真实情况。成交供应商在合同期内每年为被审计企业出具实际经营情况审计报告，针对审计过程中发现的问题，成交供应商需每年对被审计企业财务人员提供不少于5天的业务培训并做好答疑（需对审计中发现的问题在本年度内提供后续整改辅导等服务，包括不限于现场培训、财务检查和财务指导等方式）。审计服务提供过程中，未经采购人批准不得擅自更换审计人员，否则由成交供应商自行承担后果。</w:t>
            </w:r>
          </w:p>
          <w:p>
            <w:pPr>
              <w:pStyle w:val="null3"/>
              <w:ind w:firstLine="482"/>
              <w:jc w:val="both"/>
            </w:pPr>
            <w:r>
              <w:rPr>
                <w:rFonts w:ascii="仿宋_GB2312" w:hAnsi="仿宋_GB2312" w:cs="仿宋_GB2312" w:eastAsia="仿宋_GB2312"/>
                <w:sz w:val="24"/>
                <w:b/>
              </w:rPr>
              <w:t>3、实际经营状况专项审计</w:t>
            </w:r>
          </w:p>
          <w:p>
            <w:pPr>
              <w:pStyle w:val="null3"/>
              <w:ind w:firstLine="480"/>
              <w:jc w:val="both"/>
            </w:pPr>
            <w:r>
              <w:rPr>
                <w:rFonts w:ascii="仿宋_GB2312" w:hAnsi="仿宋_GB2312" w:cs="仿宋_GB2312" w:eastAsia="仿宋_GB2312"/>
                <w:sz w:val="24"/>
                <w:color w:val="000000"/>
              </w:rPr>
              <w:t>3.1、企业经营收入真实性及构成；</w:t>
            </w:r>
          </w:p>
          <w:p>
            <w:pPr>
              <w:pStyle w:val="null3"/>
              <w:ind w:firstLine="480"/>
              <w:jc w:val="both"/>
            </w:pPr>
            <w:r>
              <w:rPr>
                <w:rFonts w:ascii="仿宋_GB2312" w:hAnsi="仿宋_GB2312" w:cs="仿宋_GB2312" w:eastAsia="仿宋_GB2312"/>
                <w:sz w:val="24"/>
                <w:color w:val="000000"/>
              </w:rPr>
              <w:t>3.2、企业财务收支核算合规性及构成；</w:t>
            </w:r>
          </w:p>
          <w:p>
            <w:pPr>
              <w:pStyle w:val="null3"/>
              <w:ind w:firstLine="480"/>
              <w:jc w:val="both"/>
            </w:pPr>
            <w:r>
              <w:rPr>
                <w:rFonts w:ascii="仿宋_GB2312" w:hAnsi="仿宋_GB2312" w:cs="仿宋_GB2312" w:eastAsia="仿宋_GB2312"/>
                <w:sz w:val="24"/>
                <w:color w:val="000000"/>
              </w:rPr>
              <w:t>3.3、企业资产、负债变动真实性及构成；</w:t>
            </w:r>
          </w:p>
          <w:p>
            <w:pPr>
              <w:pStyle w:val="null3"/>
              <w:ind w:firstLine="480"/>
              <w:jc w:val="both"/>
            </w:pPr>
            <w:r>
              <w:rPr>
                <w:rFonts w:ascii="仿宋_GB2312" w:hAnsi="仿宋_GB2312" w:cs="仿宋_GB2312" w:eastAsia="仿宋_GB2312"/>
                <w:sz w:val="24"/>
                <w:color w:val="000000"/>
              </w:rPr>
              <w:t>3.4、企业有关经营活动和重大经营决策合规性；</w:t>
            </w:r>
          </w:p>
          <w:p>
            <w:pPr>
              <w:pStyle w:val="null3"/>
              <w:ind w:firstLine="480"/>
              <w:jc w:val="both"/>
            </w:pPr>
            <w:r>
              <w:rPr>
                <w:rFonts w:ascii="仿宋_GB2312" w:hAnsi="仿宋_GB2312" w:cs="仿宋_GB2312" w:eastAsia="仿宋_GB2312"/>
                <w:sz w:val="24"/>
                <w:color w:val="000000"/>
              </w:rPr>
              <w:t>3.5、企业执行国家有关法律法规情况；</w:t>
            </w:r>
          </w:p>
          <w:p>
            <w:pPr>
              <w:pStyle w:val="null3"/>
              <w:ind w:firstLine="480"/>
              <w:jc w:val="both"/>
            </w:pPr>
            <w:r>
              <w:rPr>
                <w:rFonts w:ascii="仿宋_GB2312" w:hAnsi="仿宋_GB2312" w:cs="仿宋_GB2312" w:eastAsia="仿宋_GB2312"/>
                <w:sz w:val="24"/>
                <w:color w:val="000000"/>
              </w:rPr>
              <w:t>3.6、企业经营支出变动情况及真实构成；</w:t>
            </w:r>
          </w:p>
          <w:p>
            <w:pPr>
              <w:pStyle w:val="null3"/>
              <w:ind w:firstLine="480"/>
              <w:jc w:val="both"/>
            </w:pPr>
            <w:r>
              <w:rPr>
                <w:rFonts w:ascii="仿宋_GB2312" w:hAnsi="仿宋_GB2312" w:cs="仿宋_GB2312" w:eastAsia="仿宋_GB2312"/>
                <w:sz w:val="24"/>
                <w:color w:val="000000"/>
              </w:rPr>
              <w:t>3.7、企业员工、劳务派遣人员薪酬情况及构成；</w:t>
            </w:r>
          </w:p>
          <w:p>
            <w:pPr>
              <w:pStyle w:val="null3"/>
              <w:ind w:firstLine="480"/>
              <w:jc w:val="both"/>
            </w:pPr>
            <w:r>
              <w:rPr>
                <w:rFonts w:ascii="仿宋_GB2312" w:hAnsi="仿宋_GB2312" w:cs="仿宋_GB2312" w:eastAsia="仿宋_GB2312"/>
                <w:sz w:val="24"/>
                <w:color w:val="000000"/>
              </w:rPr>
              <w:t>3.8、遵守有关法律法规和财经纪律情况；</w:t>
            </w:r>
          </w:p>
          <w:p>
            <w:pPr>
              <w:pStyle w:val="null3"/>
              <w:ind w:firstLine="480"/>
              <w:jc w:val="both"/>
            </w:pPr>
            <w:r>
              <w:rPr>
                <w:rFonts w:ascii="仿宋_GB2312" w:hAnsi="仿宋_GB2312" w:cs="仿宋_GB2312" w:eastAsia="仿宋_GB2312"/>
                <w:sz w:val="24"/>
                <w:color w:val="000000"/>
              </w:rPr>
              <w:t>3.9、履行党风廉政第一责任人职责情况及遵守廉洁自律规定情况。</w:t>
            </w:r>
          </w:p>
          <w:p>
            <w:pPr>
              <w:pStyle w:val="null3"/>
              <w:ind w:firstLine="482"/>
              <w:jc w:val="both"/>
            </w:pPr>
            <w:r>
              <w:rPr>
                <w:rFonts w:ascii="仿宋_GB2312" w:hAnsi="仿宋_GB2312" w:cs="仿宋_GB2312" w:eastAsia="仿宋_GB2312"/>
                <w:sz w:val="24"/>
                <w:b/>
              </w:rPr>
              <w:t>4、成果：</w:t>
            </w:r>
          </w:p>
          <w:p>
            <w:pPr>
              <w:pStyle w:val="null3"/>
              <w:ind w:firstLine="480"/>
              <w:jc w:val="both"/>
            </w:pPr>
            <w:r>
              <w:rPr>
                <w:rFonts w:ascii="仿宋_GB2312" w:hAnsi="仿宋_GB2312" w:cs="仿宋_GB2312" w:eastAsia="仿宋_GB2312"/>
                <w:sz w:val="24"/>
                <w:color w:val="000000"/>
              </w:rPr>
              <w:t>4.1、出具三大集团实际生产经营情况审计报告、报表及附注，包括但不限于收入支出构成、资产负债构成、工资薪酬构成等情况；</w:t>
            </w:r>
          </w:p>
          <w:p>
            <w:pPr>
              <w:pStyle w:val="null3"/>
              <w:ind w:firstLine="480"/>
              <w:jc w:val="both"/>
            </w:pPr>
            <w:r>
              <w:rPr>
                <w:rFonts w:ascii="仿宋_GB2312" w:hAnsi="仿宋_GB2312" w:cs="仿宋_GB2312" w:eastAsia="仿宋_GB2312"/>
                <w:sz w:val="24"/>
                <w:color w:val="000000"/>
              </w:rPr>
              <w:t>4.2、根据审计发现问题，按轻重分类，能整改的由中标人负责指导整改；问题较大的，书面报采购人研究处理。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二、审计对象</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22"/>
              <w:gridCol w:w="1774"/>
              <w:gridCol w:w="3291"/>
            </w:tblGrid>
            <w:tr>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集团公司名称</w:t>
                  </w:r>
                </w:p>
              </w:tc>
              <w:tc>
                <w:tcPr>
                  <w:tcW w:type="dxa" w:w="3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下属子企业名称</w:t>
                  </w:r>
                </w:p>
              </w:tc>
            </w:tr>
            <w:tr>
              <w:tc>
                <w:tcPr>
                  <w:tcW w:type="dxa" w:w="5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四川蔺州发展集团有限责任公司</w:t>
                  </w: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古蔺县国有资产经营有限责任公司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古蔺县兴城城市投资建设经营有限公司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古蔺县恒蔺宇建筑工程有限公司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古蔺县德馨殡葬服务有限公司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古蔺县得意之地酒店管理有限公司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古蔺县保安服务有限责任公司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古蔺鼎欣公共客运有限公司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古蔺县祥昇机动车检测有限公司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古蔺县汇智恒业城市服务有限公司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古蔺县博众商贸有限责任公司</w:t>
                  </w:r>
                </w:p>
              </w:tc>
            </w:tr>
            <w:tr>
              <w:tc>
                <w:tcPr>
                  <w:tcW w:type="dxa" w:w="5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四川蔺州产业投资集团有限公司</w:t>
                  </w: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古蔺县川南建设发展有限公司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古蔺县山态农业发展有限公司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古蔺县兴蔺生态环境建设有限公司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四川天诚恒达建筑工程有限公司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古蔺县盛丰职业培训有限公司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古蔺县开元粮食有限责任公司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古蔺县益口福商贸有限责任公司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古蔺二郎康盛医院有限公司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古蔺县融媒众创传媒有限公司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古蔺县农业和中小企业融资担保有限公司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泸州市乐养旅游开发有限公司</w:t>
                  </w:r>
                </w:p>
              </w:tc>
            </w:tr>
            <w:tr>
              <w:tc>
                <w:tcPr>
                  <w:tcW w:type="dxa" w:w="5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7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四川蔺州建设投资集团有限公司</w:t>
                  </w: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古蔺县地明土地整理有限公司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四川恒兴测绘咨询有限公司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古蔺县黄荆生态旅游开发有限公司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古蔺县金港物流有限责任公司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古蔺绿洲隆沥建材有限公司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古蔺县振兴水务投资有限责任公司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古蔺县星火交通开发有限责任公司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古蔺县路港交通投资有限公司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四川古蔺牛郎牧业投资发展有限公司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古蔺县捷安汽车服务有限公司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古蔺酱香酒谷新材料有限公司</w:t>
                  </w:r>
                </w:p>
              </w:tc>
            </w:tr>
            <w:tr>
              <w:tc>
                <w:tcPr>
                  <w:tcW w:type="dxa" w:w="522"/>
                  <w:vMerge/>
                  <w:tcBorders>
                    <w:top w:val="none" w:color="000000" w:sz="4"/>
                    <w:left w:val="single" w:color="000000" w:sz="4"/>
                    <w:bottom w:val="single" w:color="000000" w:sz="4"/>
                    <w:right w:val="single" w:color="000000" w:sz="4"/>
                  </w:tcBorders>
                </w:tcPr>
                <w:p/>
              </w:tc>
              <w:tc>
                <w:tcPr>
                  <w:tcW w:type="dxa" w:w="1774"/>
                  <w:vMerge/>
                  <w:tcBorders>
                    <w:top w:val="none" w:color="000000" w:sz="4"/>
                    <w:left w:val="single" w:color="000000" w:sz="4"/>
                    <w:bottom w:val="single" w:color="000000" w:sz="4"/>
                    <w:right w:val="single" w:color="000000" w:sz="4"/>
                  </w:tcBorders>
                </w:tcPr>
                <w:p/>
              </w:tc>
              <w:tc>
                <w:tcPr>
                  <w:tcW w:type="dxa" w:w="3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古蔺县恒瑞电力设备维护有限责任公司</w:t>
                  </w:r>
                </w:p>
              </w:tc>
            </w:tr>
          </w:tbl>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三、考核办法</w:t>
            </w:r>
          </w:p>
        </w:tc>
        <w:tc>
          <w:tcPr>
            <w:tcW w:type="dxa" w:w="5814"/>
          </w:tcPr>
          <w:p>
            <w:pPr>
              <w:pStyle w:val="null3"/>
              <w:spacing w:before="105" w:after="105"/>
              <w:ind w:left="165"/>
              <w:jc w:val="center"/>
            </w:pPr>
            <w:r>
              <w:rPr>
                <w:rFonts w:ascii="仿宋_GB2312" w:hAnsi="仿宋_GB2312" w:cs="仿宋_GB2312" w:eastAsia="仿宋_GB2312"/>
                <w:sz w:val="24"/>
                <w:b/>
                <w:color w:val="000000"/>
              </w:rPr>
              <w:t>会计师事务所服务质量评价明细表</w:t>
            </w:r>
          </w:p>
          <w:p>
            <w:pPr>
              <w:pStyle w:val="null3"/>
              <w:spacing w:before="105" w:after="105"/>
              <w:ind w:left="720"/>
              <w:jc w:val="left"/>
            </w:pPr>
            <w:r>
              <w:rPr>
                <w:rFonts w:ascii="仿宋_GB2312" w:hAnsi="仿宋_GB2312" w:cs="仿宋_GB2312" w:eastAsia="仿宋_GB2312"/>
                <w:sz w:val="24"/>
                <w:color w:val="000000"/>
              </w:rPr>
              <w:t>项目名称：</w:t>
            </w:r>
          </w:p>
          <w:p>
            <w:pPr>
              <w:pStyle w:val="null3"/>
              <w:spacing w:before="105" w:after="105"/>
              <w:ind w:left="720"/>
              <w:jc w:val="left"/>
            </w:pPr>
            <w:r>
              <w:rPr>
                <w:rFonts w:ascii="仿宋_GB2312" w:hAnsi="仿宋_GB2312" w:cs="仿宋_GB2312" w:eastAsia="仿宋_GB2312"/>
                <w:sz w:val="24"/>
                <w:color w:val="000000"/>
              </w:rPr>
              <w:t>被评价事务所名称：</w:t>
            </w:r>
          </w:p>
          <w:tbl>
            <w:tblPr>
              <w:tblBorders>
                <w:top w:val="none" w:color="000000" w:sz="4"/>
                <w:left w:val="none" w:color="000000" w:sz="4"/>
                <w:bottom w:val="none" w:color="000000" w:sz="4"/>
                <w:right w:val="none" w:color="000000" w:sz="4"/>
                <w:insideH w:val="none"/>
                <w:insideV w:val="none"/>
              </w:tblBorders>
            </w:tblPr>
            <w:tblGrid>
              <w:gridCol w:w="375"/>
              <w:gridCol w:w="751"/>
              <w:gridCol w:w="487"/>
              <w:gridCol w:w="3182"/>
              <w:gridCol w:w="407"/>
              <w:gridCol w:w="375"/>
            </w:tblGrid>
            <w:tr>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序号</w:t>
                  </w:r>
                </w:p>
              </w:tc>
              <w:tc>
                <w:tcPr>
                  <w:tcW w:type="dxa" w:w="7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评分因素及权重</w:t>
                  </w:r>
                </w:p>
              </w:tc>
              <w:tc>
                <w:tcPr>
                  <w:tcW w:type="dxa" w:w="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基本分</w:t>
                  </w:r>
                </w:p>
              </w:tc>
              <w:tc>
                <w:tcPr>
                  <w:tcW w:type="dxa" w:w="3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1200"/>
                    <w:jc w:val="left"/>
                  </w:pPr>
                  <w:r>
                    <w:rPr>
                      <w:rFonts w:ascii="仿宋_GB2312" w:hAnsi="仿宋_GB2312" w:cs="仿宋_GB2312" w:eastAsia="仿宋_GB2312"/>
                      <w:sz w:val="24"/>
                      <w:color w:val="000000"/>
                    </w:rPr>
                    <w:t>考评内容</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实得分</w:t>
                  </w:r>
                </w:p>
              </w:tc>
              <w:tc>
                <w:tcPr>
                  <w:tcW w:type="dxa" w:w="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备注</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响应及时</w:t>
                  </w:r>
                  <w:r>
                    <w:rPr>
                      <w:rFonts w:ascii="仿宋_GB2312" w:hAnsi="仿宋_GB2312" w:cs="仿宋_GB2312" w:eastAsia="仿宋_GB2312"/>
                      <w:sz w:val="24"/>
                      <w:color w:val="000000"/>
                    </w:rPr>
                    <w:t>35%</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35</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1）接到进场通知后，在2个工作日内选派组团人数和人员专业技术等级均达到要求的审计人员，并回函（附人员名单和资格证书复印件）。延后1天扣1分，延后2天扣3分，延后3天扣5分。</w:t>
                  </w:r>
                </w:p>
                <w:p>
                  <w:pPr>
                    <w:pStyle w:val="null3"/>
                    <w:spacing w:before="105" w:after="105"/>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2）接到进场通知后，4个工作日内安排相关人员进入审计工作现场。延后1天扣1分，延后2天扣2分，延后3天扣4分，延后4天扣8分，以此类推，扣完为止。</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3）报到人员与回函人员名单不符，退换。每人次扣5分。</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4）具体审计工作开展期间，出现未及时响应甲方工作需求（超过2个工作日未响应），一次扣1分。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每项基本分扣完为止</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2</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工作纪律</w:t>
                  </w:r>
                  <w:r>
                    <w:rPr>
                      <w:rFonts w:ascii="仿宋_GB2312" w:hAnsi="仿宋_GB2312" w:cs="仿宋_GB2312" w:eastAsia="仿宋_GB2312"/>
                      <w:sz w:val="24"/>
                      <w:color w:val="000000"/>
                    </w:rPr>
                    <w:t>5%</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5</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1）廉政：违反廉政纪律一票否决，扣5分。</w:t>
                  </w:r>
                </w:p>
                <w:p>
                  <w:pPr>
                    <w:pStyle w:val="null3"/>
                    <w:spacing w:before="105" w:after="105"/>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2）泄密：违反保密要求一票否决，扣5分。</w:t>
                  </w:r>
                </w:p>
                <w:p>
                  <w:pPr>
                    <w:pStyle w:val="null3"/>
                    <w:spacing w:before="105" w:after="105"/>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3）隐匿：将发现的重大问题隐瞒不报或大化小等，每次扣1分。</w:t>
                  </w:r>
                </w:p>
                <w:p>
                  <w:pPr>
                    <w:pStyle w:val="null3"/>
                    <w:spacing w:before="105" w:after="105"/>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4）劳动纪律：审计人员未与甲方或被审计企业沟通，擅自更改现场工作时间，无故迟到、早退。每人次扣1分。</w:t>
                  </w:r>
                </w:p>
                <w:p>
                  <w:pPr>
                    <w:pStyle w:val="null3"/>
                    <w:spacing w:before="105" w:after="105"/>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5）不服从甲方工作安排，每人次扣1分。</w:t>
                  </w:r>
                </w:p>
                <w:p>
                  <w:pPr>
                    <w:pStyle w:val="null3"/>
                    <w:spacing w:before="105" w:after="105"/>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6）甲方发现相关审计人员工作态度不够积极，可要求会计师事务所更换同级别人员。会计师事务所未与甲方沟通，擅自更换人员，每人次扣1分。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每项基本分扣完为止</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3</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工作效率</w:t>
                  </w:r>
                  <w:r>
                    <w:rPr>
                      <w:rFonts w:ascii="仿宋_GB2312" w:hAnsi="仿宋_GB2312" w:cs="仿宋_GB2312" w:eastAsia="仿宋_GB2312"/>
                      <w:sz w:val="24"/>
                      <w:color w:val="000000"/>
                    </w:rPr>
                    <w:t>10%</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10</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1）在要求的时间内完成审计报告以及审计问题相关报告，每延后一天扣1分。</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2）在要求的时间内完成甲方安排的相关工作。每延后一天扣1分。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每项基本分扣完为止</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4</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人员能力</w:t>
                  </w:r>
                  <w:r>
                    <w:rPr>
                      <w:rFonts w:ascii="仿宋_GB2312" w:hAnsi="仿宋_GB2312" w:cs="仿宋_GB2312" w:eastAsia="仿宋_GB2312"/>
                      <w:sz w:val="24"/>
                      <w:color w:val="000000"/>
                    </w:rPr>
                    <w:t>5%</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5</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1）因个人专业技术能力、政策法规水平等原因不能胜任现场工作的，委托方可要求更换同级别人员，每人次扣1分。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每项基本分扣完为止</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5</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报告（含审计报告、审计问题报告）质量</w:t>
                  </w:r>
                  <w:r>
                    <w:rPr>
                      <w:rFonts w:ascii="仿宋_GB2312" w:hAnsi="仿宋_GB2312" w:cs="仿宋_GB2312" w:eastAsia="仿宋_GB2312"/>
                      <w:sz w:val="24"/>
                      <w:color w:val="000000"/>
                    </w:rPr>
                    <w:t>45%</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45</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1）审计报告未完整披露企业生产成本、运营费用、工资薪酬、劳务派遣人员费用、利息支出等真实情况的扣40分；</w:t>
                  </w:r>
                </w:p>
                <w:p>
                  <w:pPr>
                    <w:pStyle w:val="null3"/>
                    <w:spacing w:before="105" w:after="105"/>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2）常识性错误：报告格式不符、主题不突出、层次不分明、文理不清晰、文字表达不准确、前后矛盾、重复、逻辑性不强等，每处扣1分。</w:t>
                  </w:r>
                </w:p>
                <w:p>
                  <w:pPr>
                    <w:pStyle w:val="null3"/>
                    <w:spacing w:before="105" w:after="105"/>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3）信息反映：情况收集、整理、掌握不完整，反映不全面等，每处扣1分。</w:t>
                  </w:r>
                </w:p>
                <w:p>
                  <w:pPr>
                    <w:pStyle w:val="null3"/>
                    <w:spacing w:before="105" w:after="105"/>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4）查找问题：问题查找不深入、不透彻、未追根溯源、肤浅等，每处扣1分。</w:t>
                  </w:r>
                </w:p>
                <w:p>
                  <w:pPr>
                    <w:pStyle w:val="null3"/>
                    <w:spacing w:before="105" w:after="105"/>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5）分析定性：分析不透彻、定性不准确、依据不充分、附件不完整，因果关系不合逻辑等 ，每项扣2分。</w:t>
                  </w:r>
                </w:p>
                <w:p>
                  <w:pPr>
                    <w:pStyle w:val="null3"/>
                    <w:spacing w:before="105" w:after="105"/>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6）数据偏差：计算错误每处扣0.5分；勾稽关系细微偏差扣0.5分，重大偏差每处扣2分。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每项基本分扣完为止</w:t>
                  </w:r>
                </w:p>
              </w:tc>
            </w:tr>
            <w:tr>
              <w:tc>
                <w:tcPr>
                  <w:tcW w:type="dxa" w:w="11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合计</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100</w:t>
                  </w:r>
                </w:p>
              </w:tc>
              <w:tc>
                <w:tcPr>
                  <w:tcW w:type="dxa" w:w="396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4"/>
                <w:color w:val="000000"/>
              </w:rPr>
              <w:t>注：</w:t>
            </w:r>
            <w:r>
              <w:rPr>
                <w:rFonts w:ascii="仿宋_GB2312" w:hAnsi="仿宋_GB2312" w:cs="仿宋_GB2312" w:eastAsia="仿宋_GB2312"/>
                <w:sz w:val="24"/>
                <w:color w:val="000000"/>
              </w:rPr>
              <w:t>1.本表基本分值100分，各分项分值扣分以后低于0分的，按照0分计算。</w:t>
            </w:r>
          </w:p>
          <w:p>
            <w:pPr>
              <w:pStyle w:val="null3"/>
              <w:spacing w:before="105" w:after="105"/>
              <w:ind w:left="615"/>
              <w:jc w:val="both"/>
            </w:pPr>
            <w:r>
              <w:rPr>
                <w:rFonts w:ascii="仿宋_GB2312" w:hAnsi="仿宋_GB2312" w:cs="仿宋_GB2312" w:eastAsia="仿宋_GB2312"/>
                <w:sz w:val="24"/>
                <w:color w:val="000000"/>
              </w:rPr>
              <w:t>2.本表总计得分：大于等于80分考评结果为合格；小于80分考评结果为不合格；考评结果为合格方能支付对应环节的全部价款。如果考核分值低于80分，则不予支付审计费用。</w:t>
            </w:r>
          </w:p>
          <w:p>
            <w:pPr>
              <w:pStyle w:val="null3"/>
              <w:spacing w:before="105" w:after="105"/>
              <w:ind w:left="615"/>
              <w:jc w:val="both"/>
            </w:pPr>
            <w:r>
              <w:rPr>
                <w:rFonts w:ascii="仿宋_GB2312" w:hAnsi="仿宋_GB2312" w:cs="仿宋_GB2312" w:eastAsia="仿宋_GB2312"/>
                <w:sz w:val="24"/>
                <w:b/>
                <w:color w:val="000000"/>
              </w:rPr>
              <w:t>评分人：</w:t>
            </w:r>
            <w:r>
              <w:rPr>
                <w:rFonts w:ascii="仿宋_GB2312" w:hAnsi="仿宋_GB2312" w:cs="仿宋_GB2312" w:eastAsia="仿宋_GB2312"/>
                <w:sz w:val="24"/>
                <w:b/>
                <w:color w:val="000000"/>
              </w:rPr>
              <w:t xml:space="preserve">                             复核人：</w:t>
            </w:r>
            <w:r>
              <w:rPr>
                <w:rFonts w:ascii="仿宋_GB2312" w:hAnsi="仿宋_GB2312" w:cs="仿宋_GB2312" w:eastAsia="仿宋_GB2312"/>
                <w:sz w:val="24"/>
              </w:rPr>
              <w:t xml:space="preserve"> </w:t>
            </w:r>
          </w:p>
          <w:p>
            <w:pPr>
              <w:pStyle w:val="null3"/>
              <w:spacing w:before="105" w:after="105"/>
              <w:ind w:left="615"/>
              <w:jc w:val="both"/>
            </w:pPr>
            <w:r>
              <w:rPr>
                <w:rFonts w:ascii="仿宋_GB2312" w:hAnsi="仿宋_GB2312" w:cs="仿宋_GB2312" w:eastAsia="仿宋_GB2312"/>
                <w:sz w:val="24"/>
                <w:b/>
                <w:color w:val="000000"/>
              </w:rPr>
              <w:t>注：审计结束后，如中标人服</w:t>
            </w:r>
            <w:r>
              <w:rPr>
                <w:rFonts w:ascii="仿宋_GB2312" w:hAnsi="仿宋_GB2312" w:cs="仿宋_GB2312" w:eastAsia="仿宋_GB2312"/>
                <w:sz w:val="24"/>
                <w:b/>
                <w:color w:val="000000"/>
              </w:rPr>
              <w:t>务质量评分低于</w:t>
            </w:r>
            <w:r>
              <w:rPr>
                <w:rFonts w:ascii="仿宋_GB2312" w:hAnsi="仿宋_GB2312" w:cs="仿宋_GB2312" w:eastAsia="仿宋_GB2312"/>
                <w:sz w:val="24"/>
                <w:b/>
                <w:color w:val="000000"/>
              </w:rPr>
              <w:t>80分或提供的正式审计报告不符合采购人要求的，采购人有权单方面终止合同，造成的后果由成交供应商自行承担。</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采购人指定地点（古蔺县）。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采购人将严格按照《财政部关于进一步加强政府采购需求和履约验收管理的指导意见》财库(2016)205号等政府采购相关法律法规的要求进行验收。①按照本项目采购文件中“技术、服务要求”及中标人投标文件进行验收。②按照本项目采购文件中“商务要求”及中标人投标文件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1、中标人完成审计项目，出具审计报告。采购人对中标人的服务态度、服务质量进行考评，考评结果（考评办法详见考核办法）合格后，达到付款条件起10日内，支付合同总金额的50.00%</w:t>
            </w:r>
          </w:p>
          <w:p>
            <w:pPr>
              <w:pStyle w:val="null3"/>
              <w:jc w:val="left"/>
            </w:pPr>
            <w:r>
              <w:rPr>
                <w:rFonts w:ascii="仿宋_GB2312" w:hAnsi="仿宋_GB2312" w:cs="仿宋_GB2312" w:eastAsia="仿宋_GB2312"/>
              </w:rPr>
              <w:t>2、在审计报告验收合格，中标人完成后续服务工作，经采购人研究确认后，达到付款条件起10日内，支付合同总金额的50.00%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在履行本合同过程中，如甲、乙双方发生争议，协商解决；如双方达不成协议，向采购人所在地的人民法院提起诉讼。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方案和人员和业绩要求： 1、供应商根据采购需求内容编制服务方案，方案包含：①保密措施、②重点难点分析、③应急预案、④组织机构及职责分工、⑤进度保障措施。 2、项目负责人（1人）：具有注册会计师资格或具有中级及以上会计职称。 3、技术负责人（1人）：具有注册会计师资格或具有中级及以上会计职称。 4、其他服务人员：每一名具有注册会计师资格或具有中级及以上会计职称。 5、供应商根据采购需求内容编制审计项目实施方案，方案包含：①审计思路、②审计目标、③风险评估、④审计重点、⑤审计方法、⑥审计质量控制、⑦审计报告质量标准、⑧项目质量检查、⑨项目质量复核、⑩问责制度。 6、供应商提供2022年1月1日至递交响应文件截止时间（以签订时间为准）类似项目业绩（类似项目业绩是指：审计服务类）。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②投标人若为银行、保险、石油石化、电力、电信等有行业特殊情况的，提供企业分支机构营业执照、税务登记和组织机构代码证或统一社会信用代码的营业执照；③投标人若为事业法人：提供“统一社会信用代码法人登记证书”；未换证的提交“事业法人登记证书、组织机构代码证”；④投标人若为其他组织：提供“对应主管部门颁发的准许执业证明文件或营业执照”；⑤投标人若为自然人：提供“身份证明材料”。以上均提供扫描件并加盖投标人签章。</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投标人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投标文件提交截止之日前不足一年的，也可提供在相关主管部门备案的公司章程等证明材料，以上均提供扫描件并加盖投标人签章。 2.投标人需在使用投标(响应)客户端编制响应文件时，按要求填写《投标（响应）函》完成承诺并进行电子签章。 注：以上2项要求（序号1和序号2）任意选择提供其中1项即可。</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投标人具有有效的《会计师事务所执业许可证》。</w:t>
            </w:r>
          </w:p>
        </w:tc>
        <w:tc>
          <w:tcPr>
            <w:tcW w:type="dxa" w:w="3322"/>
          </w:tcPr>
          <w:p>
            <w:pPr>
              <w:pStyle w:val="null3"/>
              <w:jc w:val="left"/>
            </w:pPr>
            <w:r>
              <w:rPr>
                <w:rFonts w:ascii="仿宋_GB2312" w:hAnsi="仿宋_GB2312" w:cs="仿宋_GB2312" w:eastAsia="仿宋_GB2312"/>
              </w:rPr>
              <w:t>投标人具有有效的《会计师事务所执业许可证》，提供有效期内的证书扫描件并加盖供应商电子印章。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需要投标人对第三章3.2.技术要求“★”号项响应，如本项目采购文件要求提供佐证材料则需提供，未提供的作无效投标处理，未要求则响应即可，未响应或未提供的作无效投标处理。</w:t>
            </w:r>
          </w:p>
        </w:tc>
        <w:tc>
          <w:tcPr>
            <w:tcW w:type="dxa" w:w="3322"/>
          </w:tcPr>
          <w:p>
            <w:pPr>
              <w:pStyle w:val="null3"/>
              <w:jc w:val="left"/>
            </w:pPr>
            <w:r>
              <w:rPr>
                <w:rFonts w:ascii="仿宋_GB2312" w:hAnsi="仿宋_GB2312" w:cs="仿宋_GB2312" w:eastAsia="仿宋_GB2312"/>
              </w:rPr>
              <w:t>提供服务应答表并加盖投标人电子签章。</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需要投标人对第三章3.3.服务要求；3.3.2.商务要求中“★”号项响应，如本项目采购文件要求提供佐证材料则需提供，未提供的作无效投标处理，未要求则响应即可，未响应或未提供的作无效投标处理。</w:t>
            </w:r>
          </w:p>
        </w:tc>
        <w:tc>
          <w:tcPr>
            <w:tcW w:type="dxa" w:w="3322"/>
          </w:tcPr>
          <w:p>
            <w:pPr>
              <w:pStyle w:val="null3"/>
              <w:jc w:val="left"/>
            </w:pPr>
            <w:r>
              <w:rPr>
                <w:rFonts w:ascii="仿宋_GB2312" w:hAnsi="仿宋_GB2312" w:cs="仿宋_GB2312" w:eastAsia="仿宋_GB2312"/>
              </w:rPr>
              <w:t>提供商务应答表并加盖投标人电子签章。</w:t>
            </w:r>
          </w:p>
        </w:tc>
        <w:tc>
          <w:tcPr>
            <w:tcW w:type="dxa" w:w="1661"/>
          </w:tcPr>
          <w:p>
            <w:pPr>
              <w:pStyle w:val="null3"/>
              <w:jc w:val="left"/>
            </w:pPr>
            <w:r>
              <w:rPr>
                <w:rFonts w:ascii="仿宋_GB2312" w:hAnsi="仿宋_GB2312" w:cs="仿宋_GB2312" w:eastAsia="仿宋_GB2312"/>
              </w:rPr>
              <w:t>商务应答表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编制的服务方案进行综合评分，方案包含：①保密措施、②重点难点分析、③应急预案、④组织机构及职责分工、⑤进度保障措施。以上5项内容完整提供的得15分；每缺少一项扣3分，每项方案中每有一处内容存在缺陷的扣1.5分，该项分值（15分）扣完为止。 注：缺陷系指：“方案内容与本项目采购需求无关、方案内容表述歧义或错误、方案内容前后表达矛盾或不一致、方案内容缺失或不可执行、仅有框架或标题、明显复制其他项目内容、项目基本信息歧义或错误、不符合本项目涉及的相关规范或标准要求的上述任意一种情形，且评审时评审小组各成员不对各供应商投标(响应)情况进行横向比较。”</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评分标准对应方案、材料（资料）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1.项目负责人（1人）：具有注册会计师资格的得2分，同时具有中级会计职称的加1分，同时具有高级会计职称的加3分，本项最多得5分，未提供的不得分。 2.技术负责人（1人）：具有注册会计师资格的得2分，同时具有中级会计职称的加1分，同时具有高级会计职称的加3分，本项最多得5分，未提供的不得分。 3、其他服务人员：每有一名具有注册会计师资格的得2分，每有一名具有高级会计职称的得2分，每有一名具有中级会计职称得1分，本项最多得30分，未提供或承诺函内容不完整（完整是指：因本项目专门面向中小企业进行采购，我公司承诺参与投标时提供的团队人员（包括人员配置的人员）已全部与我公司签订了劳动合同。签订采购合同前我公司配合采购人核实劳动合同，如有虚假，我公司自行承担相应责任。）的不得分。 注：1.第1-3项提供证书扫描件和承诺函并加盖投标人电子签章。承诺内容：因本项目专门面向中小企业进行采购，我公司承诺参与投标时提供的团队人员（包括人员配置的人员）已全部与我公司签订了劳动合同。签订采购合同前我公司配合采购人核实劳动合同，如有虚假，我公司自行承担相应责任。承诺函格式自拟。2.项目负责人、技术负责人和其他服务人员为同一人员的不重复计分。</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评分标准对应方案、材料（资料）</w:t>
            </w:r>
          </w:p>
        </w:tc>
      </w:tr>
      <w:tr>
        <w:tc>
          <w:tcPr>
            <w:tcW w:type="dxa" w:w="831"/>
            <w:vMerge/>
          </w:tcPr>
          <w:p/>
        </w:tc>
        <w:tc>
          <w:tcPr>
            <w:tcW w:type="dxa" w:w="1661"/>
          </w:tcPr>
          <w:p>
            <w:pPr>
              <w:pStyle w:val="null3"/>
              <w:jc w:val="left"/>
            </w:pPr>
            <w:r>
              <w:rPr>
                <w:rFonts w:ascii="仿宋_GB2312" w:hAnsi="仿宋_GB2312" w:cs="仿宋_GB2312" w:eastAsia="仿宋_GB2312"/>
              </w:rPr>
              <w:t>审计项目实施方案</w:t>
            </w:r>
          </w:p>
        </w:tc>
        <w:tc>
          <w:tcPr>
            <w:tcW w:type="dxa" w:w="2575"/>
          </w:tcPr>
          <w:p>
            <w:pPr>
              <w:pStyle w:val="null3"/>
              <w:jc w:val="left"/>
            </w:pPr>
            <w:r>
              <w:rPr>
                <w:rFonts w:ascii="仿宋_GB2312" w:hAnsi="仿宋_GB2312" w:cs="仿宋_GB2312" w:eastAsia="仿宋_GB2312"/>
              </w:rPr>
              <w:t>根据供应商编制的审计项目实施方案进行综合评分，方案包含：①审计思路、②审计目标、③风险评估、④审计重点、⑤审计方法、⑥审计质量控制、⑦审计报告质量标准、⑧项目质量检查、⑨项目质量复核、⑩问责制度。以上10项内容完整提供的得20分；每缺少一项扣2分，每项方案中每有一处内容存在缺陷的扣1分，该项分值（20分）扣完为止。 注：缺陷系指：“方案内容与本项目采购需求无关、方案内容表述歧义或错误、方案内容前后表达矛盾或不一致、方案内容缺失或不可执行、仅有框架或标题、明显复制其他项目内容、项目基本信息歧义或错误、不符合本项目涉及的相关规范或标准要求的上述任意一种情形，且评审时评审小组各成员不对各供应商投标(响应)情况进行横向比较。”</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评分标准对应方案、材料（资料）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供应商提供2022年1月1日至递交响应文件截止时间（以签订时间为准）类似项目业绩（类似项目业绩是指：审计服务类），每提供一个得3分，最多得15分，未提供不得分。 注：提供中标（成交）通知书扫描件和合同扫描件并加盖供应商电子签章。</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评分标准对应方案、材料（资料）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详见附件：评分标准对应方案、材料（资料）</w:t>
      </w:r>
    </w:p>
    <w:p>
      <w:pPr>
        <w:pStyle w:val="null3"/>
        <w:ind w:firstLine="960"/>
        <w:jc w:val="left"/>
      </w:pPr>
      <w:r>
        <w:rPr>
          <w:rFonts w:ascii="仿宋_GB2312" w:hAnsi="仿宋_GB2312" w:cs="仿宋_GB2312" w:eastAsia="仿宋_GB2312"/>
        </w:rPr>
        <w:t>详见附件：商务应答表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