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版本号：N511823202600002020260324001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2026年度第一批次医疗设备采购项目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N5118232026000020</w:t>
      </w:r>
    </w:p>
    <w:p>
      <w:pPr>
        <w:pStyle w:val="null3"/>
        <w:jc w:val="left"/>
        <w:outlineLvl w:val="2"/>
      </w:pPr>
      <w:r>
        <w:rPr>
          <w:rFonts w:ascii="仿宋_GB2312" w:hAnsi="仿宋_GB2312" w:cs="仿宋_GB2312" w:eastAsia="仿宋_GB2312"/>
          <w:sz w:val="28"/>
          <w:b/>
        </w:rPr>
        <w:t>汉源县人民医院</w:t>
      </w:r>
    </w:p>
    <w:p>
      <w:pPr>
        <w:pStyle w:val="null3"/>
        <w:jc w:val="center"/>
        <w:outlineLvl w:val="2"/>
      </w:pPr>
      <w:r>
        <w:rPr>
          <w:rFonts w:ascii="仿宋_GB2312" w:hAnsi="仿宋_GB2312" w:cs="仿宋_GB2312" w:eastAsia="仿宋_GB2312"/>
          <w:sz w:val="28"/>
          <w:b/>
        </w:rPr>
        <w:t>四川新宇盛项目管理集团有限公司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四川新宇盛项目管理集团有限公司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汉源县人民医院</w:t>
      </w:r>
      <w:r>
        <w:rPr>
          <w:rFonts w:ascii="仿宋_GB2312" w:hAnsi="仿宋_GB2312" w:cs="仿宋_GB2312" w:eastAsia="仿宋_GB2312"/>
        </w:rPr>
        <w:t xml:space="preserve"> 委托，拟对 </w:t>
      </w:r>
      <w:r>
        <w:rPr>
          <w:rFonts w:ascii="仿宋_GB2312" w:hAnsi="仿宋_GB2312" w:cs="仿宋_GB2312" w:eastAsia="仿宋_GB2312"/>
        </w:rPr>
        <w:t>2026年度第一批次医疗设备采购项目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雅安市汉源县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N5118232026000020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2026年度第一批次医疗设备采购项目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本项目为汉源县人民医院2026年度第一批次医疗设备采购项目。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产品及其配置产品为医疗器械的，投标产品及其配置产品须符合《医疗器械注册与备案管理办法》要求并提供中华人民共和国医疗器械注册证或备案凭证；（提供相应证明材料并进行电子签章。）（描述：投标产品及其配置产品为医疗器械的，投标产品及其配置产品须符合《医疗器械注册与备案管理办法》要求并提供中华人民共和国医疗器械注册证或备案凭证；（提供相应证明材料并进行电子签章。））</w:t>
      </w:r>
    </w:p>
    <w:p>
      <w:pPr>
        <w:pStyle w:val="null3"/>
        <w:jc w:val="left"/>
      </w:pPr>
      <w:r>
        <w:rPr>
          <w:rFonts w:ascii="仿宋_GB2312" w:hAnsi="仿宋_GB2312" w:cs="仿宋_GB2312" w:eastAsia="仿宋_GB2312"/>
        </w:rPr>
        <w:t>2、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提供相应证明材料并进行电子签章）（描述：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提供相应证明材料并进行电子签章））</w:t>
      </w:r>
    </w:p>
    <w:p>
      <w:pPr>
        <w:pStyle w:val="null3"/>
        <w:jc w:val="left"/>
      </w:pPr>
      <w:r>
        <w:rPr>
          <w:rFonts w:ascii="仿宋_GB2312" w:hAnsi="仿宋_GB2312" w:cs="仿宋_GB2312" w:eastAsia="仿宋_GB2312"/>
        </w:rPr>
        <w:t>3、本项目中拟采购的产品属于消毒产品的，投标产品须具备有效的《消毒产品卫生安全评价报告》（描述：投标产品若为新消毒产品，须提供有效的卫生许可批件；对消毒产品有国家行政管理部门出具的最新分类或不纳入管理的政策依据的，按最新政策提供上述证书并提供相关说明。）</w:t>
      </w:r>
    </w:p>
    <w:p>
      <w:pPr>
        <w:pStyle w:val="null3"/>
        <w:jc w:val="left"/>
      </w:pPr>
      <w:r>
        <w:rPr>
          <w:rFonts w:ascii="仿宋_GB2312" w:hAnsi="仿宋_GB2312" w:cs="仿宋_GB2312" w:eastAsia="仿宋_GB2312"/>
        </w:rPr>
        <w:t>4、本项目中拟采购的产品属于消毒产品的，投标产品生产厂家须具备有效的《消毒产品生产企业卫生许可证》（描述：提供所投消毒产品生产厂家有效的《消毒产品生产企业卫生许可证》或承诺函。）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产品及其配置产品为医疗器械的，投标产品及其配置产品须符合《医疗器械注册与备案管理办法》要求并提供中华人民共和国医疗器械注册证或备案凭证；（提供相应证明材料并进行电子签章。）（描述：投标产品及其配置产品为医疗器械的，投标产品及其配置产品须符合《医疗器械注册与备案管理办法》要求并提供中华人民共和国医疗器械注册证或备案凭证；（提供相应证明材料并进行电子签章。））</w:t>
      </w:r>
    </w:p>
    <w:p>
      <w:pPr>
        <w:pStyle w:val="null3"/>
        <w:jc w:val="left"/>
      </w:pPr>
      <w:r>
        <w:rPr>
          <w:rFonts w:ascii="仿宋_GB2312" w:hAnsi="仿宋_GB2312" w:cs="仿宋_GB2312" w:eastAsia="仿宋_GB2312"/>
        </w:rPr>
        <w:t>2、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提供相应证明材料并进行电子签章）（描述：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提供相应证明材料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汉源县人民医院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四川省雅安市汉源县富林大道二段128号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0835-4222798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四川新宇盛项目管理集团有限公司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中国(四川)自由贸易试验区成都高新区天仁路387号3栋1单元4楼404号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殷先生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028-86095158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采购包1：435,000.00元</w:t>
            </w:r>
          </w:p>
          <w:p>
            <w:pPr>
              <w:pStyle w:val="null3"/>
              <w:jc w:val="left"/>
            </w:pPr>
            <w:r>
              <w:rPr>
                <w:rFonts w:ascii="仿宋_GB2312" w:hAnsi="仿宋_GB2312" w:cs="仿宋_GB2312" w:eastAsia="仿宋_GB2312"/>
              </w:rPr>
              <w:t>采购包2：425,000.00元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代理服务费收费标准：按中标（成交）金额的1.2%收取。收款单位：四川新宇盛项目管理集团有限公司；开 户 行：中国民生银行股份有限公司成都锦江支行；银行账号：151474056。</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汉源县人民医院</w:t>
      </w:r>
      <w:r>
        <w:rPr>
          <w:rFonts w:ascii="仿宋_GB2312" w:hAnsi="仿宋_GB2312" w:cs="仿宋_GB2312" w:eastAsia="仿宋_GB2312"/>
        </w:rPr>
        <w:t xml:space="preserve"> 和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汉源县人民医院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符合国家、省、市及所属行业等相关验收合格标准及采购文件技术要求和响应文件技术应答以及采购合同条款。</w:t>
      </w:r>
    </w:p>
    <w:p>
      <w:pPr>
        <w:pStyle w:val="null3"/>
        <w:jc w:val="left"/>
      </w:pPr>
      <w:r>
        <w:rPr>
          <w:rFonts w:ascii="仿宋_GB2312" w:hAnsi="仿宋_GB2312" w:cs="仿宋_GB2312" w:eastAsia="仿宋_GB2312"/>
        </w:rPr>
        <w:t>采购包2：</w:t>
      </w:r>
      <w:r>
        <w:rPr>
          <w:rFonts w:ascii="仿宋_GB2312" w:hAnsi="仿宋_GB2312" w:cs="仿宋_GB2312" w:eastAsia="仿宋_GB2312"/>
        </w:rPr>
        <w:t>符合国家、省、市及所属行业等相关验收合格标准及采购文件技术要求和响应文件技术应答以及采购合同条款。</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符合国家、省、市及所属行业等相关验收合格标准及采购文件技术要求和响应文件商务应答以及采购合同条款。</w:t>
      </w:r>
    </w:p>
    <w:p>
      <w:pPr>
        <w:pStyle w:val="null3"/>
        <w:jc w:val="left"/>
      </w:pPr>
      <w:r>
        <w:rPr>
          <w:rFonts w:ascii="仿宋_GB2312" w:hAnsi="仿宋_GB2312" w:cs="仿宋_GB2312" w:eastAsia="仿宋_GB2312"/>
        </w:rPr>
        <w:t>采购包2：</w:t>
      </w:r>
      <w:r>
        <w:rPr>
          <w:rFonts w:ascii="仿宋_GB2312" w:hAnsi="仿宋_GB2312" w:cs="仿宋_GB2312" w:eastAsia="仿宋_GB2312"/>
        </w:rPr>
        <w:t>符合国家、省、市及所属行业等相关验收合格标准及采购文件技术要求和响应文件商务应答以及采购合同条款。</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根据招标文件要求、中标人投标文件及合同约定标准进行验收。验收时如发现所交付的货物有短装、次品、损坏或其它不符合标准及合同规定之情形者，采购人应做出详尽的现场记录，或由采购人及中标人双方签署备忘录，现场记录或备忘录可用作补充、缺失和更换损坏部件的有效证据，由此产生的时间延误与有关费用由中标人承担，验收期限相应顺延。若质量验收合格，双方签署质量验收报告。</w:t>
      </w:r>
    </w:p>
    <w:p>
      <w:pPr>
        <w:pStyle w:val="null3"/>
        <w:jc w:val="left"/>
      </w:pPr>
      <w:r>
        <w:rPr>
          <w:rFonts w:ascii="仿宋_GB2312" w:hAnsi="仿宋_GB2312" w:cs="仿宋_GB2312" w:eastAsia="仿宋_GB2312"/>
        </w:rPr>
        <w:t>采购包2：</w:t>
      </w:r>
      <w:r>
        <w:rPr>
          <w:rFonts w:ascii="仿宋_GB2312" w:hAnsi="仿宋_GB2312" w:cs="仿宋_GB2312" w:eastAsia="仿宋_GB2312"/>
        </w:rPr>
        <w:t>由采购人组织，根据招标文件要求、中标人投标文件及合同约定标准进行验收。验收时如发现所交付的货物有短装、次品、损坏或其它不符合标准及合同规定之情形者，采购人应做出详尽的现场记录，或由采购人及中标人双方签署备忘录，现场记录或备忘录可用作补充、缺失和更换损坏部件的有效证据，由此产生的时间延误与有关费用由中标人承担，验收期限相应顺延。若质量验收合格，双方签署质量验收报告。</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汉源县人民医院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联系电话：0835-4222798</w:t>
      </w:r>
    </w:p>
    <w:p>
      <w:pPr>
        <w:pStyle w:val="null3"/>
        <w:jc w:val="left"/>
      </w:pPr>
      <w:r>
        <w:rPr>
          <w:rFonts w:ascii="仿宋_GB2312" w:hAnsi="仿宋_GB2312" w:cs="仿宋_GB2312" w:eastAsia="仿宋_GB2312"/>
        </w:rPr>
        <w:t>地址：四川省雅安市汉源县富林大道二段128号</w:t>
      </w:r>
    </w:p>
    <w:p>
      <w:pPr>
        <w:pStyle w:val="null3"/>
        <w:jc w:val="left"/>
      </w:pPr>
      <w:r>
        <w:rPr>
          <w:rFonts w:ascii="仿宋_GB2312" w:hAnsi="仿宋_GB2312" w:cs="仿宋_GB2312" w:eastAsia="仿宋_GB2312"/>
        </w:rPr>
        <w:t>邮编：625000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联系人：殷先生</w:t>
      </w:r>
    </w:p>
    <w:p>
      <w:pPr>
        <w:pStyle w:val="null3"/>
        <w:jc w:val="left"/>
      </w:pPr>
      <w:r>
        <w:rPr>
          <w:rFonts w:ascii="仿宋_GB2312" w:hAnsi="仿宋_GB2312" w:cs="仿宋_GB2312" w:eastAsia="仿宋_GB2312"/>
        </w:rPr>
        <w:t>联系电话：028-86095158</w:t>
      </w:r>
    </w:p>
    <w:p>
      <w:pPr>
        <w:pStyle w:val="null3"/>
        <w:jc w:val="left"/>
      </w:pPr>
      <w:r>
        <w:rPr>
          <w:rFonts w:ascii="仿宋_GB2312" w:hAnsi="仿宋_GB2312" w:cs="仿宋_GB2312" w:eastAsia="仿宋_GB2312"/>
        </w:rPr>
        <w:t>地址：中国(四川)自由贸易试验区成都高新区天仁路387号3栋1单元4楼404号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435,000.00</w:t>
      </w:r>
    </w:p>
    <w:p>
      <w:pPr>
        <w:pStyle w:val="null3"/>
        <w:jc w:val="left"/>
      </w:pPr>
      <w:r>
        <w:rPr>
          <w:rFonts w:ascii="仿宋_GB2312" w:hAnsi="仿宋_GB2312" w:cs="仿宋_GB2312" w:eastAsia="仿宋_GB2312"/>
        </w:rPr>
        <w:t>采购包最高限价（元）: 435,000.00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高频电刀</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内镜气泵（内镜用二氧化碳送气装置）</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内镜高频电刀</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A02322800 消毒灭菌设备及器具</w:t>
            </w:r>
          </w:p>
        </w:tc>
        <w:tc>
          <w:tcPr>
            <w:tcW w:type="dxa" w:w="821"/>
          </w:tcPr>
          <w:p>
            <w:pPr>
              <w:pStyle w:val="null3"/>
              <w:jc w:val="left"/>
            </w:pPr>
            <w:r>
              <w:rPr>
                <w:rFonts w:ascii="仿宋_GB2312" w:hAnsi="仿宋_GB2312" w:cs="仿宋_GB2312" w:eastAsia="仿宋_GB2312"/>
              </w:rPr>
              <w:t>全自动内镜清洗消毒机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内镜一体化清洗台</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425,000.00</w:t>
      </w:r>
    </w:p>
    <w:p>
      <w:pPr>
        <w:pStyle w:val="null3"/>
        <w:jc w:val="left"/>
      </w:pPr>
      <w:r>
        <w:rPr>
          <w:rFonts w:ascii="仿宋_GB2312" w:hAnsi="仿宋_GB2312" w:cs="仿宋_GB2312" w:eastAsia="仿宋_GB2312"/>
        </w:rPr>
        <w:t>采购包最高限价（元）: 425,000.00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过敏原检查设备</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A02320300 医用电子生理参数检测仪器设备</w:t>
            </w:r>
          </w:p>
        </w:tc>
        <w:tc>
          <w:tcPr>
            <w:tcW w:type="dxa" w:w="821"/>
          </w:tcPr>
          <w:p>
            <w:pPr>
              <w:pStyle w:val="null3"/>
              <w:jc w:val="left"/>
            </w:pPr>
            <w:r>
              <w:rPr>
                <w:rFonts w:ascii="仿宋_GB2312" w:hAnsi="仿宋_GB2312" w:cs="仿宋_GB2312" w:eastAsia="仿宋_GB2312"/>
              </w:rPr>
              <w:t>动态心电图</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骨创伤治疗仪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A02323300 口腔设备及器械</w:t>
            </w:r>
          </w:p>
        </w:tc>
        <w:tc>
          <w:tcPr>
            <w:tcW w:type="dxa" w:w="821"/>
          </w:tcPr>
          <w:p>
            <w:pPr>
              <w:pStyle w:val="null3"/>
              <w:jc w:val="left"/>
            </w:pPr>
            <w:r>
              <w:rPr>
                <w:rFonts w:ascii="仿宋_GB2312" w:hAnsi="仿宋_GB2312" w:cs="仿宋_GB2312" w:eastAsia="仿宋_GB2312"/>
              </w:rPr>
              <w:t>洁牙机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A02323300 口腔设备及器械</w:t>
            </w:r>
          </w:p>
        </w:tc>
        <w:tc>
          <w:tcPr>
            <w:tcW w:type="dxa" w:w="821"/>
          </w:tcPr>
          <w:p>
            <w:pPr>
              <w:pStyle w:val="null3"/>
              <w:jc w:val="left"/>
            </w:pPr>
            <w:r>
              <w:rPr>
                <w:rFonts w:ascii="仿宋_GB2312" w:hAnsi="仿宋_GB2312" w:cs="仿宋_GB2312" w:eastAsia="仿宋_GB2312"/>
              </w:rPr>
              <w:t>根管测量仪器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A02323300 口腔设备及器械</w:t>
            </w:r>
          </w:p>
        </w:tc>
        <w:tc>
          <w:tcPr>
            <w:tcW w:type="dxa" w:w="821"/>
          </w:tcPr>
          <w:p>
            <w:pPr>
              <w:pStyle w:val="null3"/>
              <w:jc w:val="left"/>
            </w:pPr>
            <w:r>
              <w:rPr>
                <w:rFonts w:ascii="仿宋_GB2312" w:hAnsi="仿宋_GB2312" w:cs="仿宋_GB2312" w:eastAsia="仿宋_GB2312"/>
              </w:rPr>
              <w:t>根管预备机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A02323300 口腔设备及器械</w:t>
            </w:r>
          </w:p>
        </w:tc>
        <w:tc>
          <w:tcPr>
            <w:tcW w:type="dxa" w:w="821"/>
          </w:tcPr>
          <w:p>
            <w:pPr>
              <w:pStyle w:val="null3"/>
              <w:jc w:val="left"/>
            </w:pPr>
            <w:r>
              <w:rPr>
                <w:rFonts w:ascii="仿宋_GB2312" w:hAnsi="仿宋_GB2312" w:cs="仿宋_GB2312" w:eastAsia="仿宋_GB2312"/>
              </w:rPr>
              <w:t>口腔扫描仪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光固化灯</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光子治疗仪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A02320500 医用超声波仪器及设备</w:t>
            </w:r>
          </w:p>
        </w:tc>
        <w:tc>
          <w:tcPr>
            <w:tcW w:type="dxa" w:w="821"/>
          </w:tcPr>
          <w:p>
            <w:pPr>
              <w:pStyle w:val="null3"/>
              <w:jc w:val="left"/>
            </w:pPr>
            <w:r>
              <w:rPr>
                <w:rFonts w:ascii="仿宋_GB2312" w:hAnsi="仿宋_GB2312" w:cs="仿宋_GB2312" w:eastAsia="仿宋_GB2312"/>
              </w:rPr>
              <w:t>彩色多普勒脐血流检测仪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高频电刀</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内镜气泵（内镜用二氧化碳送气装置）</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内镜高频电刀</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全自动内镜清洗消毒机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内镜一体化清洗台</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过敏原检查设备</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动态心电图</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骨创伤治疗仪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洁牙机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根管测量仪器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根管预备机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口腔扫描仪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光固化灯</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光子治疗仪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彩色多普勒脐血流检测仪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内镜一体化清洗台</w:t>
            </w:r>
          </w:p>
        </w:tc>
        <w:tc>
          <w:tcPr>
            <w:tcW w:type="dxa" w:w="2492"/>
          </w:tcPr>
          <w:p>
            <w:pPr>
              <w:pStyle w:val="null3"/>
              <w:jc w:val="left"/>
            </w:pPr>
            <w:r>
              <w:rPr>
                <w:rFonts w:ascii="仿宋_GB2312" w:hAnsi="仿宋_GB2312" w:cs="仿宋_GB2312" w:eastAsia="仿宋_GB2312"/>
              </w:rPr>
              <w:t>内镜一体化清洗台</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A02323300 口腔设备及器械</w:t>
            </w:r>
          </w:p>
        </w:tc>
        <w:tc>
          <w:tcPr>
            <w:tcW w:type="dxa" w:w="2492"/>
          </w:tcPr>
          <w:p>
            <w:pPr>
              <w:pStyle w:val="null3"/>
              <w:jc w:val="left"/>
            </w:pPr>
            <w:r>
              <w:rPr>
                <w:rFonts w:ascii="仿宋_GB2312" w:hAnsi="仿宋_GB2312" w:cs="仿宋_GB2312" w:eastAsia="仿宋_GB2312"/>
              </w:rPr>
              <w:t>口腔扫描仪</w:t>
            </w:r>
          </w:p>
        </w:tc>
        <w:tc>
          <w:tcPr>
            <w:tcW w:type="dxa" w:w="2492"/>
          </w:tcPr>
          <w:p>
            <w:pPr>
              <w:pStyle w:val="null3"/>
              <w:jc w:val="left"/>
            </w:pPr>
            <w:r>
              <w:rPr>
                <w:rFonts w:ascii="仿宋_GB2312" w:hAnsi="仿宋_GB2312" w:cs="仿宋_GB2312" w:eastAsia="仿宋_GB2312"/>
              </w:rPr>
              <w:t>口腔扫描仪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标的名称：高频电刀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b/>
              </w:rPr>
              <w:t>主要用途</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适用于所有外科手术，全科功能电刀。</w:t>
            </w:r>
          </w:p>
          <w:p>
            <w:pPr>
              <w:pStyle w:val="null3"/>
              <w:jc w:val="left"/>
            </w:pPr>
            <w:r>
              <w:rPr>
                <w:rFonts w:ascii="仿宋_GB2312" w:hAnsi="仿宋_GB2312" w:cs="仿宋_GB2312" w:eastAsia="仿宋_GB2312"/>
                <w:sz w:val="21"/>
                <w:b/>
              </w:rPr>
              <w:t>主要参数及要求</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具备开机自检功能。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具备内窥镜操作模式。</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具备适合液体环境使用的增强模式。</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▲具备工作模式至少包括：单极切割、混合切割、微细电凝、标准电凝、喷射电凝、双极电凝。（</w:t>
            </w:r>
            <w:r>
              <w:rPr>
                <w:rFonts w:ascii="仿宋_GB2312" w:hAnsi="仿宋_GB2312" w:cs="仿宋_GB2312" w:eastAsia="仿宋_GB2312"/>
              </w:rPr>
              <w:t>提供具有国家认可的检验检测资质的检测机构出具的检测报告或者厂家出具的产品说明书或者厂家出具的产品彩页资料，并加盖投标人电子签章</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纯切功率：</w:t>
            </w:r>
            <w:r>
              <w:rPr>
                <w:rFonts w:ascii="仿宋_GB2312" w:hAnsi="仿宋_GB2312" w:cs="仿宋_GB2312" w:eastAsia="仿宋_GB2312"/>
                <w:sz w:val="21"/>
              </w:rPr>
              <w:t>0-300W，峰值电压≥820V。</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混切</w:t>
            </w:r>
            <w:r>
              <w:rPr>
                <w:rFonts w:ascii="仿宋_GB2312" w:hAnsi="仿宋_GB2312" w:cs="仿宋_GB2312" w:eastAsia="仿宋_GB2312"/>
                <w:sz w:val="21"/>
              </w:rPr>
              <w:t>1功率：0-200W，峰值电压≥900V。</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混切</w:t>
            </w:r>
            <w:r>
              <w:rPr>
                <w:rFonts w:ascii="仿宋_GB2312" w:hAnsi="仿宋_GB2312" w:cs="仿宋_GB2312" w:eastAsia="仿宋_GB2312"/>
                <w:sz w:val="21"/>
              </w:rPr>
              <w:t>2功率：0-200W，峰值电压≥1000V。</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混切</w:t>
            </w:r>
            <w:r>
              <w:rPr>
                <w:rFonts w:ascii="仿宋_GB2312" w:hAnsi="仿宋_GB2312" w:cs="仿宋_GB2312" w:eastAsia="仿宋_GB2312"/>
                <w:sz w:val="21"/>
              </w:rPr>
              <w:t>3功率：0-200W，峰值电压≥1400V。</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微细电凝功率：</w:t>
            </w:r>
            <w:r>
              <w:rPr>
                <w:rFonts w:ascii="仿宋_GB2312" w:hAnsi="仿宋_GB2312" w:cs="仿宋_GB2312" w:eastAsia="仿宋_GB2312"/>
                <w:sz w:val="21"/>
              </w:rPr>
              <w:t>0-120W，峰值电压≥2000V。</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▲标准电凝功率：0-120W，峰值电压≥3500V。</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喷射电凝功率：</w:t>
            </w:r>
            <w:r>
              <w:rPr>
                <w:rFonts w:ascii="仿宋_GB2312" w:hAnsi="仿宋_GB2312" w:cs="仿宋_GB2312" w:eastAsia="仿宋_GB2312"/>
                <w:sz w:val="21"/>
              </w:rPr>
              <w:t>0-80W，峰值电压≥6000V。</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双极凝血功率：</w:t>
            </w:r>
            <w:r>
              <w:rPr>
                <w:rFonts w:ascii="仿宋_GB2312" w:hAnsi="仿宋_GB2312" w:cs="仿宋_GB2312" w:eastAsia="仿宋_GB2312"/>
                <w:sz w:val="21"/>
              </w:rPr>
              <w:t>0-50W，峰值电压≥600V。</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双极凝血功率：</w:t>
            </w:r>
            <w:r>
              <w:rPr>
                <w:rFonts w:ascii="仿宋_GB2312" w:hAnsi="仿宋_GB2312" w:cs="仿宋_GB2312" w:eastAsia="仿宋_GB2312"/>
                <w:sz w:val="21"/>
              </w:rPr>
              <w:t>0-90W，峰值电压≥180V。</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具有两个单极手控输出、一个单极脚控输出和一个双极电凝脚控输出。</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具有完善的监察系统极板回路监测和阻抗直观显示功能，单双极负极板自动识别功能。</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在功率不变的情况下，根据不同组织阻抗自动调节电压输出。</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无风扇散热，具备电子散热系统。</w:t>
            </w:r>
          </w:p>
        </w:tc>
      </w:tr>
    </w:tbl>
    <w:p>
      <w:pPr>
        <w:pStyle w:val="null3"/>
        <w:jc w:val="left"/>
      </w:pPr>
      <w:r>
        <w:rPr>
          <w:rFonts w:ascii="仿宋_GB2312" w:hAnsi="仿宋_GB2312" w:cs="仿宋_GB2312" w:eastAsia="仿宋_GB2312"/>
        </w:rPr>
        <w:t>标的名称：内镜气泵（内镜用二氧化碳送气装置）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气体类型：医用二氧化碳气体</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送气装置重量：</w:t>
            </w:r>
            <w:r>
              <w:rPr>
                <w:rFonts w:ascii="仿宋_GB2312" w:hAnsi="仿宋_GB2312" w:cs="仿宋_GB2312" w:eastAsia="仿宋_GB2312"/>
                <w:sz w:val="21"/>
              </w:rPr>
              <w:t>≤5kg。</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性能参数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▲具有输出“高流量”档和“低流量”档选择功能，开机默认为上一次设置的流量档位，送气装置能实时显示气体流量。高流量档：3.0L/min±0.3L/min；低流量档：2.0L/min±0.2L/min。</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具有输出压力监测，确保输出压力在允许范围内，实时测量并显示送气装置气体输出接口处的压力，误差为</w:t>
            </w:r>
            <w:r>
              <w:rPr>
                <w:rFonts w:ascii="仿宋_GB2312" w:hAnsi="仿宋_GB2312" w:cs="仿宋_GB2312" w:eastAsia="仿宋_GB2312"/>
                <w:sz w:val="21"/>
              </w:rPr>
              <w:t>±5kPa，当输出管路终端的压力超过45kPa（允许有±5kPa的偏差）时，设备应中断二氧化碳气体输出并发出声音提示。</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具有输入压力监测，提供欠压</w:t>
            </w:r>
            <w:r>
              <w:rPr>
                <w:rFonts w:ascii="仿宋_GB2312" w:hAnsi="仿宋_GB2312" w:cs="仿宋_GB2312" w:eastAsia="仿宋_GB2312"/>
                <w:sz w:val="21"/>
              </w:rPr>
              <w:t>/过压报警功能，输入额定压力：350kPa±30kPa，工作压力范围：100kPa-600kPa。</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▲当输入压力小于100kPa±10kPa或大于600kPa±30kPa时，设备应中断二氧化碳气体输出并发出声音提示。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具有定时短、定时长输出档位选择功能，当未选择定时档位时，定时功能被禁止，开机默认为定时功能被禁止。定时短：</w:t>
            </w:r>
            <w:r>
              <w:rPr>
                <w:rFonts w:ascii="仿宋_GB2312" w:hAnsi="仿宋_GB2312" w:cs="仿宋_GB2312" w:eastAsia="仿宋_GB2312"/>
                <w:sz w:val="21"/>
              </w:rPr>
              <w:t>15min，误差为±10s；定时长：30min，误差为±10s。开机默认为定时功能被禁止。当定时功能选中“定时短”或“定时长”时，送气装置将在气体输出时开始进行倒计时，计时完成时设备应中断二氧化碳气体输出并发出声音提示。</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软件功能：软件应能检测到面板动作，并能控制输出启动和停止；软件应能检测输入压强变化并提供提示；软件应能检测输出压强变化并提供提示；软件应能设置输出定时时间并切断输出；软件应能设置流量档位并提供提示。</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脚踏开关：脚踏开关的性能参数应符合</w:t>
            </w:r>
            <w:r>
              <w:rPr>
                <w:rFonts w:ascii="仿宋_GB2312" w:hAnsi="仿宋_GB2312" w:cs="仿宋_GB2312" w:eastAsia="仿宋_GB2312"/>
                <w:sz w:val="21"/>
              </w:rPr>
              <w:t>YY1057-2016中4.1的要求；脚踏开关与主机的连接应牢固可靠。</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具有输出加热功能，确保输出气体温度在一定范围内，送气装置输出二氧化碳气体温度不超过</w:t>
            </w:r>
            <w:r>
              <w:rPr>
                <w:rFonts w:ascii="仿宋_GB2312" w:hAnsi="仿宋_GB2312" w:cs="仿宋_GB2312" w:eastAsia="仿宋_GB2312"/>
                <w:sz w:val="21"/>
              </w:rPr>
              <w:t>37℃。</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★兼容我院奥林巴斯内镜</w:t>
            </w:r>
            <w:r>
              <w:rPr>
                <w:rFonts w:ascii="仿宋_GB2312" w:hAnsi="仿宋_GB2312" w:cs="仿宋_GB2312" w:eastAsia="仿宋_GB2312"/>
                <w:sz w:val="21"/>
              </w:rPr>
              <w:t>（规格型号为：</w:t>
            </w:r>
            <w:r>
              <w:rPr>
                <w:rFonts w:ascii="仿宋_GB2312" w:hAnsi="仿宋_GB2312" w:cs="仿宋_GB2312" w:eastAsia="仿宋_GB2312"/>
                <w:sz w:val="21"/>
              </w:rPr>
              <w:t>CV290），若涉及需调整接口，本次报价需包含两次调整接口的费用</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标的名称：内镜高频电刀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用于手术中对人体组织进行切割和凝血。适用于消化科、呼吸科等镜下各类手术。</w:t>
            </w:r>
          </w:p>
          <w:p>
            <w:pPr>
              <w:pStyle w:val="null3"/>
              <w:jc w:val="left"/>
            </w:pPr>
            <w:r>
              <w:rPr>
                <w:rFonts w:ascii="仿宋_GB2312" w:hAnsi="仿宋_GB2312" w:cs="仿宋_GB2312" w:eastAsia="仿宋_GB2312"/>
                <w:sz w:val="21"/>
                <w:b/>
              </w:rPr>
              <w:t>主要技术参数</w:t>
            </w:r>
          </w:p>
          <w:p>
            <w:pPr>
              <w:pStyle w:val="null3"/>
              <w:jc w:val="left"/>
            </w:pPr>
            <w:r>
              <w:rPr>
                <w:rFonts w:ascii="仿宋_GB2312" w:hAnsi="仿宋_GB2312" w:cs="仿宋_GB2312" w:eastAsia="仿宋_GB2312"/>
                <w:sz w:val="21"/>
              </w:rPr>
              <w:t>2．★额定电压：220V，电源频率：50Hz。</w:t>
            </w:r>
          </w:p>
          <w:p>
            <w:pPr>
              <w:pStyle w:val="null3"/>
              <w:jc w:val="left"/>
            </w:pPr>
            <w:r>
              <w:rPr>
                <w:rFonts w:ascii="仿宋_GB2312" w:hAnsi="仿宋_GB2312" w:cs="仿宋_GB2312" w:eastAsia="仿宋_GB2312"/>
                <w:sz w:val="21"/>
              </w:rPr>
              <w:t>3．▲最大输入功率≥88OVA，工作频率包含381KHz。</w:t>
            </w:r>
          </w:p>
          <w:p>
            <w:pPr>
              <w:pStyle w:val="null3"/>
              <w:jc w:val="left"/>
            </w:pPr>
            <w:r>
              <w:rPr>
                <w:rFonts w:ascii="仿宋_GB2312" w:hAnsi="仿宋_GB2312" w:cs="仿宋_GB2312" w:eastAsia="仿宋_GB2312"/>
                <w:sz w:val="21"/>
              </w:rPr>
              <w:t>4．整机一体化</w:t>
            </w:r>
            <w:r>
              <w:rPr>
                <w:rFonts w:ascii="仿宋_GB2312" w:hAnsi="仿宋_GB2312" w:cs="仿宋_GB2312" w:eastAsia="仿宋_GB2312"/>
                <w:sz w:val="21"/>
              </w:rPr>
              <w:t>设计，不占用空间。</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支持普通单极、氩气单极输出，匹配各类镜下手术。</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具有氩离子电凝止血术（氩气刀）：用于术中止血和组织的失活。</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≥7英寸大屏幕液晶彩色显示、集中显示功能，灵活的操作界面。功率和参数可通过按键方便调节，可存储≥99组临床经验设置。</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▲具有纯切、混切、内镜电切I、内镜电切Q、柔和电凝、强力电凝、喷凝、喷凝I、喷凝II，9种工作模式。</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每种工作模式效果</w:t>
            </w:r>
            <w:r>
              <w:rPr>
                <w:rFonts w:ascii="仿宋_GB2312" w:hAnsi="仿宋_GB2312" w:cs="仿宋_GB2312" w:eastAsia="仿宋_GB2312"/>
                <w:sz w:val="21"/>
              </w:rPr>
              <w:t>1-6，宽度1-6，时间间隔1-10可调。</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▲最大电切功率≤400W，电凝功能≤150W，输出功率偏差率：±10%（额定负载）。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具有专用内镜手术，内镜切</w:t>
            </w:r>
            <w:r>
              <w:rPr>
                <w:rFonts w:ascii="仿宋_GB2312" w:hAnsi="仿宋_GB2312" w:cs="仿宋_GB2312" w:eastAsia="仿宋_GB2312"/>
                <w:sz w:val="21"/>
              </w:rPr>
              <w:t>I、内镜切Q，可根据阻抗变化自动调节功率。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常用手术工作模式，内置</w:t>
            </w:r>
            <w:r>
              <w:rPr>
                <w:rFonts w:ascii="仿宋_GB2312" w:hAnsi="仿宋_GB2312" w:cs="仿宋_GB2312" w:eastAsia="仿宋_GB2312"/>
                <w:sz w:val="21"/>
              </w:rPr>
              <w:t>ESD、EMR、APC、POME等常用术式参数，且参数选择支持一键切换。</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具有氩气流量恒定输出监测系统及末端压力自动监测系统，氩气流量实时动态显示。</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氩离子喷射电凝模式，功率调节范围：</w:t>
            </w:r>
            <w:r>
              <w:rPr>
                <w:rFonts w:ascii="仿宋_GB2312" w:hAnsi="仿宋_GB2312" w:cs="仿宋_GB2312" w:eastAsia="仿宋_GB2312"/>
                <w:sz w:val="21"/>
              </w:rPr>
              <w:t>1-100W，凝血深度≤3mm</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氩气输入压力：</w:t>
            </w:r>
            <w:r>
              <w:rPr>
                <w:rFonts w:ascii="仿宋_GB2312" w:hAnsi="仿宋_GB2312" w:cs="仿宋_GB2312" w:eastAsia="仿宋_GB2312"/>
                <w:sz w:val="21"/>
              </w:rPr>
              <w:t>0.15-0.90Mpa；氩气输出流量范围：0.1L/min-9.0L/min（步幅0.1L/min）。</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氩气电极具有色环标记，并有多种喷口方向的软管可供选择。</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PPS功率峰值补偿系统，可通过探测组织阻抗，自动调节输出能量，达到切割顺畅。</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具有阻抗即时反馈技术。</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支持单、双极中性电极使用，且都具有接触质量提示功能。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具有电极板接触质量数字化显示检测系统。</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采用多中央处理器设计，专用的中央处理器进行设备故障管理，任意故障，可以第一时间切断输出，安全更可靠。</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具有开机自检，漏电检测功能。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具有中英文操作界面选择功能。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具有错误语音提示功能。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具备断电记忆功能，再次开机时可恢复断电时的参数。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内置风扇，防止灰尘进入。</w:t>
            </w:r>
          </w:p>
        </w:tc>
      </w:tr>
    </w:tbl>
    <w:p>
      <w:pPr>
        <w:pStyle w:val="null3"/>
        <w:jc w:val="left"/>
      </w:pPr>
      <w:r>
        <w:rPr>
          <w:rFonts w:ascii="仿宋_GB2312" w:hAnsi="仿宋_GB2312" w:cs="仿宋_GB2312" w:eastAsia="仿宋_GB2312"/>
        </w:rPr>
        <w:t>标的名称：全自动内镜清洗消毒机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1．▲适合于各种品牌、型号软式内窥镜的清洗消毒灭菌使用，可同时处理1-2条内镜。</w:t>
            </w:r>
          </w:p>
          <w:p>
            <w:pPr>
              <w:pStyle w:val="null3"/>
              <w:jc w:val="left"/>
            </w:pPr>
            <w:r>
              <w:rPr>
                <w:rFonts w:ascii="仿宋_GB2312" w:hAnsi="仿宋_GB2312" w:cs="仿宋_GB2312" w:eastAsia="仿宋_GB2312"/>
                <w:sz w:val="21"/>
              </w:rPr>
              <w:t>2．设备工作条件：进水量：≥20L/min，压力0.2Mpa-0.5Mpa。电源：220V，50HZ。</w:t>
            </w:r>
          </w:p>
          <w:p>
            <w:pPr>
              <w:pStyle w:val="null3"/>
              <w:jc w:val="left"/>
            </w:pPr>
            <w:r>
              <w:rPr>
                <w:rFonts w:ascii="仿宋_GB2312" w:hAnsi="仿宋_GB2312" w:cs="仿宋_GB2312" w:eastAsia="仿宋_GB2312"/>
                <w:sz w:val="21"/>
              </w:rPr>
              <w:t>3．消毒液储存箱容量：底部储液箱容量18L，清洗槽容量最小8L。酶液储存箱容量：1.5L，酒精储存箱容量：1.5L。</w:t>
            </w:r>
          </w:p>
          <w:p>
            <w:pPr>
              <w:pStyle w:val="null3"/>
              <w:jc w:val="left"/>
            </w:pPr>
            <w:r>
              <w:rPr>
                <w:rFonts w:ascii="仿宋_GB2312" w:hAnsi="仿宋_GB2312" w:cs="仿宋_GB2312" w:eastAsia="仿宋_GB2312"/>
                <w:sz w:val="21"/>
              </w:rPr>
              <w:t>4．▲具有全程故障报警功能、清洗酶液不足报警、酒精不足报警、内镜漏气报警、消毒液储液箱液位低报警、管道通畅测试等常规工作状态检测，随时检测设备各项零部件工作使用情况，具有4种灯光颜色变化显示工作状态。</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．操作控制系统位于设备右侧，</w:t>
            </w:r>
            <w:r>
              <w:rPr>
                <w:rFonts w:ascii="仿宋_GB2312" w:hAnsi="仿宋_GB2312" w:cs="仿宋_GB2312" w:eastAsia="仿宋_GB2312"/>
                <w:sz w:val="21"/>
              </w:rPr>
              <w:t>≥7英寸触摸液晶操控系统，全屏触摸中文显示，操控系统倾斜角度为30度，符合人体工程学原理，全屏触摸，高于清洗槽的高度，有效的保护设备的控制系统，控制界面与参数设置界面分开，防止误操作，控制系统具有远程升级功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．消毒液槽中央凸起，有效节约水、消毒液、酶液的用量，</w:t>
            </w:r>
            <w:r>
              <w:rPr>
                <w:rFonts w:ascii="仿宋_GB2312" w:hAnsi="仿宋_GB2312" w:cs="仿宋_GB2312" w:eastAsia="仿宋_GB2312"/>
                <w:sz w:val="21"/>
              </w:rPr>
              <w:t>PMMA-ABS复合材质整体吸塑成型，槽内液位高度可根据不同内镜在控制系统中设置为高中低三档。（具备清洗全过程持续测漏监控功能，可选择开启或关闭，数字式连续测漏，内镜微小漏气随时停止工作并排空液体后声光报警提示。</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采用三通道清洗设计，在线监控，管道异常时报警提示，全过程灌流清洗保证管腔内部洗消彻底，旋转式喷淋装置及涡流冲洗功能，可以全方位对内镜外表面及槽盖进行冲洗，喷淋功能在各步骤可选择开启或关闭。自身喷淋消毒功能：可对槽体、槽盖、全管道及过滤装置等自身消毒。</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．设备自带</w:t>
            </w:r>
            <w:r>
              <w:rPr>
                <w:rFonts w:ascii="仿宋_GB2312" w:hAnsi="仿宋_GB2312" w:cs="仿宋_GB2312" w:eastAsia="仿宋_GB2312"/>
                <w:sz w:val="21"/>
              </w:rPr>
              <w:t>≥6种工作模式（至少包括洗消模式1、洗消模式2、晨消模式、终末消毒模式、自身消毒模式、标准洗消）。</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．酶洗功能：根据酶液要求按比例自动添加，全过程恒温酶洗。</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．酒精干燥功能：自动进行酒精消毒并吹干。单次注入时间</w:t>
            </w:r>
            <w:r>
              <w:rPr>
                <w:rFonts w:ascii="仿宋_GB2312" w:hAnsi="仿宋_GB2312" w:cs="仿宋_GB2312" w:eastAsia="仿宋_GB2312"/>
                <w:sz w:val="21"/>
              </w:rPr>
              <w:t>2S，单次注入量5-10ml，吹干时间1s-99min59s，可自行调整。</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．具有消毒液循环使用次数记录功能，配备专用的自动取液装置，可随时检测消毒液浓度，保证消毒效果。为保证消毒灭菌效果，也可使用一用一排、</w:t>
            </w:r>
            <w:r>
              <w:rPr>
                <w:rFonts w:ascii="仿宋_GB2312" w:hAnsi="仿宋_GB2312" w:cs="仿宋_GB2312" w:eastAsia="仿宋_GB2312"/>
                <w:sz w:val="21"/>
              </w:rPr>
              <w:t>AB消毒液。</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．打印记录功能，能够长期追溯每条内镜的清洗情况，包括镜子的编号、清洗消毒的时间日期、过程、状态、操作人员等信息，数据存储数量</w:t>
            </w:r>
            <w:r>
              <w:rPr>
                <w:rFonts w:ascii="仿宋_GB2312" w:hAnsi="仿宋_GB2312" w:cs="仿宋_GB2312" w:eastAsia="仿宋_GB2312"/>
                <w:sz w:val="21"/>
              </w:rPr>
              <w:t>10万条。预留有追溯接口可连接内镜追溯管理系统与医院HIS\PACS等系统对接。</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．脚踏电动开关，面板控制开关两种开盖方式，设备脚踏开关为单键，防止操作混乱。避免手动开关盖时产生二次污染。槽盖为透明钢化玻璃材质，能观察清洗槽内内镜清洗全过程，具有防夹功能。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．设备配备外置</w:t>
            </w:r>
            <w:r>
              <w:rPr>
                <w:rFonts w:ascii="仿宋_GB2312" w:hAnsi="仿宋_GB2312" w:cs="仿宋_GB2312" w:eastAsia="仿宋_GB2312"/>
                <w:sz w:val="21"/>
              </w:rPr>
              <w:t>1um水处理器1只和内置0.2um水处理器1只，保证洗消用水达到内镜清洗消毒规范的供水要求，菌落总数≤10CFU/100ml。排水具有增压功能，缩短排水时间。</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．冲洗、清洗、漂洗、终末漂洗工作冲洗次数可调，流动水清洗、漂洗，保证清洗过程更干净彻底。</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▲洗消机工作中所用气体使用高效空气过滤洁净装置对≥0.2μm以上颗粒的滤除率为99.90%。</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▲使用过氧乙酸消毒液、邻苯二甲醛、戊二醛消毒液对枯草杆菌黑色变种芽孢的消除对数值＞3.00。</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▲使用过氧乙酸、邻苯二甲醛、戊二醛、络合氯进行内镜消毒模拟现场对枯草杆菌黑色变种芽孢的消除对数值＞3.00。</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★对洗消机进行模拟现场试验，在最短时间、最低浓度、最低温度下对铜绿假单胞菌杀灭对数值为≥5.00，对枯草杆菌黑色变种芽孢杀灭对数值为≥3.00。</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．使用过氧乙酸进行内镜灭菌模拟现场对枯草杆菌黑色变种芽孢的定性培养结果为无菌生长。同时经过消毒和灭菌程序合格后消毒液残留量符合国家标准。</w:t>
            </w:r>
          </w:p>
        </w:tc>
      </w:tr>
    </w:tbl>
    <w:p>
      <w:pPr>
        <w:pStyle w:val="null3"/>
        <w:jc w:val="left"/>
      </w:pPr>
      <w:r>
        <w:rPr>
          <w:rFonts w:ascii="仿宋_GB2312" w:hAnsi="仿宋_GB2312" w:cs="仿宋_GB2312" w:eastAsia="仿宋_GB2312"/>
        </w:rPr>
        <w:t>标的名称：内镜一体化清洗台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符合现行有效最新版内镜清洗消毒技术规范要求。</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洗消流程：由清洗槽、漂洗槽、消毒槽、终末漂洗槽、干燥台、超声槽、控制台、灌流器、空气过滤减压装置、水枪、气枪、水龙头、进排水装置组成。</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工作噪音</w:t>
            </w:r>
            <w:r>
              <w:rPr>
                <w:rFonts w:ascii="仿宋_GB2312" w:hAnsi="仿宋_GB2312" w:cs="仿宋_GB2312" w:eastAsia="仿宋_GB2312"/>
                <w:sz w:val="21"/>
              </w:rPr>
              <w:t>≤60dB。</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清洗槽及台面：采用</w:t>
            </w:r>
            <w:r>
              <w:rPr>
                <w:rFonts w:ascii="仿宋_GB2312" w:hAnsi="仿宋_GB2312" w:cs="仿宋_GB2312" w:eastAsia="仿宋_GB2312"/>
                <w:sz w:val="21"/>
              </w:rPr>
              <w:t>PMMA-ABS高分子复合材料一体吸塑成型，槽体内丝印容量刻度值，标识的分度值为1L。材料抗压强度高，弹性好，抗氧化，高度耐酸碱，表面光滑，细菌附着率低，对人体无毒性。采用防泛水设计，清洗过程中溅到台面的液体全部会流入下水道。前端池边弧形设计，为内镜洗消人员提供腰腹部的得力支撑</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干燥台设计要求：采用</w:t>
            </w:r>
            <w:r>
              <w:rPr>
                <w:rFonts w:ascii="仿宋_GB2312" w:hAnsi="仿宋_GB2312" w:cs="仿宋_GB2312" w:eastAsia="仿宋_GB2312"/>
                <w:sz w:val="21"/>
              </w:rPr>
              <w:t>PMMA-ABS高分子复合材料一体吸塑成型，四周带有防护边，有效防止内镜及相关附件等的意外滑落。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功能背板及灯箱：采用</w:t>
            </w:r>
            <w:r>
              <w:rPr>
                <w:rFonts w:ascii="仿宋_GB2312" w:hAnsi="仿宋_GB2312" w:cs="仿宋_GB2312" w:eastAsia="仿宋_GB2312"/>
                <w:sz w:val="21"/>
              </w:rPr>
              <w:t>PMMA-ABS高分子复合材料一体吸塑成型，多功能自动灌流器操控部分安装在功能背板上，倾斜角度适宜。</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台面支架及柜体：支架采用厚度不低于1.5mm的304不锈钢材质，柜门为新型环保型E1食品级复合材料，真空覆膜一次性成型，防水、抗腐蚀耐酸碱、抗压能力强、耐高温、抗老化、无异味。柜体底板材质要求：柜体底板采用PVC塑钢材质，杜绝出现膨胀或生锈的情况，防水防潮、承重力强。</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灌流器：采用触摸式液晶大屏中文显示操控面板，微电脑控制系统，一键启动，隐藏式设计，集成芯片设计，在洗消过程中严格按现行有效最新版内镜清洗消毒技术规范要求</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要求，采用洁净的</w:t>
            </w:r>
            <w:r>
              <w:rPr>
                <w:rFonts w:ascii="仿宋_GB2312" w:hAnsi="仿宋_GB2312" w:cs="仿宋_GB2312" w:eastAsia="仿宋_GB2312"/>
                <w:sz w:val="21"/>
              </w:rPr>
              <w:t>“一次水”灌注，避免二次感染。具有脉动、注液、注气、吸引、计时功能，一键自动完成整个工作程序。采用150目高精度304不锈钢滤网，过滤面积大于1200m㎡，能有效过滤掉酶液、消毒液中的杂质，防止内镜管道的堵塞。注液流量≥1800mL/min，注液（气）接口内径≤5mm。</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快速接头：快速接头采用</w:t>
            </w:r>
            <w:r>
              <w:rPr>
                <w:rFonts w:ascii="仿宋_GB2312" w:hAnsi="仿宋_GB2312" w:cs="仿宋_GB2312" w:eastAsia="仿宋_GB2312"/>
                <w:sz w:val="21"/>
              </w:rPr>
              <w:t>PP材质，快速接头的底座与插头部分全部采用耐酸碱的高分子塑料，可以有效的防止酸碱腐蚀，增强了耐磨性，单手操作就可完成。</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方槽盖：整体成型，透明设计，盖与槽面结合紧密，把手与盖体为一体成型。</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内镜烘干机：对内镜外表面进行干燥。风量大、干燥速度快、操作简便</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水气枪：手握式按压，</w:t>
            </w:r>
            <w:r>
              <w:rPr>
                <w:rFonts w:ascii="仿宋_GB2312" w:hAnsi="仿宋_GB2312" w:cs="仿宋_GB2312" w:eastAsia="仿宋_GB2312"/>
                <w:sz w:val="21"/>
              </w:rPr>
              <w:t>304不锈钢材质。</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中心气体处理器：气压调节范围：</w:t>
            </w:r>
            <w:r>
              <w:rPr>
                <w:rFonts w:ascii="仿宋_GB2312" w:hAnsi="仿宋_GB2312" w:cs="仿宋_GB2312" w:eastAsia="仿宋_GB2312"/>
                <w:sz w:val="21"/>
              </w:rPr>
              <w:t>0-0.75MPa，分离空气中的水分及其它杂质，为医用内窥镜清洗消毒设备提供干燥洁净的空气，设有注气压力调节器，为内镜腔道提供安全气压。</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无油空气压缩机：选用低噪音无油空压机，有主动散热、自动排水功能，最大供气压力</w:t>
            </w:r>
            <w:r>
              <w:rPr>
                <w:rFonts w:ascii="仿宋_GB2312" w:hAnsi="仿宋_GB2312" w:cs="仿宋_GB2312" w:eastAsia="仿宋_GB2312"/>
                <w:sz w:val="21"/>
              </w:rPr>
              <w:t>≥0.8MPa供气量≥60L/min，储气量≥22L。</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进排水装置：采用</w:t>
            </w:r>
            <w:r>
              <w:rPr>
                <w:rFonts w:ascii="仿宋_GB2312" w:hAnsi="仿宋_GB2312" w:cs="仿宋_GB2312" w:eastAsia="仿宋_GB2312"/>
                <w:sz w:val="21"/>
              </w:rPr>
              <w:t>304不锈钢材质水龙头，旋转式设计，有冷热水接口，冷热水开关独立控制。多层防腐防锈处理，可承受强酸强碱环境的使用：PPR冷热水管材和管件，符合GB/T18742.3-2017中PP-R管件要求。排水系统采用：PVC钢丝排水软管及PVC-U专用排水管及管件。功能槽水龙头具有过滤功能，过滤网孔径≤250µm（≥60目）。</w:t>
            </w:r>
          </w:p>
          <w:p>
            <w:pPr>
              <w:pStyle w:val="null3"/>
              <w:jc w:val="both"/>
            </w:pP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标的名称：过敏原检查设备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▲检测方法：免疫印迹法。</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▲全流程全自动操作。</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检测通量：双模块，膜条容量</w:t>
            </w:r>
            <w:r>
              <w:rPr>
                <w:rFonts w:ascii="仿宋_GB2312" w:hAnsi="仿宋_GB2312" w:cs="仿宋_GB2312" w:eastAsia="仿宋_GB2312"/>
                <w:sz w:val="21"/>
              </w:rPr>
              <w:t>≥50条。</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加样体积：</w:t>
            </w:r>
            <w:r>
              <w:rPr>
                <w:rFonts w:ascii="仿宋_GB2312" w:hAnsi="仿宋_GB2312" w:cs="仿宋_GB2312" w:eastAsia="仿宋_GB2312"/>
                <w:sz w:val="21"/>
              </w:rPr>
              <w:t>10-1500μL，1μL为单位可调。</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▲支持原始样本管直接上机检测。</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试剂分配精度：</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最小分配体积：</w:t>
            </w:r>
            <w:r>
              <w:rPr>
                <w:rFonts w:ascii="仿宋_GB2312" w:hAnsi="仿宋_GB2312" w:cs="仿宋_GB2312" w:eastAsia="仿宋_GB2312"/>
                <w:sz w:val="21"/>
              </w:rPr>
              <w:t>100μl。</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分配通道：</w:t>
            </w:r>
            <w:r>
              <w:rPr>
                <w:rFonts w:ascii="仿宋_GB2312" w:hAnsi="仿宋_GB2312" w:cs="仿宋_GB2312" w:eastAsia="仿宋_GB2312"/>
                <w:sz w:val="21"/>
              </w:rPr>
              <w:t>≥6个通道。</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具备液面检测、随量跟踪、立体防撞、堵针检测功能。</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独立的加样系统和试剂分注系统。</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▲可自动干燥膜条、自动扫描膜条、自动判读结果。</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▲支持双向LIS数据传输。</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配套试剂包括过敏原</w:t>
            </w:r>
            <w:r>
              <w:rPr>
                <w:rFonts w:ascii="仿宋_GB2312" w:hAnsi="仿宋_GB2312" w:cs="仿宋_GB2312" w:eastAsia="仿宋_GB2312"/>
                <w:sz w:val="21"/>
              </w:rPr>
              <w:t>IgE抗体、食物特异性IgG抗体、自身免疫性抗体检测等。</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★配备LIS报告工作站，负责安装调试双向LIS通讯（涉及的相关费用包含至本项目报价中）；配备扫描信息录入设备和报告数据输出设备。</w:t>
            </w:r>
          </w:p>
        </w:tc>
      </w:tr>
    </w:tbl>
    <w:p>
      <w:pPr>
        <w:pStyle w:val="null3"/>
        <w:jc w:val="left"/>
      </w:pPr>
      <w:r>
        <w:rPr>
          <w:rFonts w:ascii="仿宋_GB2312" w:hAnsi="仿宋_GB2312" w:cs="仿宋_GB2312" w:eastAsia="仿宋_GB2312"/>
        </w:rPr>
        <w:t>标的名称：动态心电图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适用于动态心电图的记录，记录盒具有</w:t>
            </w:r>
            <w:r>
              <w:rPr>
                <w:rFonts w:ascii="仿宋_GB2312" w:hAnsi="仿宋_GB2312" w:cs="仿宋_GB2312" w:eastAsia="仿宋_GB2312"/>
                <w:sz w:val="21"/>
              </w:rPr>
              <w:t>12</w:t>
            </w:r>
            <w:r>
              <w:rPr>
                <w:rFonts w:ascii="仿宋_GB2312" w:hAnsi="仿宋_GB2312" w:cs="仿宋_GB2312" w:eastAsia="仿宋_GB2312"/>
                <w:sz w:val="21"/>
              </w:rPr>
              <w:t>导联心电波形同步采集功能，连续采集记录时间</w:t>
            </w:r>
            <w:r>
              <w:rPr>
                <w:rFonts w:ascii="仿宋_GB2312" w:hAnsi="仿宋_GB2312" w:cs="仿宋_GB2312" w:eastAsia="仿宋_GB2312"/>
                <w:sz w:val="21"/>
              </w:rPr>
              <w:t>≥</w:t>
            </w:r>
            <w:r>
              <w:rPr>
                <w:rFonts w:ascii="仿宋_GB2312" w:hAnsi="仿宋_GB2312" w:cs="仿宋_GB2312" w:eastAsia="仿宋_GB2312"/>
                <w:sz w:val="21"/>
              </w:rPr>
              <w:t>48</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▲在没有外部电源的情况下，记录盒已经存储的数据能保存≥</w:t>
            </w:r>
            <w:r>
              <w:rPr>
                <w:rFonts w:ascii="仿宋_GB2312" w:hAnsi="仿宋_GB2312" w:cs="仿宋_GB2312" w:eastAsia="仿宋_GB2312"/>
                <w:sz w:val="21"/>
              </w:rPr>
              <w:t>72</w:t>
            </w:r>
            <w:r>
              <w:rPr>
                <w:rFonts w:ascii="仿宋_GB2312" w:hAnsi="仿宋_GB2312" w:cs="仿宋_GB2312" w:eastAsia="仿宋_GB2312"/>
                <w:sz w:val="21"/>
              </w:rPr>
              <w:t>小时。（提供具有国家认可的检验检测资质的检测机构出具的检测报告或者厂家出具的产品说明书或者厂家出具的产品彩页资料，并加盖投标人电子签章。）</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记录盒具有患者自助标记功能。</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▲记录盒</w:t>
            </w:r>
            <w:r>
              <w:rPr>
                <w:rFonts w:ascii="仿宋_GB2312" w:hAnsi="仿宋_GB2312" w:cs="仿宋_GB2312" w:eastAsia="仿宋_GB2312"/>
                <w:sz w:val="21"/>
              </w:rPr>
              <w:t>24</w:t>
            </w:r>
            <w:r>
              <w:rPr>
                <w:rFonts w:ascii="仿宋_GB2312" w:hAnsi="仿宋_GB2312" w:cs="仿宋_GB2312" w:eastAsia="仿宋_GB2312"/>
                <w:sz w:val="21"/>
              </w:rPr>
              <w:t>小时计时总误差</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秒。（提供具有国家认可的检验检测资质的检测机构出具的检测报告或者厂家出具的产品说明书或者厂家出具的产品彩页资料，并加盖投标人电子签章。）</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▲记录盒性能指标：输入阻抗≥</w:t>
            </w:r>
            <w:r>
              <w:rPr>
                <w:rFonts w:ascii="仿宋_GB2312" w:hAnsi="仿宋_GB2312" w:cs="仿宋_GB2312" w:eastAsia="仿宋_GB2312"/>
                <w:sz w:val="21"/>
              </w:rPr>
              <w:t>10M</w:t>
            </w:r>
            <w:r>
              <w:rPr>
                <w:rFonts w:ascii="仿宋_GB2312" w:hAnsi="仿宋_GB2312" w:cs="仿宋_GB2312" w:eastAsia="仿宋_GB2312"/>
                <w:sz w:val="21"/>
              </w:rPr>
              <w:t>Ω；共模抑制比≥</w:t>
            </w:r>
            <w:r>
              <w:rPr>
                <w:rFonts w:ascii="仿宋_GB2312" w:hAnsi="仿宋_GB2312" w:cs="仿宋_GB2312" w:eastAsia="仿宋_GB2312"/>
                <w:sz w:val="21"/>
              </w:rPr>
              <w:t>60dB</w:t>
            </w:r>
            <w:r>
              <w:rPr>
                <w:rFonts w:ascii="仿宋_GB2312" w:hAnsi="仿宋_GB2312" w:cs="仿宋_GB2312" w:eastAsia="仿宋_GB2312"/>
                <w:sz w:val="21"/>
              </w:rPr>
              <w:t>；增益精确度：最大振幅误差</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；增益稳定性：</w:t>
            </w:r>
            <w:r>
              <w:rPr>
                <w:rFonts w:ascii="仿宋_GB2312" w:hAnsi="仿宋_GB2312" w:cs="仿宋_GB2312" w:eastAsia="仿宋_GB2312"/>
                <w:sz w:val="21"/>
              </w:rPr>
              <w:t>24</w:t>
            </w:r>
            <w:r>
              <w:rPr>
                <w:rFonts w:ascii="仿宋_GB2312" w:hAnsi="仿宋_GB2312" w:cs="仿宋_GB2312" w:eastAsia="仿宋_GB2312"/>
                <w:sz w:val="21"/>
              </w:rPr>
              <w:t>小时增益变化</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；道间干扰</w:t>
            </w:r>
            <w:r>
              <w:rPr>
                <w:rFonts w:ascii="仿宋_GB2312" w:hAnsi="仿宋_GB2312" w:cs="仿宋_GB2312" w:eastAsia="仿宋_GB2312"/>
                <w:sz w:val="21"/>
              </w:rPr>
              <w:t>≤</w:t>
            </w:r>
            <w:r>
              <w:rPr>
                <w:rFonts w:ascii="仿宋_GB2312" w:hAnsi="仿宋_GB2312" w:cs="仿宋_GB2312" w:eastAsia="仿宋_GB2312"/>
                <w:sz w:val="21"/>
              </w:rPr>
              <w:t>0.2mV</w:t>
            </w:r>
            <w:r>
              <w:rPr>
                <w:rFonts w:ascii="仿宋_GB2312" w:hAnsi="仿宋_GB2312" w:cs="仿宋_GB2312" w:eastAsia="仿宋_GB2312"/>
                <w:sz w:val="21"/>
              </w:rPr>
              <w:t>；系统噪声</w:t>
            </w:r>
            <w:r>
              <w:rPr>
                <w:rFonts w:ascii="仿宋_GB2312" w:hAnsi="仿宋_GB2312" w:cs="仿宋_GB2312" w:eastAsia="仿宋_GB2312"/>
                <w:sz w:val="21"/>
              </w:rPr>
              <w:t>≤</w:t>
            </w:r>
            <w:r>
              <w:rPr>
                <w:rFonts w:ascii="仿宋_GB2312" w:hAnsi="仿宋_GB2312" w:cs="仿宋_GB2312" w:eastAsia="仿宋_GB2312"/>
                <w:sz w:val="21"/>
              </w:rPr>
              <w:t>50uV</w:t>
            </w:r>
            <w:r>
              <w:rPr>
                <w:rFonts w:ascii="仿宋_GB2312" w:hAnsi="仿宋_GB2312" w:cs="仿宋_GB2312" w:eastAsia="仿宋_GB2312"/>
                <w:sz w:val="21"/>
              </w:rPr>
              <w:t>；最小检测信号</w:t>
            </w:r>
            <w:r>
              <w:rPr>
                <w:rFonts w:ascii="仿宋_GB2312" w:hAnsi="仿宋_GB2312" w:cs="仿宋_GB2312" w:eastAsia="仿宋_GB2312"/>
                <w:sz w:val="21"/>
              </w:rPr>
              <w:t>≤</w:t>
            </w:r>
            <w:r>
              <w:rPr>
                <w:rFonts w:ascii="仿宋_GB2312" w:hAnsi="仿宋_GB2312" w:cs="仿宋_GB2312" w:eastAsia="仿宋_GB2312"/>
                <w:sz w:val="21"/>
              </w:rPr>
              <w:t>10Hz/50uV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分析软件采用</w:t>
            </w:r>
            <w:r>
              <w:rPr>
                <w:rFonts w:ascii="仿宋_GB2312" w:hAnsi="仿宋_GB2312" w:cs="仿宋_GB2312" w:eastAsia="仿宋_GB2312"/>
                <w:sz w:val="21"/>
              </w:rPr>
              <w:t>12</w:t>
            </w:r>
            <w:r>
              <w:rPr>
                <w:rFonts w:ascii="仿宋_GB2312" w:hAnsi="仿宋_GB2312" w:cs="仿宋_GB2312" w:eastAsia="仿宋_GB2312"/>
                <w:sz w:val="21"/>
              </w:rPr>
              <w:t>导联同步分析，并可选择任意通道为主分析通道。</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▲分析软件具有自动识别</w:t>
            </w:r>
            <w:r>
              <w:rPr>
                <w:rFonts w:ascii="仿宋_GB2312" w:hAnsi="仿宋_GB2312" w:cs="仿宋_GB2312" w:eastAsia="仿宋_GB2312"/>
                <w:sz w:val="21"/>
              </w:rPr>
              <w:t>QRS</w:t>
            </w:r>
            <w:r>
              <w:rPr>
                <w:rFonts w:ascii="仿宋_GB2312" w:hAnsi="仿宋_GB2312" w:cs="仿宋_GB2312" w:eastAsia="仿宋_GB2312"/>
                <w:sz w:val="21"/>
              </w:rPr>
              <w:t>波群功能和手动修改波形属性功能；分析软件能够显示和打印采集过程中任意时间的心电波形；分析软件能够自动识别心动过缓。（提供具有国家认可的检验检测资质的检测机构出具的检测报告或者厂家出具的产品说明书或者厂家出具的产品彩页资料，并加盖投标人电子签章。）</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分析软件具有波形分类处理功能。模板回顾分析中可调整</w:t>
            </w:r>
            <w:r>
              <w:rPr>
                <w:rFonts w:ascii="仿宋_GB2312" w:hAnsi="仿宋_GB2312" w:cs="仿宋_GB2312" w:eastAsia="仿宋_GB2312"/>
                <w:sz w:val="21"/>
              </w:rPr>
              <w:t>R波高度、QRS波宽度、QRS波面积、RR间期、基线曲折度等分类参数的数值范围和使用Demix分析功能对当前模板中的心电波形进行再次细分。</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自动分析的统计数据报告至少包括：QRS敏感度和阳性预测值、VEB敏感度和阳性预测值、SVEB敏感度和阳性预测值；自动分析的心率报告至少包括：心率最低值、心率平均值和心率最高值。（提供具有国家认可的检验检测资质的检测机构出具的检测报告或者厂家出具的产品说明书或者厂家出具的产品彩页资料，并加盖投标人电子签章。）</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自动分析的心动过缓报告至少包括：每小时心动过缓片段的总数、特征心率和持续时间；自动分析的停搏报告至少包括：在操作者可选的绝对阈值或者制造商选择的参数基础上的停搏次数。</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软件具有数据接口，支持连接第三方系统，支持心电数据远程传输。</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提供开放式分析软件，可任意安装多台电脑供用户同时使用。</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★单台配置清单至少包括以下：</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动态心电记录盒（主机）</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心电导联线</w:t>
            </w:r>
            <w:r>
              <w:rPr>
                <w:rFonts w:ascii="仿宋_GB2312" w:hAnsi="仿宋_GB2312" w:cs="仿宋_GB2312" w:eastAsia="仿宋_GB2312"/>
                <w:sz w:val="21"/>
              </w:rPr>
              <w:t>1条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USB数据线1条</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心电电极片</w:t>
            </w:r>
            <w:r>
              <w:rPr>
                <w:rFonts w:ascii="仿宋_GB2312" w:hAnsi="仿宋_GB2312" w:cs="仿宋_GB2312" w:eastAsia="仿宋_GB2312"/>
                <w:sz w:val="21"/>
              </w:rPr>
              <w:t>1包（不低于50片/包）</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分析软件</w:t>
            </w:r>
            <w:r>
              <w:rPr>
                <w:rFonts w:ascii="仿宋_GB2312" w:hAnsi="仿宋_GB2312" w:cs="仿宋_GB2312" w:eastAsia="仿宋_GB2312"/>
                <w:sz w:val="21"/>
              </w:rPr>
              <w:t>1套。</w:t>
            </w:r>
          </w:p>
        </w:tc>
      </w:tr>
    </w:tbl>
    <w:p>
      <w:pPr>
        <w:pStyle w:val="null3"/>
        <w:jc w:val="left"/>
      </w:pPr>
      <w:r>
        <w:rPr>
          <w:rFonts w:ascii="仿宋_GB2312" w:hAnsi="仿宋_GB2312" w:cs="仿宋_GB2312" w:eastAsia="仿宋_GB2312"/>
        </w:rPr>
        <w:t>标的名称：骨创伤治疗仪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主要构成：主机、磁耦合盘（脉冲磁）、皮肤电极（电刺激）及静电极板（静电场）组成。</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结构形式：台式。</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显示方式：液晶显示界面。</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按键方式：一键飞梭的操作方式，所有功能的调节仅需通过对一个键施以旋转及按压动作即可全部完成。</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输出路（线）数：电刺激输出：</w:t>
            </w:r>
            <w:r>
              <w:rPr>
                <w:rFonts w:ascii="仿宋_GB2312" w:hAnsi="仿宋_GB2312" w:cs="仿宋_GB2312" w:eastAsia="仿宋_GB2312"/>
                <w:sz w:val="21"/>
              </w:rPr>
              <w:t>≥2路（4线）；脉冲磁输出：≥1路；静电场输出：≥1路（2线）。</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▲治疗功能要求：同时具备内生电流疗法（电刺激）、磁热疗法（脉冲磁）、高压静电疗法（静电场）三种功能。</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▲电刺激输出，治疗模式：≥4种，至少包含自动模式及手动模式。</w:t>
            </w:r>
          </w:p>
          <w:p>
            <w:pPr>
              <w:pStyle w:val="null3"/>
              <w:jc w:val="left"/>
            </w:pPr>
            <w:r>
              <w:rPr>
                <w:rFonts w:ascii="仿宋_GB2312" w:hAnsi="仿宋_GB2312" w:cs="仿宋_GB2312" w:eastAsia="仿宋_GB2312"/>
                <w:sz w:val="21"/>
              </w:rPr>
              <w:t>电刺激输出：</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定组频率：</w:t>
            </w:r>
            <w:r>
              <w:rPr>
                <w:rFonts w:ascii="仿宋_GB2312" w:hAnsi="仿宋_GB2312" w:cs="仿宋_GB2312" w:eastAsia="仿宋_GB2312"/>
                <w:sz w:val="21"/>
              </w:rPr>
              <w:t>≥4000Hz。</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动组频率：</w:t>
            </w:r>
            <w:r>
              <w:rPr>
                <w:rFonts w:ascii="仿宋_GB2312" w:hAnsi="仿宋_GB2312" w:cs="仿宋_GB2312" w:eastAsia="仿宋_GB2312"/>
                <w:sz w:val="21"/>
              </w:rPr>
              <w:t>4000-4150Hz。</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自动模式下动态差频自动变化范围：</w:t>
            </w:r>
            <w:r>
              <w:rPr>
                <w:rFonts w:ascii="仿宋_GB2312" w:hAnsi="仿宋_GB2312" w:cs="仿宋_GB2312" w:eastAsia="仿宋_GB2312"/>
                <w:sz w:val="21"/>
              </w:rPr>
              <w:t>0-150Hz。</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自动模式下动态差频自动变化周期：</w:t>
            </w:r>
            <w:r>
              <w:rPr>
                <w:rFonts w:ascii="仿宋_GB2312" w:hAnsi="仿宋_GB2312" w:cs="仿宋_GB2312" w:eastAsia="仿宋_GB2312"/>
                <w:sz w:val="21"/>
              </w:rPr>
              <w:t>0-60S。</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手动模式下固定差频手动调节范围：</w:t>
            </w:r>
            <w:r>
              <w:rPr>
                <w:rFonts w:ascii="仿宋_GB2312" w:hAnsi="仿宋_GB2312" w:cs="仿宋_GB2312" w:eastAsia="仿宋_GB2312"/>
                <w:sz w:val="21"/>
              </w:rPr>
              <w:t>0-150Hz，≥16档可调。</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输出电流：</w:t>
            </w:r>
            <w:r>
              <w:rPr>
                <w:rFonts w:ascii="仿宋_GB2312" w:hAnsi="仿宋_GB2312" w:cs="仿宋_GB2312" w:eastAsia="仿宋_GB2312"/>
                <w:sz w:val="21"/>
              </w:rPr>
              <w:t>≤100mA，逐档连续可调。</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开路电压：</w:t>
            </w:r>
            <w:r>
              <w:rPr>
                <w:rFonts w:ascii="仿宋_GB2312" w:hAnsi="仿宋_GB2312" w:cs="仿宋_GB2312" w:eastAsia="仿宋_GB2312"/>
                <w:sz w:val="21"/>
              </w:rPr>
              <w:t>≤500V。</w:t>
            </w:r>
          </w:p>
          <w:p>
            <w:pPr>
              <w:pStyle w:val="null3"/>
              <w:jc w:val="left"/>
            </w:pPr>
            <w:r>
              <w:rPr>
                <w:rFonts w:ascii="仿宋_GB2312" w:hAnsi="仿宋_GB2312" w:cs="仿宋_GB2312" w:eastAsia="仿宋_GB2312"/>
                <w:sz w:val="21"/>
              </w:rPr>
              <w:t>脉冲磁输出：</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治疗模式：</w:t>
            </w:r>
            <w:r>
              <w:rPr>
                <w:rFonts w:ascii="仿宋_GB2312" w:hAnsi="仿宋_GB2312" w:cs="仿宋_GB2312" w:eastAsia="仿宋_GB2312"/>
                <w:sz w:val="21"/>
              </w:rPr>
              <w:t>≥4种。</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磁感应强度：</w:t>
            </w:r>
            <w:r>
              <w:rPr>
                <w:rFonts w:ascii="仿宋_GB2312" w:hAnsi="仿宋_GB2312" w:cs="仿宋_GB2312" w:eastAsia="仿宋_GB2312"/>
                <w:sz w:val="21"/>
              </w:rPr>
              <w:t>11-53mT，≥8档可调。</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磁场频率：</w:t>
            </w:r>
            <w:r>
              <w:rPr>
                <w:rFonts w:ascii="仿宋_GB2312" w:hAnsi="仿宋_GB2312" w:cs="仿宋_GB2312" w:eastAsia="仿宋_GB2312"/>
                <w:sz w:val="21"/>
              </w:rPr>
              <w:t>2Hz-16Hz，≥8档可调。</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▲热疗功能。</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静电场输出</w:t>
            </w:r>
            <w:r>
              <w:rPr>
                <w:rFonts w:ascii="仿宋_GB2312" w:hAnsi="仿宋_GB2312" w:cs="仿宋_GB2312" w:eastAsia="仿宋_GB2312"/>
                <w:sz w:val="21"/>
              </w:rPr>
              <w:t>≥三档可调。</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定时范围：</w:t>
            </w:r>
            <w:r>
              <w:rPr>
                <w:rFonts w:ascii="仿宋_GB2312" w:hAnsi="仿宋_GB2312" w:cs="仿宋_GB2312" w:eastAsia="仿宋_GB2312"/>
                <w:sz w:val="21"/>
              </w:rPr>
              <w:t>1-99min。</w:t>
            </w:r>
          </w:p>
        </w:tc>
      </w:tr>
    </w:tbl>
    <w:p>
      <w:pPr>
        <w:pStyle w:val="null3"/>
        <w:jc w:val="left"/>
      </w:pPr>
      <w:r>
        <w:rPr>
          <w:rFonts w:ascii="仿宋_GB2312" w:hAnsi="仿宋_GB2312" w:cs="仿宋_GB2312" w:eastAsia="仿宋_GB2312"/>
        </w:rPr>
        <w:t>标的名称：洁牙机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输出的尖端主振动偏移（最大值）：</w:t>
            </w:r>
            <w:r>
              <w:rPr>
                <w:rFonts w:ascii="仿宋_GB2312" w:hAnsi="仿宋_GB2312" w:cs="仿宋_GB2312" w:eastAsia="仿宋_GB2312"/>
                <w:sz w:val="21"/>
              </w:rPr>
              <w:t>90μm，偏差±50%。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输出的尖端振动频率：</w:t>
            </w:r>
            <w:r>
              <w:rPr>
                <w:rFonts w:ascii="仿宋_GB2312" w:hAnsi="仿宋_GB2312" w:cs="仿宋_GB2312" w:eastAsia="仿宋_GB2312"/>
                <w:sz w:val="21"/>
              </w:rPr>
              <w:t>28kHz±3kHz。</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输出的半偏移力（最大值）：</w:t>
            </w:r>
            <w:r>
              <w:rPr>
                <w:rFonts w:ascii="仿宋_GB2312" w:hAnsi="仿宋_GB2312" w:cs="仿宋_GB2312" w:eastAsia="仿宋_GB2312"/>
                <w:sz w:val="21"/>
              </w:rPr>
              <w:t>2N，偏差±50%。</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尖端输出功率：</w:t>
            </w:r>
            <w:r>
              <w:rPr>
                <w:rFonts w:ascii="仿宋_GB2312" w:hAnsi="仿宋_GB2312" w:cs="仿宋_GB2312" w:eastAsia="仿宋_GB2312"/>
                <w:sz w:val="21"/>
              </w:rPr>
              <w:t>3W-20W。</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进水压力：</w:t>
            </w:r>
            <w:r>
              <w:rPr>
                <w:rFonts w:ascii="仿宋_GB2312" w:hAnsi="仿宋_GB2312" w:cs="仿宋_GB2312" w:eastAsia="仿宋_GB2312"/>
                <w:sz w:val="21"/>
              </w:rPr>
              <w:t>0.1bar-5bar（0.01MPA-0.5MPA）。</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主机重量：</w:t>
            </w:r>
            <w:r>
              <w:rPr>
                <w:rFonts w:ascii="仿宋_GB2312" w:hAnsi="仿宋_GB2312" w:cs="仿宋_GB2312" w:eastAsia="仿宋_GB2312"/>
                <w:sz w:val="21"/>
              </w:rPr>
              <w:t>≤2Kg。</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运行模式：连续运行。</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自动供水模式下可以使用双氧水、次氯酸钠、洗必泰等专用药液。</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▲采用全自动频率跟踪系统，工作时，实时反馈工作尖负载，实现实时频率跟踪。</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工作过程采用微电脑全自动控制。</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根据工况实时调整输出功率，保证功率输出稳定、高效。</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▲接插式手柄，手柄带LED灯，操作视野清晰。</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▲手柄能耐134℃高温和0.22Mpa高压消毒。</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★单台配置清单：</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接插式手柄</w:t>
            </w:r>
            <w:r>
              <w:rPr>
                <w:rFonts w:ascii="仿宋_GB2312" w:hAnsi="仿宋_GB2312" w:cs="仿宋_GB2312" w:eastAsia="仿宋_GB2312"/>
                <w:sz w:val="21"/>
              </w:rPr>
              <w:t>5支。</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限力扳手</w:t>
            </w:r>
            <w:r>
              <w:rPr>
                <w:rFonts w:ascii="仿宋_GB2312" w:hAnsi="仿宋_GB2312" w:cs="仿宋_GB2312" w:eastAsia="仿宋_GB2312"/>
                <w:sz w:val="21"/>
              </w:rPr>
              <w:t>1个。</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根管扳手</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工作尖</w:t>
            </w:r>
            <w:r>
              <w:rPr>
                <w:rFonts w:ascii="仿宋_GB2312" w:hAnsi="仿宋_GB2312" w:cs="仿宋_GB2312" w:eastAsia="仿宋_GB2312"/>
                <w:sz w:val="21"/>
              </w:rPr>
              <w:t>9枚。</w:t>
            </w:r>
          </w:p>
        </w:tc>
      </w:tr>
    </w:tbl>
    <w:p>
      <w:pPr>
        <w:pStyle w:val="null3"/>
        <w:jc w:val="left"/>
      </w:pPr>
      <w:r>
        <w:rPr>
          <w:rFonts w:ascii="仿宋_GB2312" w:hAnsi="仿宋_GB2312" w:cs="仿宋_GB2312" w:eastAsia="仿宋_GB2312"/>
        </w:rPr>
        <w:t>标的名称：根管测量仪器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电池：</w:t>
            </w:r>
            <w:r>
              <w:rPr>
                <w:rFonts w:ascii="仿宋_GB2312" w:hAnsi="仿宋_GB2312" w:cs="仿宋_GB2312" w:eastAsia="仿宋_GB2312"/>
                <w:sz w:val="21"/>
              </w:rPr>
              <w:t>≥3.7V/2000mAh。</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输出信号电压：</w:t>
            </w:r>
            <w:r>
              <w:rPr>
                <w:rFonts w:ascii="仿宋_GB2312" w:hAnsi="仿宋_GB2312" w:cs="仿宋_GB2312" w:eastAsia="仿宋_GB2312"/>
                <w:sz w:val="21"/>
              </w:rPr>
              <w:t>≤200mV。</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输出信号频率：</w:t>
            </w:r>
            <w:r>
              <w:rPr>
                <w:rFonts w:ascii="仿宋_GB2312" w:hAnsi="仿宋_GB2312" w:cs="仿宋_GB2312" w:eastAsia="仿宋_GB2312"/>
                <w:sz w:val="21"/>
              </w:rPr>
              <w:t>≤8kHz。</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功耗：</w:t>
            </w:r>
            <w:r>
              <w:rPr>
                <w:rFonts w:ascii="仿宋_GB2312" w:hAnsi="仿宋_GB2312" w:cs="仿宋_GB2312" w:eastAsia="仿宋_GB2312"/>
                <w:sz w:val="21"/>
              </w:rPr>
              <w:t>≤0.5W。</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显示：</w:t>
            </w:r>
            <w:r>
              <w:rPr>
                <w:rFonts w:ascii="仿宋_GB2312" w:hAnsi="仿宋_GB2312" w:cs="仿宋_GB2312" w:eastAsia="仿宋_GB2312"/>
                <w:sz w:val="21"/>
              </w:rPr>
              <w:t>≥3.8英寸。</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声响提示：工作针在接近根尖孔时会有报警声提示。</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重量：</w:t>
            </w:r>
            <w:r>
              <w:rPr>
                <w:rFonts w:ascii="仿宋_GB2312" w:hAnsi="仿宋_GB2312" w:cs="仿宋_GB2312" w:eastAsia="仿宋_GB2312"/>
                <w:sz w:val="21"/>
              </w:rPr>
              <w:t>610g±10%。</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★单台配置清单：</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测量线：</w:t>
            </w:r>
            <w:r>
              <w:rPr>
                <w:rFonts w:ascii="仿宋_GB2312" w:hAnsi="仿宋_GB2312" w:cs="仿宋_GB2312" w:eastAsia="仿宋_GB2312"/>
                <w:sz w:val="21"/>
              </w:rPr>
              <w:t>1根。</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锉夹：</w:t>
            </w:r>
            <w:r>
              <w:rPr>
                <w:rFonts w:ascii="仿宋_GB2312" w:hAnsi="仿宋_GB2312" w:cs="仿宋_GB2312" w:eastAsia="仿宋_GB2312"/>
                <w:sz w:val="21"/>
              </w:rPr>
              <w:t>≥4根。</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唇挂钩：</w:t>
            </w:r>
            <w:r>
              <w:rPr>
                <w:rFonts w:ascii="仿宋_GB2312" w:hAnsi="仿宋_GB2312" w:cs="仿宋_GB2312" w:eastAsia="仿宋_GB2312"/>
                <w:sz w:val="21"/>
              </w:rPr>
              <w:t>≥5个。</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测量仪探针：</w:t>
            </w:r>
            <w:r>
              <w:rPr>
                <w:rFonts w:ascii="仿宋_GB2312" w:hAnsi="仿宋_GB2312" w:cs="仿宋_GB2312" w:eastAsia="仿宋_GB2312"/>
                <w:sz w:val="21"/>
              </w:rPr>
              <w:t>≥2根。</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牙髓活力探针：</w:t>
            </w:r>
            <w:r>
              <w:rPr>
                <w:rFonts w:ascii="仿宋_GB2312" w:hAnsi="仿宋_GB2312" w:cs="仿宋_GB2312" w:eastAsia="仿宋_GB2312"/>
                <w:sz w:val="21"/>
              </w:rPr>
              <w:t>≥2根。</w:t>
            </w:r>
          </w:p>
        </w:tc>
      </w:tr>
    </w:tbl>
    <w:p>
      <w:pPr>
        <w:pStyle w:val="null3"/>
        <w:jc w:val="left"/>
      </w:pPr>
      <w:r>
        <w:rPr>
          <w:rFonts w:ascii="仿宋_GB2312" w:hAnsi="仿宋_GB2312" w:cs="仿宋_GB2312" w:eastAsia="仿宋_GB2312"/>
        </w:rPr>
        <w:t>标的名称：根管预备机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功能简介</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适用于各类牙髓炎、牙髓坏死和各类根尖周炎的牙齿根管的预备和清理。</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特点</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采用实时反馈技术，对电机输出扭矩实时动态控制，有效预防断针。</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无线手柄，无线通信。</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无线充电，避免传统触点式充电接触不良；智能充电模式：底座内置电池作为充电电源。</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全触摸按键。</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连续模式：</w:t>
            </w:r>
            <w:r>
              <w:rPr>
                <w:rFonts w:ascii="仿宋_GB2312" w:hAnsi="仿宋_GB2312" w:cs="仿宋_GB2312" w:eastAsia="仿宋_GB2312"/>
                <w:sz w:val="21"/>
              </w:rPr>
              <w:t>≥三种智能反转模式。</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往复模式：匹配市面上所有单支锉。</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集成根管长度测量功能，实现根管预备和根管长度测量协同使用。</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无刷电机，低噪音，使用寿命长。</w:t>
            </w:r>
          </w:p>
        </w:tc>
      </w:tr>
    </w:tbl>
    <w:p>
      <w:pPr>
        <w:pStyle w:val="null3"/>
        <w:jc w:val="left"/>
      </w:pPr>
      <w:r>
        <w:rPr>
          <w:rFonts w:ascii="仿宋_GB2312" w:hAnsi="仿宋_GB2312" w:cs="仿宋_GB2312" w:eastAsia="仿宋_GB2312"/>
        </w:rPr>
        <w:t>标的名称：口腔扫描仪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主机：</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扫描条件：直接扫描，无需喷粉。</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数字印模：真彩技术。</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扫描光源：</w:t>
            </w:r>
            <w:r>
              <w:rPr>
                <w:rFonts w:ascii="仿宋_GB2312" w:hAnsi="仿宋_GB2312" w:cs="仿宋_GB2312" w:eastAsia="仿宋_GB2312"/>
                <w:sz w:val="21"/>
              </w:rPr>
              <w:t>LED。</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扫描头可拆卸高温高压消毒。</w:t>
            </w:r>
            <w:r>
              <w:rPr>
                <w:rFonts w:ascii="仿宋_GB2312" w:hAnsi="仿宋_GB2312" w:cs="仿宋_GB2312" w:eastAsia="仿宋_GB2312"/>
                <w:sz w:val="21"/>
              </w:rPr>
              <w:t>可自动记录使用时间并带有防起雾功能。</w:t>
            </w:r>
          </w:p>
          <w:p>
            <w:pPr>
              <w:pStyle w:val="null3"/>
              <w:jc w:val="left"/>
            </w:pPr>
            <w:r>
              <w:rPr>
                <w:rFonts w:ascii="仿宋_GB2312" w:hAnsi="仿宋_GB2312" w:cs="仿宋_GB2312" w:eastAsia="仿宋_GB2312"/>
                <w:sz w:val="21"/>
                <w:b/>
              </w:rPr>
              <w:t>扫描精度：</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单冠准确度：</w:t>
            </w:r>
            <w:r>
              <w:rPr>
                <w:rFonts w:ascii="仿宋_GB2312" w:hAnsi="仿宋_GB2312" w:cs="仿宋_GB2312" w:eastAsia="仿宋_GB2312"/>
                <w:sz w:val="21"/>
              </w:rPr>
              <w:t>≤10µm；单冠精密度：≤7µm。</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象限牙列：准确度</w:t>
            </w:r>
            <w:r>
              <w:rPr>
                <w:rFonts w:ascii="仿宋_GB2312" w:hAnsi="仿宋_GB2312" w:cs="仿宋_GB2312" w:eastAsia="仿宋_GB2312"/>
                <w:sz w:val="21"/>
              </w:rPr>
              <w:t>≤25µm。</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全牙列：准确度</w:t>
            </w:r>
            <w:r>
              <w:rPr>
                <w:rFonts w:ascii="仿宋_GB2312" w:hAnsi="仿宋_GB2312" w:cs="仿宋_GB2312" w:eastAsia="仿宋_GB2312"/>
                <w:sz w:val="21"/>
              </w:rPr>
              <w:t>≤35µm。</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扫描仪：</w:t>
            </w:r>
            <w:r>
              <w:rPr>
                <w:rFonts w:ascii="仿宋_GB2312" w:hAnsi="仿宋_GB2312" w:cs="仿宋_GB2312" w:eastAsia="仿宋_GB2312"/>
                <w:sz w:val="21"/>
              </w:rPr>
              <w:t>≤350g（包含扫描头）。</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手柄尺寸：</w:t>
            </w:r>
            <w:r>
              <w:rPr>
                <w:rFonts w:ascii="仿宋_GB2312" w:hAnsi="仿宋_GB2312" w:cs="仿宋_GB2312" w:eastAsia="仿宋_GB2312"/>
                <w:sz w:val="21"/>
              </w:rPr>
              <w:t>≤300×45×55mm。</w:t>
            </w:r>
          </w:p>
          <w:p>
            <w:pPr>
              <w:pStyle w:val="null3"/>
              <w:jc w:val="left"/>
            </w:pPr>
            <w:r>
              <w:rPr>
                <w:rFonts w:ascii="仿宋_GB2312" w:hAnsi="仿宋_GB2312" w:cs="仿宋_GB2312" w:eastAsia="仿宋_GB2312"/>
                <w:sz w:val="21"/>
                <w:b/>
              </w:rPr>
              <w:t>扫描、数据处理工作站：</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CPU：性能不低于酷睿i7同档次及以上。</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内存：</w:t>
            </w:r>
            <w:r>
              <w:rPr>
                <w:rFonts w:ascii="仿宋_GB2312" w:hAnsi="仿宋_GB2312" w:cs="仿宋_GB2312" w:eastAsia="仿宋_GB2312"/>
                <w:sz w:val="21"/>
              </w:rPr>
              <w:t>≥32GB；硬盘≥500GB。</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显示屏</w:t>
            </w:r>
            <w:r>
              <w:rPr>
                <w:rFonts w:ascii="仿宋_GB2312" w:hAnsi="仿宋_GB2312" w:cs="仿宋_GB2312" w:eastAsia="仿宋_GB2312"/>
                <w:sz w:val="21"/>
              </w:rPr>
              <w:t>≥16英寸。</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独立显卡，显存</w:t>
            </w:r>
            <w:r>
              <w:rPr>
                <w:rFonts w:ascii="仿宋_GB2312" w:hAnsi="仿宋_GB2312" w:cs="仿宋_GB2312" w:eastAsia="仿宋_GB2312"/>
                <w:sz w:val="21"/>
              </w:rPr>
              <w:t>≥8GB。</w:t>
            </w:r>
          </w:p>
          <w:p>
            <w:pPr>
              <w:pStyle w:val="null3"/>
              <w:jc w:val="left"/>
            </w:pPr>
            <w:r>
              <w:rPr>
                <w:rFonts w:ascii="仿宋_GB2312" w:hAnsi="仿宋_GB2312" w:cs="仿宋_GB2312" w:eastAsia="仿宋_GB2312"/>
                <w:sz w:val="21"/>
                <w:b/>
              </w:rPr>
              <w:t>扫描和图像处理软件：</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具备单冠、桥体（最长</w:t>
            </w:r>
            <w:r>
              <w:rPr>
                <w:rFonts w:ascii="仿宋_GB2312" w:hAnsi="仿宋_GB2312" w:cs="仿宋_GB2312" w:eastAsia="仿宋_GB2312"/>
                <w:sz w:val="21"/>
              </w:rPr>
              <w:t>≥14个单位）扫描功能。</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全口扫描时间：</w:t>
            </w:r>
            <w:r>
              <w:rPr>
                <w:rFonts w:ascii="仿宋_GB2312" w:hAnsi="仿宋_GB2312" w:cs="仿宋_GB2312" w:eastAsia="仿宋_GB2312"/>
                <w:sz w:val="21"/>
              </w:rPr>
              <w:t>≤3min。</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最大扫描深度：</w:t>
            </w:r>
            <w:r>
              <w:rPr>
                <w:rFonts w:ascii="仿宋_GB2312" w:hAnsi="仿宋_GB2312" w:cs="仿宋_GB2312" w:eastAsia="仿宋_GB2312"/>
                <w:sz w:val="21"/>
              </w:rPr>
              <w:t>≥20mm，可依据口内情况调节扫描深度。</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数据智能优化，可去除扫描过程中获取的颊、舌黏膜信息。</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具备软组织扫描过滤功能，</w:t>
            </w:r>
            <w:r>
              <w:rPr>
                <w:rFonts w:ascii="仿宋_GB2312" w:hAnsi="仿宋_GB2312" w:cs="仿宋_GB2312" w:eastAsia="仿宋_GB2312"/>
                <w:sz w:val="21"/>
              </w:rPr>
              <w:t>≥3档可选，可分别用于常规修复、种植和正畸扫描、牙齿扫描和全口无牙颌扫描。</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具备下颌运动记录功能，可记录前伸、侧方、开合等运动轨迹。</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具备内窥镜功能，可以拍摄高清口内照片。</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具备面部三角区扫描功能，并将其与导入的</w:t>
            </w:r>
            <w:r>
              <w:rPr>
                <w:rFonts w:ascii="仿宋_GB2312" w:hAnsi="仿宋_GB2312" w:cs="仿宋_GB2312" w:eastAsia="仿宋_GB2312"/>
                <w:sz w:val="21"/>
              </w:rPr>
              <w:t>3D面部扫描数据或通过CT拍摄的3D骨骼数据对齐。</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具备金属扫描优化功能，可以扫描患者口内金属托槽或修复体。</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具备倒凹观察、咬合距离检测、对颌测量、边缘线测量功能。</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多咬合功能：一个病例可最多获取五种咬合关系；覆盖正中、前伸、侧方等多种咬合状态。</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具备正畸模拟功能，</w:t>
            </w:r>
            <w:r>
              <w:rPr>
                <w:rFonts w:ascii="仿宋_GB2312" w:hAnsi="仿宋_GB2312" w:cs="仿宋_GB2312" w:eastAsia="仿宋_GB2312"/>
                <w:sz w:val="21"/>
              </w:rPr>
              <w:t>5分钟之内至少给出一种矫正模拟方案。</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具备建模加底座功能，可对口扫数据加底座、简单合架、标签等，用于</w:t>
            </w:r>
            <w:r>
              <w:rPr>
                <w:rFonts w:ascii="仿宋_GB2312" w:hAnsi="仿宋_GB2312" w:cs="仿宋_GB2312" w:eastAsia="仿宋_GB2312"/>
                <w:sz w:val="21"/>
              </w:rPr>
              <w:t>3D打印。</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具备修复设计功能，可设计单冠、桥、嵌体和贴面，用于切削或</w:t>
            </w:r>
            <w:r>
              <w:rPr>
                <w:rFonts w:ascii="仿宋_GB2312" w:hAnsi="仿宋_GB2312" w:cs="仿宋_GB2312" w:eastAsia="仿宋_GB2312"/>
                <w:sz w:val="21"/>
              </w:rPr>
              <w:t>3D打印。</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具备种植扫描杆数据库，可以扫描现场匹配种植体。支持对口内多颗种植体的扫描。</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开放系统，数字印模数据可对接至不同设计软件；数据可以导出，输出文件格式：</w:t>
            </w:r>
            <w:r>
              <w:rPr>
                <w:rFonts w:ascii="仿宋_GB2312" w:hAnsi="仿宋_GB2312" w:cs="仿宋_GB2312" w:eastAsia="仿宋_GB2312"/>
                <w:sz w:val="21"/>
              </w:rPr>
              <w:t>STL、OBJ、PLY，兼容第三方处理软件。</w:t>
            </w:r>
          </w:p>
          <w:p>
            <w:pPr>
              <w:pStyle w:val="null3"/>
              <w:jc w:val="left"/>
            </w:pPr>
            <w:r>
              <w:rPr>
                <w:rFonts w:ascii="仿宋_GB2312" w:hAnsi="仿宋_GB2312" w:cs="仿宋_GB2312" w:eastAsia="仿宋_GB2312"/>
                <w:sz w:val="21"/>
              </w:rPr>
              <w:t>30．</w:t>
            </w:r>
            <w:r>
              <w:rPr>
                <w:rFonts w:ascii="仿宋_GB2312" w:hAnsi="仿宋_GB2312" w:cs="仿宋_GB2312" w:eastAsia="仿宋_GB2312"/>
                <w:sz w:val="21"/>
              </w:rPr>
              <w:t>具有一键传输口扫数据功能。</w:t>
            </w:r>
            <w:r>
              <w:rPr>
                <w:rFonts w:ascii="仿宋_GB2312" w:hAnsi="仿宋_GB2312" w:cs="仿宋_GB2312" w:eastAsia="仿宋_GB2312"/>
                <w:sz w:val="21"/>
              </w:rPr>
              <w:t>内含患者管理系统。</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提供网页版，支持登录同一账号实时查看和下载数据。</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★单台配置清单：</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w:t>
            </w:r>
            <w:r>
              <w:rPr>
                <w:rFonts w:ascii="仿宋_GB2312" w:hAnsi="仿宋_GB2312" w:cs="仿宋_GB2312" w:eastAsia="仿宋_GB2312"/>
                <w:sz w:val="21"/>
              </w:rPr>
              <w:t>1台</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扫描头：</w:t>
            </w:r>
            <w:r>
              <w:rPr>
                <w:rFonts w:ascii="仿宋_GB2312" w:hAnsi="仿宋_GB2312" w:cs="仿宋_GB2312" w:eastAsia="仿宋_GB2312"/>
                <w:sz w:val="21"/>
              </w:rPr>
              <w:t>4个</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校准工具：</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桌面支架：</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壁挂支架：</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扫描、数据处理工作站：</w:t>
            </w:r>
            <w:r>
              <w:rPr>
                <w:rFonts w:ascii="仿宋_GB2312" w:hAnsi="仿宋_GB2312" w:cs="仿宋_GB2312" w:eastAsia="仿宋_GB2312"/>
                <w:sz w:val="21"/>
              </w:rPr>
              <w:t>1套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扫描、数据处理软件：</w:t>
            </w:r>
            <w:r>
              <w:rPr>
                <w:rFonts w:ascii="仿宋_GB2312" w:hAnsi="仿宋_GB2312" w:cs="仿宋_GB2312" w:eastAsia="仿宋_GB2312"/>
                <w:sz w:val="21"/>
              </w:rPr>
              <w:t>1套</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标的名称：光固化灯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技术参数：</w:t>
            </w:r>
          </w:p>
          <w:p>
            <w:pPr>
              <w:pStyle w:val="null3"/>
              <w:jc w:val="left"/>
            </w:pPr>
            <w:r>
              <w:rPr>
                <w:rFonts w:ascii="仿宋_GB2312" w:hAnsi="仿宋_GB2312" w:cs="仿宋_GB2312" w:eastAsia="仿宋_GB2312"/>
                <w:sz w:val="21"/>
                <w:b/>
              </w:rPr>
              <w:t>主机部分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设备光强输出波长为</w:t>
            </w:r>
            <w:r>
              <w:rPr>
                <w:rFonts w:ascii="仿宋_GB2312" w:hAnsi="仿宋_GB2312" w:cs="仿宋_GB2312" w:eastAsia="仿宋_GB2312"/>
                <w:sz w:val="21"/>
              </w:rPr>
              <w:t>385nm-515nm，可聚合绝大部分牙科光固化材料。</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可支持输出</w:t>
            </w:r>
            <w:r>
              <w:rPr>
                <w:rFonts w:ascii="仿宋_GB2312" w:hAnsi="仿宋_GB2312" w:cs="仿宋_GB2312" w:eastAsia="仿宋_GB2312"/>
                <w:sz w:val="21"/>
              </w:rPr>
              <w:t>≥四挡光强：至少包括2300mW/c㎡、1500mW/c㎡、1000mW/c㎡、600mW/c㎡分别适用于极速固化、大块树脂深度固化、软启动和脉冲模式下有效固化防止树脂材料的应力收缩和龋齿检测，各挡光强皆可供医生自行设置固化时间。</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动力支持：搭载</w:t>
            </w:r>
            <w:r>
              <w:rPr>
                <w:rFonts w:ascii="仿宋_GB2312" w:hAnsi="仿宋_GB2312" w:cs="仿宋_GB2312" w:eastAsia="仿宋_GB2312"/>
                <w:sz w:val="21"/>
              </w:rPr>
              <w:t>1600mAh大容量电池，可支持1200次3秒固化。</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光强可视：搭载</w:t>
            </w:r>
            <w:r>
              <w:rPr>
                <w:rFonts w:ascii="仿宋_GB2312" w:hAnsi="仿宋_GB2312" w:cs="仿宋_GB2312" w:eastAsia="仿宋_GB2312"/>
                <w:sz w:val="21"/>
              </w:rPr>
              <w:t>OLED屏幕，清晰显示模式、光强、固化时间及主机电量。</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工作模式包含高效模式、软启动模式、脉冲模式、龋齿检测模式。</w:t>
            </w:r>
          </w:p>
          <w:p>
            <w:pPr>
              <w:pStyle w:val="null3"/>
              <w:jc w:val="left"/>
            </w:pPr>
            <w:r>
              <w:rPr>
                <w:rFonts w:ascii="仿宋_GB2312" w:hAnsi="仿宋_GB2312" w:cs="仿宋_GB2312" w:eastAsia="仿宋_GB2312"/>
                <w:sz w:val="21"/>
                <w:b/>
              </w:rPr>
              <w:t>灯头部分</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9mm厚超薄机头，轻松抵达后牙，保证近平行光输出。</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360°可旋转机头，轻松照射整个口腔。</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机头装置凸透镜，具有聚光作用，机头装置直径</w:t>
            </w:r>
            <w:r>
              <w:rPr>
                <w:rFonts w:ascii="仿宋_GB2312" w:hAnsi="仿宋_GB2312" w:cs="仿宋_GB2312" w:eastAsia="仿宋_GB2312"/>
                <w:sz w:val="21"/>
              </w:rPr>
              <w:t>9.5mm的凸透镜，具有聚光作用，光学有效面积达70.8m㎡。</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紫双色光：四灯珠分别为三颗蓝色</w:t>
            </w:r>
            <w:r>
              <w:rPr>
                <w:rFonts w:ascii="仿宋_GB2312" w:hAnsi="仿宋_GB2312" w:cs="仿宋_GB2312" w:eastAsia="仿宋_GB2312"/>
                <w:sz w:val="21"/>
              </w:rPr>
              <w:t>LED灯，一颗紫色LED灯。</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★单台配置清单：</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w:t>
            </w:r>
            <w:r>
              <w:rPr>
                <w:rFonts w:ascii="仿宋_GB2312" w:hAnsi="仿宋_GB2312" w:cs="仿宋_GB2312" w:eastAsia="仿宋_GB2312"/>
                <w:sz w:val="21"/>
              </w:rPr>
              <w:t>1个。</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CP光固化蓝紫光机头：1个。</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光固化一次性外套（</w:t>
            </w:r>
            <w:r>
              <w:rPr>
                <w:rFonts w:ascii="仿宋_GB2312" w:hAnsi="仿宋_GB2312" w:cs="仿宋_GB2312" w:eastAsia="仿宋_GB2312"/>
                <w:sz w:val="21"/>
              </w:rPr>
              <w:t>1pcs）：100个。</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开关电源国标</w:t>
            </w:r>
            <w:r>
              <w:rPr>
                <w:rFonts w:ascii="仿宋_GB2312" w:hAnsi="仿宋_GB2312" w:cs="仿宋_GB2312" w:eastAsia="仿宋_GB2312"/>
                <w:sz w:val="21"/>
              </w:rPr>
              <w:t>-TPC（5V）：1个。</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光固化底座组件：</w:t>
            </w:r>
            <w:r>
              <w:rPr>
                <w:rFonts w:ascii="仿宋_GB2312" w:hAnsi="仿宋_GB2312" w:cs="仿宋_GB2312" w:eastAsia="仿宋_GB2312"/>
                <w:sz w:val="21"/>
              </w:rPr>
              <w:t>1个。</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光固化遮光板组件：</w:t>
            </w:r>
            <w:r>
              <w:rPr>
                <w:rFonts w:ascii="仿宋_GB2312" w:hAnsi="仿宋_GB2312" w:cs="仿宋_GB2312" w:eastAsia="仿宋_GB2312"/>
                <w:sz w:val="21"/>
              </w:rPr>
              <w:t>1个。</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光固化测光表：</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光固化遮光眼镜套装：</w:t>
            </w:r>
            <w:r>
              <w:rPr>
                <w:rFonts w:ascii="仿宋_GB2312" w:hAnsi="仿宋_GB2312" w:cs="仿宋_GB2312" w:eastAsia="仿宋_GB2312"/>
                <w:sz w:val="21"/>
              </w:rPr>
              <w:t>1个。</w:t>
            </w:r>
          </w:p>
        </w:tc>
      </w:tr>
    </w:tbl>
    <w:p>
      <w:pPr>
        <w:pStyle w:val="null3"/>
        <w:jc w:val="left"/>
      </w:pPr>
      <w:r>
        <w:rPr>
          <w:rFonts w:ascii="仿宋_GB2312" w:hAnsi="仿宋_GB2312" w:cs="仿宋_GB2312" w:eastAsia="仿宋_GB2312"/>
        </w:rPr>
        <w:t>标的名称：光子治疗仪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光源材料：半导体固态光源。</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峰值波长：</w:t>
            </w:r>
            <w:r>
              <w:rPr>
                <w:rFonts w:ascii="仿宋_GB2312" w:hAnsi="仿宋_GB2312" w:cs="仿宋_GB2312" w:eastAsia="仿宋_GB2312"/>
                <w:sz w:val="21"/>
              </w:rPr>
              <w:t>640nm±10nm。</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光功率密度</w:t>
            </w:r>
            <w:r>
              <w:rPr>
                <w:rFonts w:ascii="仿宋_GB2312" w:hAnsi="仿宋_GB2312" w:cs="仿宋_GB2312" w:eastAsia="仿宋_GB2312"/>
                <w:sz w:val="21"/>
              </w:rPr>
              <w:t>≥1500mW/c㎡。</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最大治疗面积</w:t>
            </w:r>
            <w:r>
              <w:rPr>
                <w:rFonts w:ascii="仿宋_GB2312" w:hAnsi="仿宋_GB2312" w:cs="仿宋_GB2312" w:eastAsia="仿宋_GB2312"/>
                <w:sz w:val="21"/>
              </w:rPr>
              <w:t>≥150c㎡。</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光杯口平面面积</w:t>
            </w:r>
            <w:r>
              <w:rPr>
                <w:rFonts w:ascii="仿宋_GB2312" w:hAnsi="仿宋_GB2312" w:cs="仿宋_GB2312" w:eastAsia="仿宋_GB2312"/>
                <w:sz w:val="21"/>
              </w:rPr>
              <w:t>≥52c㎡。</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▲最大治疗深度：治疗仪最大治疗深度≥10cm。</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输出光功率</w:t>
            </w:r>
            <w:r>
              <w:rPr>
                <w:rFonts w:ascii="仿宋_GB2312" w:hAnsi="仿宋_GB2312" w:cs="仿宋_GB2312" w:eastAsia="仿宋_GB2312"/>
                <w:sz w:val="21"/>
              </w:rPr>
              <w:t>≥8W。</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▲光功率稳定度：光功率变化率≤±1%。</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照射治疗模式：持续照射治疗。</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定时时间：可从</w:t>
            </w:r>
            <w:r>
              <w:rPr>
                <w:rFonts w:ascii="仿宋_GB2312" w:hAnsi="仿宋_GB2312" w:cs="仿宋_GB2312" w:eastAsia="仿宋_GB2312"/>
                <w:sz w:val="21"/>
              </w:rPr>
              <w:t>0min-99min连续可调。</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操作面板：数码显示、薄膜按键。</w:t>
            </w:r>
          </w:p>
        </w:tc>
      </w:tr>
    </w:tbl>
    <w:p>
      <w:pPr>
        <w:pStyle w:val="null3"/>
        <w:jc w:val="left"/>
      </w:pPr>
      <w:r>
        <w:rPr>
          <w:rFonts w:ascii="仿宋_GB2312" w:hAnsi="仿宋_GB2312" w:cs="仿宋_GB2312" w:eastAsia="仿宋_GB2312"/>
        </w:rPr>
        <w:t>标的名称：彩色多普勒脐血流检测仪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脐血流检查，显示并记录脐血流波形，打印脐血流检查报告，自动计算血流动力学参数：</w:t>
            </w:r>
            <w:r>
              <w:rPr>
                <w:rFonts w:ascii="仿宋_GB2312" w:hAnsi="仿宋_GB2312" w:cs="仿宋_GB2312" w:eastAsia="仿宋_GB2312"/>
                <w:sz w:val="21"/>
              </w:rPr>
              <w:t>FVR、S/D、PI、RI等。</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血流监测：双向血流识别，高清晰血流声音监听。</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同屏显示胎心率、胎心率短趋势图功能。</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实时计算和显示脐血流频谱，自动计算瞬时参数，自动计算包络和任意截取一段典型图谱进行分析，支持双向频谱</w:t>
            </w:r>
            <w:r>
              <w:rPr>
                <w:rFonts w:ascii="仿宋_GB2312" w:hAnsi="仿宋_GB2312" w:cs="仿宋_GB2312" w:eastAsia="仿宋_GB2312"/>
                <w:sz w:val="21"/>
              </w:rPr>
              <w:t>/方向实时反转。</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血流速度测量范围</w:t>
            </w:r>
            <w:r>
              <w:rPr>
                <w:rFonts w:ascii="仿宋_GB2312" w:hAnsi="仿宋_GB2312" w:cs="仿宋_GB2312" w:eastAsia="仿宋_GB2312"/>
                <w:sz w:val="21"/>
              </w:rPr>
              <w:t>-56.25cm/s~+56.25cm/s。</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超声波束声强</w:t>
            </w:r>
            <w:r>
              <w:rPr>
                <w:rFonts w:ascii="仿宋_GB2312" w:hAnsi="仿宋_GB2312" w:cs="仿宋_GB2312" w:eastAsia="仿宋_GB2312"/>
                <w:sz w:val="21"/>
              </w:rPr>
              <w:t>lob＜30mW/c㎡，超声发射频率4MHz连续波。</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辅助诊断：参数超限含义提示，机内配备主要参数正常参考值。</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频谱色彩可调，显示色彩优化技术。</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彩色打印，</w:t>
            </w:r>
            <w:r>
              <w:rPr>
                <w:rFonts w:ascii="仿宋_GB2312" w:hAnsi="仿宋_GB2312" w:cs="仿宋_GB2312" w:eastAsia="仿宋_GB2312"/>
                <w:sz w:val="21"/>
              </w:rPr>
              <w:t>4种参数的正常值参考图，支持A4纸型。</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高性能的信号处理技术：抛物线预测包络算法</w:t>
            </w:r>
            <w:r>
              <w:rPr>
                <w:rFonts w:ascii="仿宋_GB2312" w:hAnsi="仿宋_GB2312" w:cs="仿宋_GB2312" w:eastAsia="仿宋_GB2312"/>
                <w:sz w:val="21"/>
              </w:rPr>
              <w:t>PPETM，频谱背景噪声抑制技术SPNRTM。</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病人资料检索功能。</w:t>
            </w:r>
            <w:r>
              <w:rPr>
                <w:rFonts w:ascii="仿宋_GB2312" w:hAnsi="仿宋_GB2312" w:cs="仿宋_GB2312" w:eastAsia="仿宋_GB2312"/>
                <w:sz w:val="21"/>
              </w:rPr>
              <w:t>具有存储、档案管理功能，智能报告与报告浏览。</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系统具有全中文界面。</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在线帮助系统。</w:t>
            </w:r>
            <w:r>
              <w:rPr>
                <w:rFonts w:ascii="仿宋_GB2312" w:hAnsi="仿宋_GB2312" w:cs="仿宋_GB2312" w:eastAsia="仿宋_GB2312"/>
                <w:sz w:val="21"/>
              </w:rPr>
              <w:t>支持扫码枪录入数据，简化业务流。</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具有</w:t>
            </w:r>
            <w:r>
              <w:rPr>
                <w:rFonts w:ascii="仿宋_GB2312" w:hAnsi="仿宋_GB2312" w:cs="仿宋_GB2312" w:eastAsia="仿宋_GB2312"/>
                <w:sz w:val="21"/>
              </w:rPr>
              <w:t>S/D趋势管理功能。</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设备支持多套正常值标准，方便医护人员选择自己的标准。</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具备手动测量，支持医护人员手动测量重要参数。</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具备术语维护功能，针对临床常见术语可以进行维护及选择。</w:t>
            </w:r>
          </w:p>
          <w:p>
            <w:pPr>
              <w:pStyle w:val="null3"/>
              <w:jc w:val="both"/>
            </w:pPr>
            <w:r>
              <w:rPr>
                <w:rFonts w:ascii="仿宋_GB2312" w:hAnsi="仿宋_GB2312" w:cs="仿宋_GB2312" w:eastAsia="仿宋_GB2312"/>
                <w:sz w:val="21"/>
              </w:rPr>
              <w:t>18．探头：标称频率：4.0MHz</w:t>
            </w:r>
            <w:r>
              <w:rPr>
                <w:rFonts w:ascii="仿宋_GB2312" w:hAnsi="仿宋_GB2312" w:cs="仿宋_GB2312" w:eastAsia="仿宋_GB2312"/>
                <w:sz w:val="21"/>
              </w:rPr>
              <w:t>；</w:t>
            </w:r>
            <w:r>
              <w:rPr>
                <w:rFonts w:ascii="仿宋_GB2312" w:hAnsi="仿宋_GB2312" w:cs="仿宋_GB2312" w:eastAsia="仿宋_GB2312"/>
                <w:sz w:val="21"/>
              </w:rPr>
              <w:t>工作频率：（</w:t>
            </w:r>
            <w:r>
              <w:rPr>
                <w:rFonts w:ascii="仿宋_GB2312" w:hAnsi="仿宋_GB2312" w:cs="仿宋_GB2312" w:eastAsia="仿宋_GB2312"/>
                <w:sz w:val="21"/>
              </w:rPr>
              <w:t>4.0±10%）MHz</w:t>
            </w:r>
            <w:r>
              <w:rPr>
                <w:rFonts w:ascii="仿宋_GB2312" w:hAnsi="仿宋_GB2312" w:cs="仿宋_GB2312" w:eastAsia="仿宋_GB2312"/>
                <w:sz w:val="21"/>
              </w:rPr>
              <w:t>；</w:t>
            </w:r>
            <w:r>
              <w:rPr>
                <w:rFonts w:ascii="仿宋_GB2312" w:hAnsi="仿宋_GB2312" w:cs="仿宋_GB2312" w:eastAsia="仿宋_GB2312"/>
                <w:sz w:val="21"/>
              </w:rPr>
              <w:t>峰值负声压：</w:t>
            </w:r>
            <w:r>
              <w:rPr>
                <w:rFonts w:ascii="仿宋_GB2312" w:hAnsi="仿宋_GB2312" w:cs="仿宋_GB2312" w:eastAsia="仿宋_GB2312"/>
                <w:sz w:val="21"/>
              </w:rPr>
              <w:t>P≤1Mpa</w:t>
            </w:r>
            <w:r>
              <w:rPr>
                <w:rFonts w:ascii="仿宋_GB2312" w:hAnsi="仿宋_GB2312" w:cs="仿宋_GB2312" w:eastAsia="仿宋_GB2312"/>
                <w:sz w:val="21"/>
              </w:rPr>
              <w:t>；</w:t>
            </w:r>
            <w:r>
              <w:rPr>
                <w:rFonts w:ascii="仿宋_GB2312" w:hAnsi="仿宋_GB2312" w:cs="仿宋_GB2312" w:eastAsia="仿宋_GB2312"/>
                <w:sz w:val="21"/>
              </w:rPr>
              <w:t>输出波束声强：</w:t>
            </w:r>
            <w:r>
              <w:rPr>
                <w:rFonts w:ascii="仿宋_GB2312" w:hAnsi="仿宋_GB2312" w:cs="仿宋_GB2312" w:eastAsia="仿宋_GB2312"/>
                <w:sz w:val="21"/>
              </w:rPr>
              <w:t>lob＜30Mw/c㎡</w:t>
            </w:r>
            <w:r>
              <w:rPr>
                <w:rFonts w:ascii="仿宋_GB2312" w:hAnsi="仿宋_GB2312" w:cs="仿宋_GB2312" w:eastAsia="仿宋_GB2312"/>
                <w:sz w:val="21"/>
              </w:rPr>
              <w:t>；</w:t>
            </w:r>
            <w:r>
              <w:rPr>
                <w:rFonts w:ascii="仿宋_GB2312" w:hAnsi="仿宋_GB2312" w:cs="仿宋_GB2312" w:eastAsia="仿宋_GB2312"/>
                <w:sz w:val="21"/>
              </w:rPr>
              <w:t>防水等级</w:t>
            </w:r>
            <w:r>
              <w:rPr>
                <w:rFonts w:ascii="仿宋_GB2312" w:hAnsi="仿宋_GB2312" w:cs="仿宋_GB2312" w:eastAsia="仿宋_GB2312"/>
                <w:sz w:val="21"/>
              </w:rPr>
              <w:t>≥IPX4。</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自合同签订之日起20日内交货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汉源县人民医院，采购人指定地点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1、预付款，签订合同后，达到付款条件起7日内，支付合同总金额的40.00%</w:t>
            </w:r>
          </w:p>
          <w:p>
            <w:pPr>
              <w:pStyle w:val="null3"/>
              <w:jc w:val="left"/>
            </w:pPr>
            <w:r>
              <w:rPr>
                <w:rFonts w:ascii="仿宋_GB2312" w:hAnsi="仿宋_GB2312" w:cs="仿宋_GB2312" w:eastAsia="仿宋_GB2312"/>
              </w:rPr>
              <w:t>2、尾款，产品交付并经验收合格后，达到付款条件起7日内，支付合同总金额的60.00%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采购人组织，根据招标文件要求、中标人投标文件及合同约定标准进行验收。验收时如发现所交付的货物有短装、次品、损坏或其它不符合标准及合同规定之情形者，采购人应做出详尽的现场记录，或由采购人及中标人双方签署备忘录，现场记录或备忘录可用作补充、缺失和更换损坏部件的有效证据，由此产生的时间延误与有关费用由中标人承担，验收期限相应顺延。若质量验收合格，双方签署质量验收报告。</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所有设备质保期三年，质保期从项目验收合格之日起开始计算。在质保期内，同一设备、同一质量问题连续三次维修仍无法正常使用的，须更换新设备，并对产品质量实行“三包”服务。在质保期外，提供设备的更换、维修只收取成本费用，不收取人工技术费用。（2）响应时间：接到故障通知后30分钟内响应，6小时内到达现场，12小时内排除故障。（3）提供完整的培训计划，为采购人培训1至2名维护、操作人员，直至能独立操作维护设备。</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1.1甲乙双方必须遵守本合同并执行合同中的各项规定，保证本合同的合法正常履行。若乙方擅自解除合同或因乙方原因导致甲方解除合同的，乙方应按合同总金额10%的标准向甲方支付违约金并赔偿损失，且不免除乙方应承担的其他违约责任。1.2如因乙方工作人员在履行职务过程中的疏忽、失职、过错等故意或者过失原因给甲方造成损失或侵害，包括但不限于甲方本身的财产损失、由此而导致的甲方对任何第三方的法律责任等，乙方对此均应承担全部的赔偿责任。（2）解决争议的方法2.1.双方因履行本合同而发生争议，应当友好协商或者经相关部门调解解决；协商或调解不成的，任何一方均可向甲方所在地人民法院诉讼解决。2.2.由此追索而产生的差旅费、律师费、诉讼费、保全费等一切费用由败诉方负担。</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自合同签订之日起20日内交货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汉源县人民医院，采购人指定地点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1、预付款，签订合同后，达到付款条件起7日内，支付合同总金额的40.00%</w:t>
            </w:r>
          </w:p>
          <w:p>
            <w:pPr>
              <w:pStyle w:val="null3"/>
              <w:jc w:val="left"/>
            </w:pPr>
            <w:r>
              <w:rPr>
                <w:rFonts w:ascii="仿宋_GB2312" w:hAnsi="仿宋_GB2312" w:cs="仿宋_GB2312" w:eastAsia="仿宋_GB2312"/>
              </w:rPr>
              <w:t>2、尾款，产品交付并经验收合格后，达到付款条件起7日内，支付合同总金额的60.00%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采购人组织，根据招标文件要求、中标人投标文件及合同约定标准进行验收。验收时如发现所交付的货物有短装、次品、损坏或其它不符合标准及合同规定之情形者，采购人应做出详尽的现场记录，或由采购人及中标人双方签署备忘录，现场记录或备忘录可用作补充、缺失和更换损坏部件的有效证据，由此产生的时间延误与有关费用由中标人承担，验收期限相应顺延。若质量验收合格，双方签署质量验收报告。</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所有设备质保期三年，质保期从项目验收合格之日起开始计算。在质保期内，同一设备、同一质量问题连续三次维修仍无法正常使用的，须更换新设备，并对产品质量实行“三包”服务。在质保期外，提供设备的更换、维修只收取成本费用，不收取人工技术费用。（2）响应时间：接到故障通知后30分钟内响应，6小时内到达现场，12小时内排除故障。（3）提供完整的培训计划，为采购人培训1至2名维护、操作人员，直至能独立操作维护设备。</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1.1甲乙双方必须遵守本合同并执行合同中的各项规定，保证本合同的合法正常履行。若乙方擅自解除合同或因乙方原因导致甲方解除合同的，乙方应按合同总金额10%的标准向甲方支付违约金并赔偿损失，且不免除乙方应承担的其他违约责任。1.2如因乙方工作人员在履行职务过程中的疏忽、失职、过错等故意或者过失原因给甲方造成损失或侵害，包括但不限于甲方本身的财产损失、由此而导致的甲方对任何第三方的法律责任等，乙方对此均应承担全部的赔偿责任。（2）解决争议的方法2.1.双方因履行本合同而发生争议，应当友好协商或者经相关部门调解解决；协商或调解不成的，任何一方均可向甲方所在地人民法院诉讼解决。2.2.由此追索而产生的差旅费、律师费、诉讼费、保全费等一切费用由败诉方负担。</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具有独立承担民事责任的能力提供以下证明材料：（1）独立法人机构提供下述证明材料：营业执照副本复印件（注：①在有效期内；②具有独立法人资格；③复印件加盖公章）；注：①企业若已更换为三证合一的则提供营业执照副本复印件，事业单位提供事业单位法人证书，其他组织提供营业执照等证明文件，自然人提供身份证明均具备此条同等效力。②根据国务院办公厅关于加快推进“多证合一”改革的指导意见（国办发〔2017〕41号）等政策要求，若资格要求涉及的登记、备案等有关事项和各类证照已实行多证合一的，提供多证合一证照副本复印件。（2）非独立法人机构提供下述证明材料：其他组织或自然人提供具有独立承担民事责任的能力的证明材料复印件。</w:t>
            </w:r>
          </w:p>
        </w:tc>
        <w:tc>
          <w:tcPr>
            <w:tcW w:type="dxa" w:w="1661"/>
          </w:tcPr>
          <w:p>
            <w:pPr>
              <w:pStyle w:val="null3"/>
              <w:jc w:val="left"/>
            </w:pPr>
            <w:r>
              <w:rPr>
                <w:rFonts w:ascii="仿宋_GB2312" w:hAnsi="仿宋_GB2312" w:cs="仿宋_GB2312" w:eastAsia="仿宋_GB2312"/>
              </w:rPr>
              <w:t>投标人应当提供的资格、资质性及其他类似效力要求的相关证明材料.docx,投标文件封面,投标（响应）函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具有独立承担民事责任的能力提供以下证明材料：（1）独立法人机构提供下述证明材料：营业执照副本复印件（注：①在有效期内；②具有独立法人资格；③复印件加盖公章）；注：①企业若已更换为三证合一的则提供营业执照副本复印件，事业单位提供事业单位法人证书，其他组织提供营业执照等证明文件，自然人提供身份证明均具备此条同等效力。②根据国务院办公厅关于加快推进“多证合一”改革的指导意见（国办发〔2017〕41号）等政策要求，若资格要求涉及的登记、备案等有关事项和各类证照已实行多证合一的，提供多证合一证照副本复印件。（2）非独立法人机构提供下述证明材料：其他组织或自然人提供具有独立承担民事责任的能力的证明材料复印件。</w:t>
            </w:r>
          </w:p>
        </w:tc>
        <w:tc>
          <w:tcPr>
            <w:tcW w:type="dxa" w:w="1661"/>
          </w:tcPr>
          <w:p>
            <w:pPr>
              <w:pStyle w:val="null3"/>
              <w:jc w:val="left"/>
            </w:pPr>
            <w:r>
              <w:rPr>
                <w:rFonts w:ascii="仿宋_GB2312" w:hAnsi="仿宋_GB2312" w:cs="仿宋_GB2312" w:eastAsia="仿宋_GB2312"/>
              </w:rPr>
              <w:t>投标人应当提供的资格、资质性及其他类似效力要求的相关证明材料.docx,投标文件封面,投标（响应）函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投标产品及其配置产品为医疗器械的，投标产品及其配置产品须符合《医疗器械注册与备案管理办法》要求并提供中华人民共和国医疗器械注册证或备案凭证；（提供相应证明材料并进行电子签章。）</w:t>
            </w:r>
          </w:p>
        </w:tc>
        <w:tc>
          <w:tcPr>
            <w:tcW w:type="dxa" w:w="3322"/>
          </w:tcPr>
          <w:p>
            <w:pPr>
              <w:pStyle w:val="null3"/>
              <w:jc w:val="left"/>
            </w:pPr>
            <w:r>
              <w:rPr>
                <w:rFonts w:ascii="仿宋_GB2312" w:hAnsi="仿宋_GB2312" w:cs="仿宋_GB2312" w:eastAsia="仿宋_GB2312"/>
              </w:rPr>
              <w:t>投标产品及其配置产品为医疗器械的，投标产品及其配置产品须符合《医疗器械注册与备案管理办法》要求并提供中华人民共和国医疗器械注册证或备案凭证；（提供相应证明材料并进行电子签章。）</w:t>
            </w:r>
          </w:p>
        </w:tc>
        <w:tc>
          <w:tcPr>
            <w:tcW w:type="dxa" w:w="1661"/>
          </w:tcPr>
          <w:p>
            <w:pPr>
              <w:pStyle w:val="null3"/>
              <w:jc w:val="left"/>
            </w:pPr>
            <w:r>
              <w:rPr>
                <w:rFonts w:ascii="仿宋_GB2312" w:hAnsi="仿宋_GB2312" w:cs="仿宋_GB2312" w:eastAsia="仿宋_GB2312"/>
              </w:rPr>
              <w:t>投标人应当提供的资格、资质性及其他类似效力要求的相关证明材料.docx,投标（响应）函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提供相应证明材料并进行电子签章）</w:t>
            </w:r>
          </w:p>
        </w:tc>
        <w:tc>
          <w:tcPr>
            <w:tcW w:type="dxa" w:w="3322"/>
          </w:tcPr>
          <w:p>
            <w:pPr>
              <w:pStyle w:val="null3"/>
              <w:jc w:val="left"/>
            </w:pPr>
            <w:r>
              <w:rPr>
                <w:rFonts w:ascii="仿宋_GB2312" w:hAnsi="仿宋_GB2312" w:cs="仿宋_GB2312" w:eastAsia="仿宋_GB2312"/>
              </w:rPr>
              <w:t>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提供相应证明材料并进行电子签章）</w:t>
            </w:r>
          </w:p>
        </w:tc>
        <w:tc>
          <w:tcPr>
            <w:tcW w:type="dxa" w:w="1661"/>
          </w:tcPr>
          <w:p>
            <w:pPr>
              <w:pStyle w:val="null3"/>
              <w:jc w:val="left"/>
            </w:pPr>
            <w:r>
              <w:rPr>
                <w:rFonts w:ascii="仿宋_GB2312" w:hAnsi="仿宋_GB2312" w:cs="仿宋_GB2312" w:eastAsia="仿宋_GB2312"/>
              </w:rPr>
              <w:t>投标人应当提供的资格、资质性及其他类似效力要求的相关证明材料.docx,投标（响应）函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本项目中拟采购的产品属于消毒产品的，投标产品须具备有效的《消毒产品卫生安全评价报告》</w:t>
            </w:r>
          </w:p>
        </w:tc>
        <w:tc>
          <w:tcPr>
            <w:tcW w:type="dxa" w:w="3322"/>
          </w:tcPr>
          <w:p>
            <w:pPr>
              <w:pStyle w:val="null3"/>
              <w:jc w:val="left"/>
            </w:pPr>
            <w:r>
              <w:rPr>
                <w:rFonts w:ascii="仿宋_GB2312" w:hAnsi="仿宋_GB2312" w:cs="仿宋_GB2312" w:eastAsia="仿宋_GB2312"/>
              </w:rPr>
              <w:t>投标产品若为新消毒产品，须提供有效的卫生许可批件；对消毒产品有国家行政管理部门出具的最新分类或不纳入管理的政策依据的，按最新政策提供上述证书并提供相关说明。</w:t>
            </w:r>
          </w:p>
        </w:tc>
        <w:tc>
          <w:tcPr>
            <w:tcW w:type="dxa" w:w="1661"/>
          </w:tcPr>
          <w:p>
            <w:pPr>
              <w:pStyle w:val="null3"/>
              <w:jc w:val="left"/>
            </w:pPr>
            <w:r>
              <w:rPr>
                <w:rFonts w:ascii="仿宋_GB2312" w:hAnsi="仿宋_GB2312" w:cs="仿宋_GB2312" w:eastAsia="仿宋_GB2312"/>
              </w:rPr>
              <w:t>投标人应当提供的资格、资质性及其他类似效力要求的相关证明材料.docx,投标（响应）函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本项目中拟采购的产品属于消毒产品的，投标产品生产厂家须具备有效的《消毒产品生产企业卫生许可证》</w:t>
            </w:r>
          </w:p>
        </w:tc>
        <w:tc>
          <w:tcPr>
            <w:tcW w:type="dxa" w:w="3322"/>
          </w:tcPr>
          <w:p>
            <w:pPr>
              <w:pStyle w:val="null3"/>
              <w:jc w:val="left"/>
            </w:pPr>
            <w:r>
              <w:rPr>
                <w:rFonts w:ascii="仿宋_GB2312" w:hAnsi="仿宋_GB2312" w:cs="仿宋_GB2312" w:eastAsia="仿宋_GB2312"/>
              </w:rPr>
              <w:t>提供所投消毒产品生产厂家有效的《消毒产品生产企业卫生许可证》或承诺函。</w:t>
            </w:r>
          </w:p>
        </w:tc>
        <w:tc>
          <w:tcPr>
            <w:tcW w:type="dxa" w:w="1661"/>
          </w:tcPr>
          <w:p>
            <w:pPr>
              <w:pStyle w:val="null3"/>
              <w:jc w:val="left"/>
            </w:pPr>
            <w:r>
              <w:rPr>
                <w:rFonts w:ascii="仿宋_GB2312" w:hAnsi="仿宋_GB2312" w:cs="仿宋_GB2312" w:eastAsia="仿宋_GB2312"/>
              </w:rPr>
              <w:t>投标人应当提供的资格、资质性及其他类似效力要求的相关证明材料.docx,投标（响应）函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投标产品及其配置产品为医疗器械的，投标产品及其配置产品须符合《医疗器械注册与备案管理办法》要求并提供中华人民共和国医疗器械注册证或备案凭证；（提供相应证明材料并进行电子签章。）</w:t>
            </w:r>
          </w:p>
        </w:tc>
        <w:tc>
          <w:tcPr>
            <w:tcW w:type="dxa" w:w="3322"/>
          </w:tcPr>
          <w:p>
            <w:pPr>
              <w:pStyle w:val="null3"/>
              <w:jc w:val="left"/>
            </w:pPr>
            <w:r>
              <w:rPr>
                <w:rFonts w:ascii="仿宋_GB2312" w:hAnsi="仿宋_GB2312" w:cs="仿宋_GB2312" w:eastAsia="仿宋_GB2312"/>
              </w:rPr>
              <w:t>投标产品及其配置产品为医疗器械的，投标产品及其配置产品须符合《医疗器械注册与备案管理办法》要求并提供中华人民共和国医疗器械注册证或备案凭证；（提供相应证明材料并进行电子签章。）</w:t>
            </w:r>
          </w:p>
        </w:tc>
        <w:tc>
          <w:tcPr>
            <w:tcW w:type="dxa" w:w="1661"/>
          </w:tcPr>
          <w:p>
            <w:pPr>
              <w:pStyle w:val="null3"/>
              <w:jc w:val="left"/>
            </w:pPr>
            <w:r>
              <w:rPr>
                <w:rFonts w:ascii="仿宋_GB2312" w:hAnsi="仿宋_GB2312" w:cs="仿宋_GB2312" w:eastAsia="仿宋_GB2312"/>
              </w:rPr>
              <w:t>投标人应当提供的资格、资质性及其他类似效力要求的相关证明材料.docx,投标（响应）函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提供相应证明材料并进行电子签章）</w:t>
            </w:r>
          </w:p>
        </w:tc>
        <w:tc>
          <w:tcPr>
            <w:tcW w:type="dxa" w:w="3322"/>
          </w:tcPr>
          <w:p>
            <w:pPr>
              <w:pStyle w:val="null3"/>
              <w:jc w:val="left"/>
            </w:pPr>
            <w:r>
              <w:rPr>
                <w:rFonts w:ascii="仿宋_GB2312" w:hAnsi="仿宋_GB2312" w:cs="仿宋_GB2312" w:eastAsia="仿宋_GB2312"/>
              </w:rPr>
              <w:t>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提供相应证明材料并进行电子签章）</w:t>
            </w:r>
          </w:p>
        </w:tc>
        <w:tc>
          <w:tcPr>
            <w:tcW w:type="dxa" w:w="1661"/>
          </w:tcPr>
          <w:p>
            <w:pPr>
              <w:pStyle w:val="null3"/>
              <w:jc w:val="left"/>
            </w:pPr>
            <w:r>
              <w:rPr>
                <w:rFonts w:ascii="仿宋_GB2312" w:hAnsi="仿宋_GB2312" w:cs="仿宋_GB2312" w:eastAsia="仿宋_GB2312"/>
              </w:rPr>
              <w:t>投标人应当提供的资格、资质性及其他类似效力要求的相关证明材料.docx,投标（响应）函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招标文件要求的其他实质性要求。</w:t>
            </w:r>
          </w:p>
        </w:tc>
        <w:tc>
          <w:tcPr>
            <w:tcW w:type="dxa" w:w="3322"/>
          </w:tcPr>
          <w:p>
            <w:pPr>
              <w:pStyle w:val="null3"/>
              <w:jc w:val="left"/>
            </w:pPr>
            <w:r>
              <w:rPr>
                <w:rFonts w:ascii="仿宋_GB2312" w:hAnsi="仿宋_GB2312" w:cs="仿宋_GB2312" w:eastAsia="仿宋_GB2312"/>
              </w:rPr>
              <w:t>招标文件要求的其他实质性要求。</w:t>
            </w:r>
          </w:p>
        </w:tc>
        <w:tc>
          <w:tcPr>
            <w:tcW w:type="dxa" w:w="1661"/>
          </w:tcPr>
          <w:p>
            <w:pPr>
              <w:pStyle w:val="null3"/>
              <w:jc w:val="left"/>
            </w:pPr>
            <w:r>
              <w:rPr>
                <w:rFonts w:ascii="仿宋_GB2312" w:hAnsi="仿宋_GB2312" w:cs="仿宋_GB2312" w:eastAsia="仿宋_GB2312"/>
              </w:rPr>
              <w:t>满足招标文件实质性要求和评分的证明材料.docx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招标文件要求的其他实质性要求。</w:t>
            </w:r>
          </w:p>
        </w:tc>
        <w:tc>
          <w:tcPr>
            <w:tcW w:type="dxa" w:w="3322"/>
          </w:tcPr>
          <w:p>
            <w:pPr>
              <w:pStyle w:val="null3"/>
              <w:jc w:val="left"/>
            </w:pPr>
            <w:r>
              <w:rPr>
                <w:rFonts w:ascii="仿宋_GB2312" w:hAnsi="仿宋_GB2312" w:cs="仿宋_GB2312" w:eastAsia="仿宋_GB2312"/>
              </w:rPr>
              <w:t>招标文件要求的其他实质性要求。</w:t>
            </w:r>
          </w:p>
        </w:tc>
        <w:tc>
          <w:tcPr>
            <w:tcW w:type="dxa" w:w="1661"/>
          </w:tcPr>
          <w:p>
            <w:pPr>
              <w:pStyle w:val="null3"/>
              <w:jc w:val="left"/>
            </w:pPr>
            <w:r>
              <w:rPr>
                <w:rFonts w:ascii="仿宋_GB2312" w:hAnsi="仿宋_GB2312" w:cs="仿宋_GB2312" w:eastAsia="仿宋_GB2312"/>
              </w:rPr>
              <w:t>满足招标文件实质性要求和评分的证明材料.docx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项目技术指标</w:t>
            </w:r>
          </w:p>
        </w:tc>
        <w:tc>
          <w:tcPr>
            <w:tcW w:type="dxa" w:w="2575"/>
          </w:tcPr>
          <w:p>
            <w:pPr>
              <w:pStyle w:val="null3"/>
              <w:jc w:val="left"/>
            </w:pPr>
            <w:r>
              <w:rPr>
                <w:rFonts w:ascii="仿宋_GB2312" w:hAnsi="仿宋_GB2312" w:cs="仿宋_GB2312" w:eastAsia="仿宋_GB2312"/>
              </w:rPr>
              <w:t>招标文件第三章中的技术要求（非实质性要求，非★部分）1.带“▲”技术要求部分得分=（▲条款总数-▲负偏离条数）/▲条款总数×42。（注：针对带“▲”条款，参考条数为14条，具体以实际条数为准）2.非带“▲”技术要求部分得分=（条款总数-负偏离条数）/条款总数×7。（注：针对非带“▲”条款，参考条数为70条，具体以实际条数为准）注：①各条技术要求若有证明材料要求，应按要求提供相关证明材料，若没有证明材料要求则按响应偏离表要求响应即可。②本项目参数较多，若投标人本项分值扣完，不能认定其未实质性响应。③数量的计算：招标文件第三章“技术参数与性能指标”（非实质性要求部分）”条款中：“1.”、“2.”、“3.”…标号作为计算条数。</w:t>
            </w:r>
          </w:p>
        </w:tc>
        <w:tc>
          <w:tcPr>
            <w:tcW w:type="dxa" w:w="831"/>
          </w:tcPr>
          <w:p>
            <w:pPr>
              <w:pStyle w:val="null3"/>
              <w:jc w:val="center"/>
            </w:pPr>
            <w:r>
              <w:rPr>
                <w:rFonts w:ascii="仿宋_GB2312" w:hAnsi="仿宋_GB2312" w:cs="仿宋_GB2312" w:eastAsia="仿宋_GB2312"/>
              </w:rPr>
              <w:t>49.0000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满足招标文件实质性要求和评分的证明材料.docx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评审小组根据投标人针对本项目编制的项目实施方案进行评审，包括：①人员配置及分工；②安装调试；③质量保障措施；④产品运输方案；⑤备品备件计划。5项内容，每有一项内容得1.8分，最多得9分。每一项内容中每出现一处错误或不足的扣0.9分，该项分值扣完为止。说明：（1）只是简单的复制采购需求内容，没有具体详细阐述的按照错误或不足处理。（2）错误或不足是指：非专门针对本项目或与本项目需求不匹配的情形；方案内容脱离项目实际情况；方案内容与采购需求不符合；涉及的规范及标准错误；项目信息错误；方案内容缺乏落地执行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满足招标文件实质性要求和评分的证明材料.docx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评审小组根据投标人针对本项目编制的售后服务方案进行评审，包括：①售后人员配置方案、②设备设施维修方案、③维修设备回访方案。④使用人员培训方案；⑤售后服务保障方案。5项内容，每有一项内容得2分，最多得10分。每一项内容中每出现一处错误或不足的扣1分，该项分值扣完为止。说明：（1）只是简单的复制采购需求内容，没有具体详细阐述的按照错误或不足处理。（2）错误或不足是指：非专门针对本项目或与本项目需求不匹配的情形；方案内容脱离项目实际情况；方案内容与采购需求不符合；涉及的规范及标准错误；项目信息错误；方案内容缺乏落地执行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满足招标文件实质性要求和评分的证明材料.docx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质保期承诺</w:t>
            </w:r>
          </w:p>
        </w:tc>
        <w:tc>
          <w:tcPr>
            <w:tcW w:type="dxa" w:w="2575"/>
          </w:tcPr>
          <w:p>
            <w:pPr>
              <w:pStyle w:val="null3"/>
              <w:jc w:val="left"/>
            </w:pPr>
            <w:r>
              <w:rPr>
                <w:rFonts w:ascii="仿宋_GB2312" w:hAnsi="仿宋_GB2312" w:cs="仿宋_GB2312" w:eastAsia="仿宋_GB2312"/>
              </w:rPr>
              <w:t>在满足质保期三年基础上供应商承诺为所投产品每增加两年质保期得一分。本项最多得两分。（提供承诺函，并明确总质保期）。</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满足招标文件实质性要求和评分的证明材料.docx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项目技术指标</w:t>
            </w:r>
          </w:p>
        </w:tc>
        <w:tc>
          <w:tcPr>
            <w:tcW w:type="dxa" w:w="2575"/>
          </w:tcPr>
          <w:p>
            <w:pPr>
              <w:pStyle w:val="null3"/>
              <w:jc w:val="left"/>
            </w:pPr>
            <w:r>
              <w:rPr>
                <w:rFonts w:ascii="仿宋_GB2312" w:hAnsi="仿宋_GB2312" w:cs="仿宋_GB2312" w:eastAsia="仿宋_GB2312"/>
              </w:rPr>
              <w:t>招标文件第三章中的技术要求（非实质性要求，非★部分）1.带“▲”技术要求部分得分=（▲条款总数-▲负偏离条数）/▲条款总数×36。（注：针对带“▲”条款，参考条数为18条，具体以实际条数为准）2.非带“▲”技术要求部分得分=（条款总数-负偏离条数）/条款总数×5。（注：针对非带“▲”条款，参考条数为125条，具体以实际条数为准）注：①各条技术要求若有证明材料要求，应按要求提供相关证明材料，若没有证明材料要求则按响应偏离表要求响应即可。②本项目参数较多，若投标人本项分值扣完，不能认定其未实质性响应。③数量的计算：招标文件第三章“技术参数与性能指标”（非实质性要求部分）”条款中：“1.”、“2.”、“3.”…标号作为计算条数。</w:t>
            </w:r>
          </w:p>
        </w:tc>
        <w:tc>
          <w:tcPr>
            <w:tcW w:type="dxa" w:w="831"/>
          </w:tcPr>
          <w:p>
            <w:pPr>
              <w:pStyle w:val="null3"/>
              <w:jc w:val="center"/>
            </w:pPr>
            <w:r>
              <w:rPr>
                <w:rFonts w:ascii="仿宋_GB2312" w:hAnsi="仿宋_GB2312" w:cs="仿宋_GB2312" w:eastAsia="仿宋_GB2312"/>
              </w:rPr>
              <w:t>41.0000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满足招标文件实质性要求和评分的证明材料.docx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评审小组根据投标人针对本项目编制的项目实施方案进行评审，包括：①人员配置及分工；②安装调试；③质量保障措施；④产品运输方案；⑤备品备件计划。5项内容，每有一项内容得3分，最多得15分。每一项内容中每出现一处错误或不足的扣1.5分，该项分值扣完为止。说明：（1）只是简单的复制采购需求内容，没有具体详细阐述的按照错误或不足处理。（2）错误或不足是指：非专门针对本项目或与本项目需求不匹配的情形；方案内容脱离项目实际情况；方案内容与采购需求不符合；涉及的规范及标准错误；项目信息错误；方案内容缺乏落地执行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满足招标文件实质性要求和评分的证明材料.docx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评审小组根据投标人针对本项目编制的售后服务方案进行评审，包括：①售后人员配置方案、②设备设施维修方案、③维修设备回访方案。④使用人员培训方案；⑤售后服务保障方案。5项内容，每有一项内容得2.4分，最多得12分。每一项内容中每出现一处错误或不足的扣1.2分，该项分值扣完为止。说明：（1）只是简单的复制采购需求内容，没有具体详细阐述的按照错误或不足处理。（2）错误或不足是指：非专门针对本项目或与本项目需求不匹配的情形；方案内容脱离项目实际情况；方案内容与采购需求不符合；涉及的规范及标准错误；项目信息错误；方案内容缺乏落地执行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满足招标文件实质性要求和评分的证明材料.docx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质保期承诺</w:t>
            </w:r>
          </w:p>
        </w:tc>
        <w:tc>
          <w:tcPr>
            <w:tcW w:type="dxa" w:w="2575"/>
          </w:tcPr>
          <w:p>
            <w:pPr>
              <w:pStyle w:val="null3"/>
              <w:jc w:val="left"/>
            </w:pPr>
            <w:r>
              <w:rPr>
                <w:rFonts w:ascii="仿宋_GB2312" w:hAnsi="仿宋_GB2312" w:cs="仿宋_GB2312" w:eastAsia="仿宋_GB2312"/>
              </w:rPr>
              <w:t>在满足质保期三年基础上供应商承诺为所投产品每增加两年质保期得一分。本项最多得两分。（提供承诺函，并明确总质保期）。</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满足招标文件实质性要求和评分的证明材料.docx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详见附件：投标人应当提供的资格、资质性及其他类似效力要求的相关证明材料.docx</w:t>
      </w:r>
    </w:p>
    <w:p>
      <w:pPr>
        <w:pStyle w:val="null3"/>
        <w:ind w:firstLine="960"/>
        <w:jc w:val="left"/>
      </w:pPr>
      <w:r>
        <w:rPr>
          <w:rFonts w:ascii="仿宋_GB2312" w:hAnsi="仿宋_GB2312" w:cs="仿宋_GB2312" w:eastAsia="仿宋_GB2312"/>
        </w:rPr>
        <w:t>详见附件：满足招标文件实质性要求和评分的证明材料.docx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详见附件：投标人应当提供的资格、资质性及其他类似效力要求的相关证明材料.docx</w:t>
      </w:r>
    </w:p>
    <w:p>
      <w:pPr>
        <w:pStyle w:val="null3"/>
        <w:ind w:firstLine="960"/>
        <w:jc w:val="left"/>
      </w:pPr>
      <w:r>
        <w:rPr>
          <w:rFonts w:ascii="仿宋_GB2312" w:hAnsi="仿宋_GB2312" w:cs="仿宋_GB2312" w:eastAsia="仿宋_GB2312"/>
        </w:rPr>
        <w:t>详见附件：满足招标文件实质性要求和评分的证明材料.docx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