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版本号：N510187202600003420260326001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石室东部学校标准化考点更新提能采购项目(二次)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N5101872026000034</w:t>
      </w:r>
    </w:p>
    <w:p>
      <w:pPr>
        <w:pStyle w:val="null3"/>
        <w:jc w:val="left"/>
        <w:outlineLvl w:val="2"/>
      </w:pPr>
      <w:r>
        <w:rPr>
          <w:rFonts w:ascii="仿宋_GB2312" w:hAnsi="仿宋_GB2312" w:cs="仿宋_GB2312" w:eastAsia="仿宋_GB2312"/>
          <w:sz w:val="28"/>
          <w:b/>
        </w:rPr>
        <w:t>成都东部新区第四中学校（成都石室东部新区实验学校）</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成都东部新区第四中学校（成都石室东部新区实验学校）</w:t>
      </w:r>
      <w:r>
        <w:rPr>
          <w:rFonts w:ascii="仿宋_GB2312" w:hAnsi="仿宋_GB2312" w:cs="仿宋_GB2312" w:eastAsia="仿宋_GB2312"/>
        </w:rPr>
        <w:t xml:space="preserve"> 委托，拟对 </w:t>
      </w:r>
      <w:r>
        <w:rPr>
          <w:rFonts w:ascii="仿宋_GB2312" w:hAnsi="仿宋_GB2312" w:cs="仿宋_GB2312" w:eastAsia="仿宋_GB2312"/>
        </w:rPr>
        <w:t>石室东部学校标准化考点更新提能采购项目(二次)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成都市东部新区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N5101872026000034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石室东部学校标准化考点更新提能采购项目(二次)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利用人工智能技术实时分析考试违规和异常行为，实现考场群体事件、考生异常行为、考务异常以及考试风险预警等，进一步提升考务管理效能，确保各类国家教育考试规范安全、公平公正。目前我校为解决视频巡查点位覆盖不全、考试期间无法与上级进行视频指挥调度、视频巡考终端数量不够、无线电信号5G信号屏蔽仪数量不够、播音覆盖不全面等问题，需新增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为有效缓解中小企业融资难、融资贵问题，成都市财政局、中国人民银行成都分行营业管理部制定了《成都市中小企业政府采购信用融资暂行办法》和《成都市级支持中小企业政府采购信用融资实施方案》，成都市范围内政府采购项目中标（成交）的中小微企业可向开展政府采购信用融资业务的银行提出融资申请（具体内容详见附件《供应商信用融资补充事宜》）。</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成都东部新区第四中学校（成都石室东部新区实验学校）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成都东部新区石盘街道向阳社区吴家祠社区3、4、5、6、11组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641419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028-87345666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13111881510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采购包1：649,320.00元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代理服务费收费标准：（1）依照成本加合理利润的原则，以中标金额作为计算基数，按差额定率累进法进行计算，并按以下费率标准（货物采购项目）收取：中标金额100万元以下，费率1.5%； （2）收款单位：四川国际招标有限责任公司 （3）开户行：中国民生银行股份有限公司成都分行营业部 （4）银行账号：9902001846379988 （5）采购合同签订前向代理机构交纳招标代理服务费。 （6）招标代理服务费交纳完成后，可按照以下温馨提示开具发票：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成都东部新区第四中学校（成都石室东部新区实验学校）</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成都东部新区第四中学校（成都石室东部新区实验学校）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按照本项目采购文件中“3.2技术要求”及中标文件进行验收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按照本项目采购文件中“3.3服务要求”及中标文件进行验收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成都东部新区第四中学校（成都石室东部新区实验学校）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联系人：雷老师</w:t>
      </w:r>
    </w:p>
    <w:p>
      <w:pPr>
        <w:pStyle w:val="null3"/>
        <w:jc w:val="left"/>
      </w:pPr>
      <w:r>
        <w:rPr>
          <w:rFonts w:ascii="仿宋_GB2312" w:hAnsi="仿宋_GB2312" w:cs="仿宋_GB2312" w:eastAsia="仿宋_GB2312"/>
        </w:rPr>
        <w:t>联系电话：028-87345666</w:t>
      </w:r>
    </w:p>
    <w:p>
      <w:pPr>
        <w:pStyle w:val="null3"/>
        <w:jc w:val="left"/>
      </w:pPr>
      <w:r>
        <w:rPr>
          <w:rFonts w:ascii="仿宋_GB2312" w:hAnsi="仿宋_GB2312" w:cs="仿宋_GB2312" w:eastAsia="仿宋_GB2312"/>
        </w:rPr>
        <w:t>地址：成都东部新区石盘街道向阳社区吴家祠社区3、4、5、6、11组</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联系电话：028-87797776转820/725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649,320.00</w:t>
      </w:r>
    </w:p>
    <w:p>
      <w:pPr>
        <w:pStyle w:val="null3"/>
        <w:jc w:val="left"/>
      </w:pPr>
      <w:r>
        <w:rPr>
          <w:rFonts w:ascii="仿宋_GB2312" w:hAnsi="仿宋_GB2312" w:cs="仿宋_GB2312" w:eastAsia="仿宋_GB2312"/>
        </w:rPr>
        <w:t>采购包最高限价（元）: 649,320.00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A02091199 其他视频设备</w:t>
            </w:r>
          </w:p>
        </w:tc>
        <w:tc>
          <w:tcPr>
            <w:tcW w:type="dxa" w:w="821"/>
          </w:tcPr>
          <w:p>
            <w:pPr>
              <w:pStyle w:val="null3"/>
              <w:jc w:val="left"/>
            </w:pPr>
            <w:r>
              <w:rPr>
                <w:rFonts w:ascii="仿宋_GB2312" w:hAnsi="仿宋_GB2312" w:cs="仿宋_GB2312" w:eastAsia="仿宋_GB2312"/>
              </w:rPr>
              <w:t>石室东部学校标准化考点更新提能</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649,320.00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石室东部学校标准化考点更新提能</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649,320.00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A02091199 其他视频设备</w:t>
            </w:r>
          </w:p>
        </w:tc>
        <w:tc>
          <w:tcPr>
            <w:tcW w:type="dxa" w:w="2492"/>
          </w:tcPr>
          <w:p>
            <w:pPr>
              <w:pStyle w:val="null3"/>
              <w:jc w:val="left"/>
            </w:pPr>
            <w:r>
              <w:rPr>
                <w:rFonts w:ascii="仿宋_GB2312" w:hAnsi="仿宋_GB2312" w:cs="仿宋_GB2312" w:eastAsia="仿宋_GB2312"/>
              </w:rPr>
              <w:t>石室东部学校标准化考点更新提能</w:t>
            </w:r>
          </w:p>
        </w:tc>
        <w:tc>
          <w:tcPr>
            <w:tcW w:type="dxa" w:w="2492"/>
          </w:tcPr>
          <w:p>
            <w:pPr>
              <w:pStyle w:val="null3"/>
              <w:jc w:val="left"/>
            </w:pPr>
            <w:r>
              <w:rPr>
                <w:rFonts w:ascii="仿宋_GB2312" w:hAnsi="仿宋_GB2312" w:cs="仿宋_GB2312" w:eastAsia="仿宋_GB2312"/>
              </w:rPr>
              <w:t>网上巡查摄像机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A02091199 其他视频设备</w:t>
            </w:r>
          </w:p>
        </w:tc>
        <w:tc>
          <w:tcPr>
            <w:tcW w:type="dxa" w:w="2492"/>
          </w:tcPr>
          <w:p>
            <w:pPr>
              <w:pStyle w:val="null3"/>
              <w:jc w:val="left"/>
            </w:pPr>
            <w:r>
              <w:rPr>
                <w:rFonts w:ascii="仿宋_GB2312" w:hAnsi="仿宋_GB2312" w:cs="仿宋_GB2312" w:eastAsia="仿宋_GB2312"/>
              </w:rPr>
              <w:t>石室东部学校标准化考点更新提能</w:t>
            </w:r>
          </w:p>
        </w:tc>
        <w:tc>
          <w:tcPr>
            <w:tcW w:type="dxa" w:w="2492"/>
          </w:tcPr>
          <w:p>
            <w:pPr>
              <w:pStyle w:val="null3"/>
              <w:jc w:val="left"/>
            </w:pPr>
            <w:r>
              <w:rPr>
                <w:rFonts w:ascii="仿宋_GB2312" w:hAnsi="仿宋_GB2312" w:cs="仿宋_GB2312" w:eastAsia="仿宋_GB2312"/>
              </w:rPr>
              <w:t>试卷保管柜、防盗门</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标的名称：石室东部学校标准化考点更新提能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single"/>
                <w:left w:val="single"/>
                <w:bottom w:val="single"/>
                <w:right w:val="single"/>
                <w:insideH w:val="single"/>
                <w:insideV w:val="single"/>
              </w:tblBorders>
            </w:tblPr>
            <w:tblGrid>
              <w:gridCol w:w="369"/>
              <w:gridCol w:w="1269"/>
              <w:gridCol w:w="388"/>
              <w:gridCol w:w="369"/>
              <w:gridCol w:w="502"/>
              <w:gridCol w:w="549"/>
              <w:gridCol w:w="587"/>
              <w:gridCol w:w="587"/>
              <w:gridCol w:w="530"/>
              <w:gridCol w:w="435"/>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标的名称</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数量</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单位</w:t>
                  </w:r>
                </w:p>
              </w:tc>
              <w:tc>
                <w:tcPr>
                  <w:tcW w:type="dxa" w:w="5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是否涉及核心产品</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是否涉及采购进口产品</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是否涉及强制采购节能产品</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是否涉及优先采购节能产品</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是否涉及优先采购环境标志产品</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所属行业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网上巡查摄像机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是</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试卷流转通道摄像机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流媒体存储平台</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存储专用硬盘</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块</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视频巡考终端</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POE</w:t>
                  </w:r>
                  <w:r>
                    <w:rPr>
                      <w:rFonts w:ascii="仿宋_GB2312" w:hAnsi="仿宋_GB2312" w:cs="仿宋_GB2312" w:eastAsia="仿宋_GB2312"/>
                      <w:sz w:val="20"/>
                    </w:rPr>
                    <w:t>交换机</w:t>
                  </w:r>
                  <w:r>
                    <w:rPr>
                      <w:rFonts w:ascii="仿宋_GB2312" w:hAnsi="仿宋_GB2312" w:cs="仿宋_GB2312" w:eastAsia="仿宋_GB2312"/>
                      <w:sz w:val="2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POE</w:t>
                  </w:r>
                  <w:r>
                    <w:rPr>
                      <w:rFonts w:ascii="仿宋_GB2312" w:hAnsi="仿宋_GB2312" w:cs="仿宋_GB2312" w:eastAsia="仿宋_GB2312"/>
                      <w:sz w:val="20"/>
                    </w:rPr>
                    <w:t>交换机</w:t>
                  </w:r>
                  <w:r>
                    <w:rPr>
                      <w:rFonts w:ascii="仿宋_GB2312" w:hAnsi="仿宋_GB2312" w:cs="仿宋_GB2312" w:eastAsia="仿宋_GB2312"/>
                      <w:sz w:val="2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光纤模块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壁挂模拟音箱</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六类网线</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箱</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电源线</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米</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试卷保管柜</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防盗门</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摄像头支架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光纤</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米</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光纤熔接</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芯</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立杆</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电源时序器</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否</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基础环境改造</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安装调试</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5585"/>
                  <w:gridSpan w:val="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说明：</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本项目属性为货物，不对非货物属性产品的所属行业进行认定。供应商在投标时仅对招标文件中明确所属行业的产品提供“中小企业声明函”。</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本项目“标的名称”、“核心产品”、“数量”、“所属行业”、“是否涉及采购进口产品”、“是否涉及强制采购节能产品”、“是否涉及优先采购节能产品”、“是否涉及优先采购环境标志产品” 的内容均以“采购清单”中的内容为准。</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tbl>
            <w:tblPr>
              <w:tblBorders>
                <w:top w:val="single"/>
                <w:left w:val="single"/>
                <w:bottom w:val="single"/>
                <w:right w:val="single"/>
                <w:insideH w:val="single"/>
                <w:insideV w:val="single"/>
              </w:tblBorders>
            </w:tblPr>
            <w:tblGrid>
              <w:gridCol w:w="475"/>
              <w:gridCol w:w="768"/>
              <w:gridCol w:w="4355"/>
            </w:tblGrid>
            <w:tr>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标的名称</w:t>
                  </w:r>
                </w:p>
              </w:tc>
              <w:tc>
                <w:tcPr>
                  <w:tcW w:type="dxa" w:w="43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技术参数与性能指标</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网上巡查摄像机</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嵌入式设备，具备实时操作系统，本身具有抗病毒和抗攻击功能；</w:t>
                  </w:r>
                  <w:r>
                    <w:br/>
                  </w:r>
                  <w:r>
                    <w:rPr>
                      <w:rFonts w:ascii="仿宋_GB2312" w:hAnsi="仿宋_GB2312" w:cs="仿宋_GB2312" w:eastAsia="仿宋_GB2312"/>
                      <w:sz w:val="20"/>
                    </w:rPr>
                    <w:t xml:space="preserve"> 2.符合《国家教育考试网上巡查系统视频标准技术规范(2017版)JY/T-KS-JS-2017-1》规定的H.264视频编码标准，支持 G.711 和 AAC 音频编码标准，并支持 PS、TS流封装，支持时间同步功能，支持网络时间协议（NTP）；</w:t>
                  </w:r>
                  <w:r>
                    <w:br/>
                  </w:r>
                  <w:r>
                    <w:rPr>
                      <w:rFonts w:ascii="仿宋_GB2312" w:hAnsi="仿宋_GB2312" w:cs="仿宋_GB2312" w:eastAsia="仿宋_GB2312"/>
                      <w:sz w:val="20"/>
                    </w:rPr>
                    <w:t xml:space="preserve"> 3.≥400万像素半球网络摄像机；至少支持Micro SD/SDHC/SDXC卡(≥256G)断网本地存储；至少支持DC12V或PoE(802.3af)供电功能，具有DC12V电源输出接口；内置麦克风、内置扬声器；含压铸铝合金材质支架；</w:t>
                  </w:r>
                  <w:r>
                    <w:br/>
                  </w:r>
                  <w:r>
                    <w:rPr>
                      <w:rFonts w:ascii="仿宋_GB2312" w:hAnsi="仿宋_GB2312" w:cs="仿宋_GB2312" w:eastAsia="仿宋_GB2312"/>
                      <w:sz w:val="20"/>
                    </w:rPr>
                    <w:t xml:space="preserve"> 4.设备至少支持TCP/IP协议，至少支持动态和静态IP模式，至少支持动态主机分配协议（DHCP）和以太网点对点通信协议（PPPOE），至少支持 SIP、RTP、RTCP网络协议，具有以太网接口；</w:t>
                  </w:r>
                  <w:r>
                    <w:br/>
                  </w:r>
                  <w:r>
                    <w:rPr>
                      <w:rFonts w:ascii="仿宋_GB2312" w:hAnsi="仿宋_GB2312" w:cs="仿宋_GB2312" w:eastAsia="仿宋_GB2312"/>
                      <w:sz w:val="20"/>
                    </w:rPr>
                    <w:t xml:space="preserve"> ▲5.设备具有日志功能，并且提供日志启用／关闭／控制接口；日志可存储在本地设备，也可以存储在中心日志服务器上；当日志存储在本地时，日志内容至少包括：模块名称、时间、描述信息；当存储到中心时，日志内容至少包括：模块名称、时间、描述信息、位置信息，符合《国家教育考试网上巡查系统视频标准技术规范(2017版)JY/T-KS-JS-2017-1》；（提供投标产品制造厂家公开发布的产品图册或产品说明书或合法第三方检验机构出具的带CMA或CNAS检测（检验）报告或官网产品说明的截图证明予以佐证）</w:t>
                  </w:r>
                </w:p>
                <w:p>
                  <w:pPr>
                    <w:pStyle w:val="null3"/>
                    <w:jc w:val="left"/>
                  </w:pPr>
                  <w:r>
                    <w:rPr>
                      <w:rFonts w:ascii="仿宋_GB2312" w:hAnsi="仿宋_GB2312" w:cs="仿宋_GB2312" w:eastAsia="仿宋_GB2312"/>
                      <w:sz w:val="20"/>
                    </w:rPr>
                    <w:t>▲6.设备具备数字时钟显示（OSD）功能，OSD格式：日期和时间，显示8位日期及6位时间；地址名称，显示不超过16汉字的考场或保密室名称，符合《国家教育考试网上巡查系统视频标准技术规范(2017版)JY/T-KS-JS-2017-1》；（提供投标产品制造厂家公开发布的产品图册或产品说明书或合法第三方检验机构出具的带CMA或CNAS检测（检验）报告或官网产品说明的截图证明予以佐证）</w:t>
                  </w:r>
                  <w:r>
                    <w:br/>
                  </w:r>
                  <w:r>
                    <w:rPr>
                      <w:rFonts w:ascii="仿宋_GB2312" w:hAnsi="仿宋_GB2312" w:cs="仿宋_GB2312" w:eastAsia="仿宋_GB2312"/>
                      <w:sz w:val="20"/>
                    </w:rPr>
                    <w:t xml:space="preserve"> 7.录像功能至少包括：手动、定时、报警触发录像功能；</w:t>
                  </w:r>
                  <w:r>
                    <w:br/>
                  </w:r>
                  <w:r>
                    <w:rPr>
                      <w:rFonts w:ascii="仿宋_GB2312" w:hAnsi="仿宋_GB2312" w:cs="仿宋_GB2312" w:eastAsia="仿宋_GB2312"/>
                      <w:sz w:val="20"/>
                    </w:rPr>
                    <w:t xml:space="preserve"> ▲8.设备具有可设定的点对点、点对多点传输能力；多通道设备应支持多点对一点或多点对多点的切换控制功能；具有视频移动侦测能力，可根据设置策略实现相应的编码、传输、存储或视频报警，符合《国家教育考试网上巡查系统视频标准技术规范(2017版)JY/T-KS-JS-2017-1》；（提供投标产品制造厂家公开发布的产品图册或产品说明书或合法第三方检验机构出具的带CMA或CNAS检测（检验）报告或官网产品说明的截图证明予以佐证）</w:t>
                  </w:r>
                  <w:r>
                    <w:br/>
                  </w:r>
                  <w:r>
                    <w:rPr>
                      <w:rFonts w:ascii="仿宋_GB2312" w:hAnsi="仿宋_GB2312" w:cs="仿宋_GB2312" w:eastAsia="仿宋_GB2312"/>
                      <w:sz w:val="20"/>
                    </w:rPr>
                    <w:t xml:space="preserve"> ★9.与学校现有国家教育考试网上巡查系统兼容和互联互通。（投标人在投标文件中单独提供承诺函，格式自拟）</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试卷流转通道摄像机</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嵌入式设备，具备实时操作系统，具有抗病毒和抗攻击功能；</w:t>
                  </w:r>
                  <w:r>
                    <w:br/>
                  </w:r>
                  <w:r>
                    <w:rPr>
                      <w:rFonts w:ascii="仿宋_GB2312" w:hAnsi="仿宋_GB2312" w:cs="仿宋_GB2312" w:eastAsia="仿宋_GB2312"/>
                      <w:sz w:val="20"/>
                    </w:rPr>
                    <w:t xml:space="preserve"> 2.符合《国家教育考试网上巡查系统视频标准技术规范(2017版)JY/T-KS-JS-2017-1》规定的H.264视频编码标准，支持 G.711 和 AAC 音频编码标准，并支持 PS、TS流封装，支持时间同步功能，支持网络时间协议（NTP）；</w:t>
                  </w:r>
                  <w:r>
                    <w:br/>
                  </w:r>
                  <w:r>
                    <w:rPr>
                      <w:rFonts w:ascii="仿宋_GB2312" w:hAnsi="仿宋_GB2312" w:cs="仿宋_GB2312" w:eastAsia="仿宋_GB2312"/>
                      <w:sz w:val="20"/>
                    </w:rPr>
                    <w:t xml:space="preserve"> 3.采用≥400万像素半球网络摄像机；至少支持Micro SD/SDHC/SDXC卡(≥256G)断网本地存储；具备DC12V或PoE(802.3af)供电功能，具有DC12V电源输出接口；内置麦克风；含压铸铝合金材质支架；</w:t>
                  </w:r>
                  <w:r>
                    <w:br/>
                  </w:r>
                  <w:r>
                    <w:rPr>
                      <w:rFonts w:ascii="仿宋_GB2312" w:hAnsi="仿宋_GB2312" w:cs="仿宋_GB2312" w:eastAsia="仿宋_GB2312"/>
                      <w:sz w:val="20"/>
                    </w:rPr>
                    <w:t xml:space="preserve"> 4.至少支持TCP/IP协议，至少支持动态和静态IP模式，至少支持动态主机分配协议（DHCP）和以太网点对点通信协议（PPPOE），至少支持 SIP、RTP、RTCP网络协议，具有以太网接口；</w:t>
                  </w:r>
                  <w:r>
                    <w:br/>
                  </w:r>
                  <w:r>
                    <w:rPr>
                      <w:rFonts w:ascii="仿宋_GB2312" w:hAnsi="仿宋_GB2312" w:cs="仿宋_GB2312" w:eastAsia="仿宋_GB2312"/>
                      <w:sz w:val="20"/>
                    </w:rPr>
                    <w:t xml:space="preserve"> 5.设备具有日志功能，并且提供日志启用和关闭和控制接口；日志可存储在本地设备，也可以存储在中心日志服务器上；当日志存储在本地时，日志内容至少包括：模块名称、时间、描述信息；当存储到中心时，至少包括：模块名称、时间、描述信息、位置信息；</w:t>
                  </w:r>
                  <w:r>
                    <w:br/>
                  </w:r>
                  <w:r>
                    <w:rPr>
                      <w:rFonts w:ascii="仿宋_GB2312" w:hAnsi="仿宋_GB2312" w:cs="仿宋_GB2312" w:eastAsia="仿宋_GB2312"/>
                      <w:sz w:val="20"/>
                    </w:rPr>
                    <w:t xml:space="preserve"> 6.设备具备数字时钟显示（OSD）功能，OSD格式：至少包含日期和时间，显示8位日期及6位时间；地址名称：显示不超过16汉字的通道名称；符合《国家教育考试网上巡查系统视频标准技术规范(2017版)JY/T-KS-JS-2017-1》；</w:t>
                  </w:r>
                  <w:r>
                    <w:br/>
                  </w:r>
                  <w:r>
                    <w:rPr>
                      <w:rFonts w:ascii="仿宋_GB2312" w:hAnsi="仿宋_GB2312" w:cs="仿宋_GB2312" w:eastAsia="仿宋_GB2312"/>
                      <w:sz w:val="20"/>
                    </w:rPr>
                    <w:t xml:space="preserve"> 7.录像功能至少包括手动、定时、报警触发录像功能；</w:t>
                  </w:r>
                  <w:r>
                    <w:br/>
                  </w:r>
                  <w:r>
                    <w:rPr>
                      <w:rFonts w:ascii="仿宋_GB2312" w:hAnsi="仿宋_GB2312" w:cs="仿宋_GB2312" w:eastAsia="仿宋_GB2312"/>
                      <w:sz w:val="20"/>
                    </w:rPr>
                    <w:t xml:space="preserve"> 8.设备具有可设定的点对点、点对多点传输能力；多通道设备支持多点对一点或多点对多点的切换控制功能；具有视频移动侦测能力，可根据设置策略实现相应的编码、传输、存储或视频报警；</w:t>
                  </w:r>
                  <w:r>
                    <w:br/>
                  </w:r>
                  <w:r>
                    <w:rPr>
                      <w:rFonts w:ascii="仿宋_GB2312" w:hAnsi="仿宋_GB2312" w:cs="仿宋_GB2312" w:eastAsia="仿宋_GB2312"/>
                      <w:sz w:val="20"/>
                    </w:rPr>
                    <w:t xml:space="preserve"> 9.具有设备认证功能、防篡改功能及加密传输功能；</w:t>
                  </w:r>
                  <w:r>
                    <w:br/>
                  </w:r>
                  <w:r>
                    <w:rPr>
                      <w:rFonts w:ascii="仿宋_GB2312" w:hAnsi="仿宋_GB2312" w:cs="仿宋_GB2312" w:eastAsia="仿宋_GB2312"/>
                      <w:sz w:val="20"/>
                    </w:rPr>
                    <w:t xml:space="preserve"> ★10.与学校现有国家教育考试网上巡查系统兼容和互联互通。（投标人在投标文件中单独提供承诺函，格式自拟）</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流媒体存储平台</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符合H.264视频编码标准并兼容MPEG4 视频编码格式，至少支持 G.711 和 AAC 音频编码标准，并支持 PS、TS流封装；</w:t>
                  </w:r>
                  <w:r>
                    <w:br/>
                  </w:r>
                  <w:r>
                    <w:rPr>
                      <w:rFonts w:ascii="仿宋_GB2312" w:hAnsi="仿宋_GB2312" w:cs="仿宋_GB2312" w:eastAsia="仿宋_GB2312"/>
                      <w:sz w:val="20"/>
                    </w:rPr>
                    <w:t xml:space="preserve"> 2.支持按图像的来源、记录时间、报警事件类别方式对存储的图像数据进行检索以支持多用户同时访问相同数据，符合《国家教育考试网上巡查系统视频标准技术规范(2017版)JY/T-KS-JS-2017-1》；</w:t>
                  </w:r>
                  <w:r>
                    <w:br/>
                  </w:r>
                  <w:r>
                    <w:rPr>
                      <w:rFonts w:ascii="仿宋_GB2312" w:hAnsi="仿宋_GB2312" w:cs="仿宋_GB2312" w:eastAsia="仿宋_GB2312"/>
                      <w:sz w:val="20"/>
                    </w:rPr>
                    <w:t xml:space="preserve"> 3.可接入≥128路H.265、H.264、MPEG4视频编码格式的网络摄像机；支持网络集中管理，至少包括参数配置、信息的导入、导出和升级功能；可自动搜索局域网内摄像机并批量修改IP地址；</w:t>
                  </w:r>
                  <w:r>
                    <w:br/>
                  </w:r>
                  <w:r>
                    <w:rPr>
                      <w:rFonts w:ascii="仿宋_GB2312" w:hAnsi="仿宋_GB2312" w:cs="仿宋_GB2312" w:eastAsia="仿宋_GB2312"/>
                      <w:sz w:val="20"/>
                    </w:rPr>
                    <w:t xml:space="preserve"> 4.至少支持手动录像/抓图、定时录像/抓图、事件录像/抓图、移动侦测录像/抓图、报警录像/抓图模式；至少支持即时回放、事件回放、标签回放、智能回放、外部文件回放；</w:t>
                  </w:r>
                  <w:r>
                    <w:br/>
                  </w:r>
                  <w:r>
                    <w:rPr>
                      <w:rFonts w:ascii="仿宋_GB2312" w:hAnsi="仿宋_GB2312" w:cs="仿宋_GB2312" w:eastAsia="仿宋_GB2312"/>
                      <w:sz w:val="20"/>
                    </w:rPr>
                    <w:t xml:space="preserve"> 5.可通过选择通道、文件类型、码流类型、开始时间、结束时间进行录像文件查找并下载，下载列表可显示录像文件名称、开始时间、结束时间、文件大小及下载进度；</w:t>
                  </w:r>
                  <w:r>
                    <w:br/>
                  </w:r>
                  <w:r>
                    <w:rPr>
                      <w:rFonts w:ascii="仿宋_GB2312" w:hAnsi="仿宋_GB2312" w:cs="仿宋_GB2312" w:eastAsia="仿宋_GB2312"/>
                      <w:sz w:val="20"/>
                    </w:rPr>
                    <w:t xml:space="preserve"> 6.设备对数据能够进行备份，可将录像文件或者图片保存至USB设备（包括但不限于U盘、移动硬盘）或eSATA盘存储设备；支持通过IE浏览器或客户端远程下载录像；</w:t>
                  </w:r>
                  <w:r>
                    <w:br/>
                  </w:r>
                  <w:r>
                    <w:rPr>
                      <w:rFonts w:ascii="仿宋_GB2312" w:hAnsi="仿宋_GB2312" w:cs="仿宋_GB2312" w:eastAsia="仿宋_GB2312"/>
                      <w:sz w:val="20"/>
                    </w:rPr>
                    <w:t xml:space="preserve"> 7.至少支持热备机功能，配置热备机设备数量≥32台，当主设备断网时，备份设备替换主设备进行录像工作；当主设备正常时，备份机可回传录像文件至主设备，备份机回到热备状态。</w:t>
                  </w:r>
                  <w:r>
                    <w:br/>
                  </w:r>
                  <w:r>
                    <w:rPr>
                      <w:rFonts w:ascii="仿宋_GB2312" w:hAnsi="仿宋_GB2312" w:cs="仿宋_GB2312" w:eastAsia="仿宋_GB2312"/>
                      <w:sz w:val="20"/>
                    </w:rPr>
                    <w:t xml:space="preserve"> 8.支持实时监测并显示正在进行的录像备份任务，可查看剩余录像大小、剩余时间、备份进度百分比和进度条；</w:t>
                  </w:r>
                  <w:r>
                    <w:br/>
                  </w:r>
                  <w:r>
                    <w:rPr>
                      <w:rFonts w:ascii="仿宋_GB2312" w:hAnsi="仿宋_GB2312" w:cs="仿宋_GB2312" w:eastAsia="仿宋_GB2312"/>
                      <w:sz w:val="20"/>
                    </w:rPr>
                    <w:t xml:space="preserve"> 9.至少支持硬盘配额和硬盘盘组两种存储模式，可对不同通道分配不同的录像保存容量或周期，具有重要录像加锁保护功能；</w:t>
                  </w:r>
                  <w:r>
                    <w:br/>
                  </w:r>
                  <w:r>
                    <w:rPr>
                      <w:rFonts w:ascii="仿宋_GB2312" w:hAnsi="仿宋_GB2312" w:cs="仿宋_GB2312" w:eastAsia="仿宋_GB2312"/>
                      <w:sz w:val="20"/>
                    </w:rPr>
                    <w:t xml:space="preserve"> 10.具有日志记录存储功能，日志记录至少包括登录、升级、报警、回放、下载、设备配置操作记录；</w:t>
                  </w:r>
                  <w:r>
                    <w:br/>
                  </w:r>
                  <w:r>
                    <w:rPr>
                      <w:rFonts w:ascii="仿宋_GB2312" w:hAnsi="仿宋_GB2312" w:cs="仿宋_GB2312" w:eastAsia="仿宋_GB2312"/>
                      <w:sz w:val="20"/>
                    </w:rPr>
                    <w:t xml:space="preserve"> 11.支持多址设定，可将多个网口设置不同网段的IP地址；支持网络容错，可将多个网口设置同一IP地址，当1个接口损坏时，设备仍能正常工作；可将多个RJ45网络接口绑定为同一个IP地址，具有负载均衡功能；</w:t>
                  </w:r>
                  <w:r>
                    <w:br/>
                  </w:r>
                  <w:r>
                    <w:rPr>
                      <w:rFonts w:ascii="仿宋_GB2312" w:hAnsi="仿宋_GB2312" w:cs="仿宋_GB2312" w:eastAsia="仿宋_GB2312"/>
                      <w:sz w:val="20"/>
                    </w:rPr>
                    <w:t xml:space="preserve"> 12.支持≥16个SATA接口，1个eSATA盘库可用于录像和备份，单盘最大容量支持20TB硬盘，支持硬盘热插拔；至少支持SATA硬盘和SSD硬盘混合接入；至少支持RAID0、RAID1、RAID5、RAID6、RAID10，支持全局热备；</w:t>
                  </w:r>
                  <w:r>
                    <w:br/>
                  </w:r>
                  <w:r>
                    <w:rPr>
                      <w:rFonts w:ascii="仿宋_GB2312" w:hAnsi="仿宋_GB2312" w:cs="仿宋_GB2312" w:eastAsia="仿宋_GB2312"/>
                      <w:sz w:val="20"/>
                    </w:rPr>
                    <w:t xml:space="preserve"> ★13.双电源冗余，由冗余电源芯片进行负载均衡控制，当一个电源出现故障时，另一个电源可以接管其工作，在更换故障电源后，恢复到两个电源协同负载均衡工作,支持电源热插拔；1+1冗余风扇，支持风扇热插拔；</w:t>
                  </w:r>
                  <w:r>
                    <w:br/>
                  </w:r>
                  <w:r>
                    <w:rPr>
                      <w:rFonts w:ascii="仿宋_GB2312" w:hAnsi="仿宋_GB2312" w:cs="仿宋_GB2312" w:eastAsia="仿宋_GB2312"/>
                      <w:sz w:val="20"/>
                    </w:rPr>
                    <w:t xml:space="preserve"> ★14.具有1个GPU、≥4路HDMI输出、≥4个RJ45 千兆网络接口、≥2个USB2.0接口、≥4个USB3.0接口；</w:t>
                  </w:r>
                  <w:r>
                    <w:br/>
                  </w:r>
                  <w:r>
                    <w:rPr>
                      <w:rFonts w:ascii="仿宋_GB2312" w:hAnsi="仿宋_GB2312" w:cs="仿宋_GB2312" w:eastAsia="仿宋_GB2312"/>
                      <w:sz w:val="20"/>
                    </w:rPr>
                    <w:t xml:space="preserve"> 15.符合GB/T 36449-2018《电子考场系统通用要求》。</w:t>
                  </w:r>
                  <w:r>
                    <w:br/>
                  </w:r>
                  <w:r>
                    <w:rPr>
                      <w:rFonts w:ascii="仿宋_GB2312" w:hAnsi="仿宋_GB2312" w:cs="仿宋_GB2312" w:eastAsia="仿宋_GB2312"/>
                      <w:sz w:val="20"/>
                    </w:rPr>
                    <w:t xml:space="preserve"> ★16.与学校现有国家教育考试网上巡查系统兼容和互联互通。（投标人在投标文件中单独提供承诺函，格式自拟）</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存储专用硬盘</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★1.容量≥10TB硬盘；转速：≥7200RPM；缓存：≥256MB。</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视频巡考终端</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1.CPU</w:t>
                  </w:r>
                  <w:r>
                    <w:rPr>
                      <w:rFonts w:ascii="仿宋_GB2312" w:hAnsi="仿宋_GB2312" w:cs="仿宋_GB2312" w:eastAsia="仿宋_GB2312"/>
                      <w:sz w:val="20"/>
                    </w:rPr>
                    <w:t>：国产化自主可控处理器，主频≥2.5GHz 、≥6核处理器12线程，L3缓存≥32MB；内存≥16G DDR4；固态硬盘≥240G，机械硬盘≥1TB；显卡分辨率≥1920*1080，VGA接口≥1个、HDMI≥1个、DP接口≥1个，USB接口≥8个；</w:t>
                  </w:r>
                  <w:r>
                    <w:br/>
                  </w:r>
                  <w:r>
                    <w:rPr>
                      <w:rFonts w:ascii="仿宋_GB2312" w:hAnsi="仿宋_GB2312" w:cs="仿宋_GB2312" w:eastAsia="仿宋_GB2312"/>
                      <w:sz w:val="20"/>
                    </w:rPr>
                    <w:t xml:space="preserve"> 2.可通过WEB界面与网上巡查摄像机、试卷流转通道摄像机和流媒体存储平台配套使用，实施查看、回访录像功能。</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POE</w:t>
                  </w:r>
                  <w:r>
                    <w:rPr>
                      <w:rFonts w:ascii="仿宋_GB2312" w:hAnsi="仿宋_GB2312" w:cs="仿宋_GB2312" w:eastAsia="仿宋_GB2312"/>
                      <w:sz w:val="20"/>
                    </w:rPr>
                    <w:t>交换机</w:t>
                  </w:r>
                  <w:r>
                    <w:rPr>
                      <w:rFonts w:ascii="仿宋_GB2312" w:hAnsi="仿宋_GB2312" w:cs="仿宋_GB2312" w:eastAsia="仿宋_GB2312"/>
                      <w:sz w:val="20"/>
                    </w:rPr>
                    <w:t>1</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交换容量≥396Gbps，包转发率≥56Mpps，以官网最小值为准；</w:t>
                  </w:r>
                  <w:r>
                    <w:br/>
                  </w:r>
                  <w:r>
                    <w:rPr>
                      <w:rFonts w:ascii="仿宋_GB2312" w:hAnsi="仿宋_GB2312" w:cs="仿宋_GB2312" w:eastAsia="仿宋_GB2312"/>
                      <w:sz w:val="20"/>
                    </w:rPr>
                    <w:t xml:space="preserve"> 2.接口类型：10/100/1000BASE-T自适应以太网端口≥8个，千兆SFP端口≥2个；；</w:t>
                  </w:r>
                  <w:r>
                    <w:br/>
                  </w:r>
                  <w:r>
                    <w:rPr>
                      <w:rFonts w:ascii="仿宋_GB2312" w:hAnsi="仿宋_GB2312" w:cs="仿宋_GB2312" w:eastAsia="仿宋_GB2312"/>
                      <w:sz w:val="20"/>
                    </w:rPr>
                    <w:t xml:space="preserve"> 3.至少支持PoE/PoE+，整机PoE最大输出功率≥125W，单端口最大输出功率≥30W；</w:t>
                  </w:r>
                  <w:r>
                    <w:br/>
                  </w:r>
                  <w:r>
                    <w:rPr>
                      <w:rFonts w:ascii="仿宋_GB2312" w:hAnsi="仿宋_GB2312" w:cs="仿宋_GB2312" w:eastAsia="仿宋_GB2312"/>
                      <w:sz w:val="20"/>
                    </w:rPr>
                    <w:t xml:space="preserve"> 4.整机最大MAC地址表≥16K，无管模式下支持标准交换、端口隔离、长距传输三种模式切换，至少支持防环路、防私接、风暴抑制，支持优先转发端口。</w:t>
                  </w:r>
                </w:p>
                <w:p>
                  <w:pPr>
                    <w:pStyle w:val="null3"/>
                    <w:jc w:val="left"/>
                  </w:pPr>
                  <w:r>
                    <w:rPr>
                      <w:rFonts w:ascii="仿宋_GB2312" w:hAnsi="仿宋_GB2312" w:cs="仿宋_GB2312" w:eastAsia="仿宋_GB2312"/>
                      <w:sz w:val="20"/>
                    </w:rPr>
                    <w:t>★5.提供所投产品的《电信设备进网许可证》或《电信设备进网试用批文》。（提供证书扫描件或</w:t>
                  </w:r>
                  <w:r>
                    <w:rPr>
                      <w:rFonts w:ascii="仿宋_GB2312" w:hAnsi="仿宋_GB2312" w:cs="仿宋_GB2312" w:eastAsia="仿宋_GB2312"/>
                      <w:sz w:val="21"/>
                    </w:rPr>
                    <w:t>网页截图</w:t>
                  </w:r>
                  <w:r>
                    <w:rPr>
                      <w:rFonts w:ascii="仿宋_GB2312" w:hAnsi="仿宋_GB2312" w:cs="仿宋_GB2312" w:eastAsia="仿宋_GB2312"/>
                      <w:sz w:val="20"/>
                    </w:rPr>
                    <w:t>）</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POE</w:t>
                  </w:r>
                  <w:r>
                    <w:rPr>
                      <w:rFonts w:ascii="仿宋_GB2312" w:hAnsi="仿宋_GB2312" w:cs="仿宋_GB2312" w:eastAsia="仿宋_GB2312"/>
                      <w:sz w:val="20"/>
                    </w:rPr>
                    <w:t>交换机</w:t>
                  </w:r>
                  <w:r>
                    <w:rPr>
                      <w:rFonts w:ascii="仿宋_GB2312" w:hAnsi="仿宋_GB2312" w:cs="仿宋_GB2312" w:eastAsia="仿宋_GB2312"/>
                      <w:sz w:val="20"/>
                    </w:rPr>
                    <w:t>2</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性能：交换容量≥672Gbps，转发性能≥120Mpps，以官网最小值为准；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端口配置：≥24个10/100/1000BASE-T自适应以太网端口，≥4个千兆SFP端口，至少支持802.3at/POE+供电标准，整机PoE最大输出功率≥370W，单端口最大输出功率≥30W；</w:t>
                  </w:r>
                </w:p>
                <w:p>
                  <w:pPr>
                    <w:pStyle w:val="null3"/>
                    <w:jc w:val="left"/>
                  </w:pPr>
                  <w:r>
                    <w:rPr>
                      <w:rFonts w:ascii="仿宋_GB2312" w:hAnsi="仿宋_GB2312" w:cs="仿宋_GB2312" w:eastAsia="仿宋_GB2312"/>
                      <w:sz w:val="20"/>
                    </w:rPr>
                    <w:t>▲3.软件规格：整机最大路由地址≥1K，整机最大ARP地址表≥1K，整机最大MAC地址表≥16K；支持BFD和协议的联动功能，协议至少包括IPv4路由协议、IPv6路由协议、VRRP协议；（提供投标产品制造厂家公开发布的产品图册或产品说明书或合法第三方检验机构出具的带CMA或CNAS检测（检验）报告或官网产品说明的截图证明予以佐证）</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二层环网协议：至少支持STP/RSTP/MSTP协议，至少支持STP Root Protection、BPDU Protection，至少支持G.8032以太网环保护协议ERPS，切换时间≤50ms，可兼容其他支持该协议的产品；</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三层功能：至少支持IPv4/IPv6静态路由，支持RIP/RIPng，OSPF v2/v3。</w:t>
                  </w:r>
                </w:p>
                <w:p>
                  <w:pPr>
                    <w:pStyle w:val="null3"/>
                    <w:jc w:val="left"/>
                  </w:pPr>
                  <w:r>
                    <w:rPr>
                      <w:rFonts w:ascii="仿宋_GB2312" w:hAnsi="仿宋_GB2312" w:cs="仿宋_GB2312" w:eastAsia="仿宋_GB2312"/>
                      <w:sz w:val="20"/>
                    </w:rPr>
                    <w:t>★6.提供所投产品的《电信设备进网许可证》或《电信设备进网试用批文》。（提供证书扫描件或</w:t>
                  </w:r>
                  <w:r>
                    <w:rPr>
                      <w:rFonts w:ascii="仿宋_GB2312" w:hAnsi="仿宋_GB2312" w:cs="仿宋_GB2312" w:eastAsia="仿宋_GB2312"/>
                      <w:sz w:val="21"/>
                    </w:rPr>
                    <w:t>网页截图</w:t>
                  </w:r>
                  <w:r>
                    <w:rPr>
                      <w:rFonts w:ascii="仿宋_GB2312" w:hAnsi="仿宋_GB2312" w:cs="仿宋_GB2312" w:eastAsia="仿宋_GB2312"/>
                      <w:sz w:val="20"/>
                    </w:rPr>
                    <w:t>）</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光纤模块</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千兆光模块；单模；波长≥1300nm，SFP形态；LC接口；传输距离≥10公里。</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壁挂模拟音箱</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额定功率：≥15W；</w:t>
                  </w:r>
                  <w:r>
                    <w:br/>
                  </w:r>
                  <w:r>
                    <w:rPr>
                      <w:rFonts w:ascii="仿宋_GB2312" w:hAnsi="仿宋_GB2312" w:cs="仿宋_GB2312" w:eastAsia="仿宋_GB2312"/>
                      <w:sz w:val="20"/>
                    </w:rPr>
                    <w:t xml:space="preserve"> 2.功率抽头：≥(100V)10/5W；</w:t>
                  </w:r>
                  <w:r>
                    <w:br/>
                  </w:r>
                  <w:r>
                    <w:rPr>
                      <w:rFonts w:ascii="仿宋_GB2312" w:hAnsi="仿宋_GB2312" w:cs="仿宋_GB2312" w:eastAsia="仿宋_GB2312"/>
                      <w:sz w:val="20"/>
                    </w:rPr>
                    <w:t xml:space="preserve"> 3.灵敏度：≥90dB，频率范围：≥180Hz-20KHz；</w:t>
                  </w:r>
                  <w:r>
                    <w:br/>
                  </w:r>
                  <w:r>
                    <w:rPr>
                      <w:rFonts w:ascii="仿宋_GB2312" w:hAnsi="仿宋_GB2312" w:cs="仿宋_GB2312" w:eastAsia="仿宋_GB2312"/>
                      <w:sz w:val="20"/>
                    </w:rPr>
                    <w:t xml:space="preserve"> 4.额定输入电压：100/70V；</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六类网线</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六类非屏蔽纯铜双绞线，规格≥4对，每对≥2芯；铜芯直径≥0.53mm²。</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电源线</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规格：≥RVV3*1.0mm²；线芯材质：裸铜；线绝缘材料：塑料；绝缘电缆芯数：≥3芯。</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试卷保管柜</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整机规格：≥1850mm(高）*900mm(宽）*420mm(深），材质采用防火钢板，厚度≥0.3mm，内置抽屉设计，可调节层板高度；</w:t>
                  </w:r>
                  <w:r>
                    <w:br/>
                  </w:r>
                  <w:r>
                    <w:rPr>
                      <w:rFonts w:ascii="仿宋_GB2312" w:hAnsi="仿宋_GB2312" w:cs="仿宋_GB2312" w:eastAsia="仿宋_GB2312"/>
                      <w:sz w:val="20"/>
                    </w:rPr>
                    <w:t xml:space="preserve"> 2.支持密码和钥匙多种方式开锁功能。</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防盗门</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定制钢制防盗安全门，安全级别不低于甲级，规格：≥2050mm（高）×960mm（宽）；</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摄像头支架</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采用铝合金金属材质，安装方式适应壁挂和吊装方式，适配网上巡查摄像机和试卷流转通道摄像机配套安装使用。</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光纤</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室外带铠光纤，芯数≥12芯。</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光纤熔接</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熔接材料：含配线架熔接盒、ODF架、法兰盘、光纤跳线、尾纤。</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立杆</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定制立杆，高度：≥2.5米,管厚≥1mm；</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镀锌钢管材质，高温静电喷塑，配置不少于一个横臂和一个防水箱，防水箱规格：长×宽×高≥250mm×120mm×450mm （±5mm），预埋地笼，长×宽×高≥250mm×250mm×400mm （±5mm）。</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电源时序器</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配置≥63A双刀空气过载保护开关，受控供电输出≥8路，直通供电输出≥1路，每路输出电压≥220V，采用≥25A继电器；</w:t>
                  </w:r>
                  <w:r>
                    <w:br/>
                  </w:r>
                  <w:r>
                    <w:rPr>
                      <w:rFonts w:ascii="仿宋_GB2312" w:hAnsi="仿宋_GB2312" w:cs="仿宋_GB2312" w:eastAsia="仿宋_GB2312"/>
                      <w:sz w:val="20"/>
                    </w:rPr>
                    <w:t xml:space="preserve"> ▲2.具有彩色显示屏，可实时显示工作电压、系统时间、工作状态及控制状态等信息，可查询和设置设备序号、通道开关延时、电压保护、模式设置、常开设置、控制密码等；具有过载保护、定时控制、过压自动保护、欠压自动保护的功能；支持网络控制，网络接口≥2个。（提供投标产品制造厂家公开发布的产品图册或产品说明书或合法第三方检验机构出具的带CMA或CNAS检测（检验）报告或官网产品说明的截图证明予以佐证）</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基础环境改造</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巡考控制室：原有墙体拆除，破坏墙面刷乳胶漆处理，面层刮腻子，底漆面漆三遍；石膏板接缝填平贴绷带处理，钉眼刷防锈漆或是水泥处理，对破坏的顶面灯具更换恢复、吊顶进行恢复；地面处理：静电地板延伸及恢复（约15平方米），木质线条踢脚线装饰处理；</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试卷保管室：使用砖墙、隔墙封堵，面层刮腻子，底漆面漆三遍，对破坏的顶面灯具更换恢复、吊顶进行恢复；</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巡考考务指挥中心背景字、系统拓扑图制作，内容包含“成都东部新区第四中学校或成都石室东部新区实验学校指挥中心”。</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安装调试</w:t>
                  </w:r>
                </w:p>
              </w:tc>
              <w:tc>
                <w:tcPr>
                  <w:tcW w:type="dxa" w:w="4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所有线路铺设,强、弱电分开，含安装所需PVC线管线槽、插线板、水晶头等辅材配件；</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设备的固定安装符合施工要求，安装美观，整体走线符合施工工艺要求，线路两端均有清晰、不掉色的标识标签，各线头标识须做好记录、整理成电子文档交采购人备查；</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在安装调试前对本项目进行深度设计与论证，确定相关电、网络等系统接入和改造方案，并确定实施方案，施工前将与采购人的项目负责人确定整个方案实施时间计划安排；</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安装调试完成制作图纸、编制安装调试组织方案、安装调试过程资料（隐蔽工程拍照、验收表格、使用与培训资料)等相关资料交予采购人。</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质保范围内，采购人所有考试工作开展前3个工作日，投标人应委派技术人员到达考试现场，调试设备设施确保中高考及社会化考试工作顺利进行。在中高考及社会化考试期间，投标人应委派不少于2名专业技术人员，按照采购人要求提供全天驻场服务，确保设备设施及系统稳定运行，在遇到突发情况能快速完成处理故障，恢复系统运行。（投标人提供承诺函并加盖投标人公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产品质量要求</w:t>
            </w:r>
          </w:p>
        </w:tc>
        <w:tc>
          <w:tcPr>
            <w:tcW w:type="dxa" w:w="5814"/>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中标人须提供全新的货物，表面无划伤、无碰撞痕迹。</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货物质量出现问题的，中标人应负责三包（包修、包换、包退），费用由中标人负担。</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中标人保证采用的零部件、零配件等材料符合国家标准且不低于招标文件的相关规定，不使用假冒伪劣产品或以次充好，以旧顶新。</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中标人应在合同签订后15日内完成货物交付和安装调试且保证交付货物的正常使用。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成都东部新区第四中学校（成都东部新区石盘街道向阳社区吴家祠社区3、4、5、6、11组）</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1、第一笔款，合同签订且中标人向采购人出具合法有效完整的完税发票及凭证资料后，达到付款条件起30日内，支付合同总金额的40.00%</w:t>
            </w:r>
          </w:p>
          <w:p>
            <w:pPr>
              <w:pStyle w:val="null3"/>
              <w:jc w:val="left"/>
            </w:pPr>
            <w:r>
              <w:rPr>
                <w:rFonts w:ascii="仿宋_GB2312" w:hAnsi="仿宋_GB2312" w:cs="仿宋_GB2312" w:eastAsia="仿宋_GB2312"/>
              </w:rPr>
              <w:t>2、尾款，经采购人验收合格，且中标人向采购人出具合法有效完整的完税发票及凭证资料后，达到付款条件起30日内，支付合同总金额的60.00%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详见第二章2.6.6.履约验收方案（以供应商提供的《投标（响应）函》中“我单位完全接受和理解本项目采购文件规定的实质性要求”即视为响应。）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 验收合格之日起，投标人提供至少 60 个月（5年）的质保期（保修期），质保期（保修期）内所提供的维修、维护、清洗、培训、技术服务、备品备件、交通、人工等所有服务所涉及的费用均包含在本次报价中。 2. 培训服务：中标人须对采购人相关人员进行现场培训，直至可独立熟练操作为止； 3. 维修服务：质保期（保修期）内出现设备故障或质量问题，中标人在接到通知后须立即响应、24 小时内到场、48 小时内完成维修或提供备件；24 个月内设备故障达 3 次（含）以上，必须更换全新的设备； 4. 现场服务：项目完工并通过初验后，中标人至少提供不低于3次现场技术指导服务，培训讲师不低于1名； 5. 备品备件：质保期（保修期）内，若遇活动安排，中标人须提供相应的备品、备件，以确保设施设备在出现突发性故障时能及时更换，保障设施设备的正常进行； 6.继续培训服务：质保期（保修期）内，若因项目采购人相关人员人事变动等引起的继续培训服务需求，中标人须提供继续培训服务。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（注：以下甲方指本项目招标人，乙方指本项目中标人） 1、甲方违约责任：甲方无正当理由拒收货物的，甲方应偿付合同总价千分之一的违约金； 2、乙方违约责任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未完成安装调试正常使用的货物视为逾期交付货物，因特殊情况无法正常交付，经甲方书面确认后依据实际情况确定交货时间】，除应及时交足货物外，应向甲方偿付合同总额的百分之一/天的违约金；逾期交货超过7天，甲方有权终止合同，乙方则应按合同总价的百分之十的款额向甲方偿付赔偿金，并须全额退还甲方已经付给乙方的货款及其利息。 （3）乙方货物经双方协商约定书面确认具有法定资格条件的质量技术监督机构检测后，如检测结果认定货物质量不符合本合同规定标准的，则视为乙方没有按时交货而违约，乙方须在7天内无条件更换合格的货物，如逾期不能更换合格的货物，甲方有权终止本合同，乙方应另付合同总价的百分之十的赔偿金给甲方，并须全额退还甲方已经付给乙方的货款及其利息。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（5）如因乙方货物逾期交付对甲方教学秩序造成影响，乙方须按甲方要求无条件执行解决方案，所有费用由乙方承担。 （6）乙方偿付的违约金不足以弥补甲方损失的，还应按甲方损失尚未弥补的部分，支付赔偿金给甲方。 争议解决办法 1、因货物的质量问题发生争议，由质量技术监督部门或其指定的质量鉴定机构进行质量鉴定。鉴定费由乙方承担。 2、合同履行期间，若双方发生争议，可协商或由有关部门调解解决，协商或调解不成的，由当事人依法维护其合法权益，任何一方均有权向甲方所在地有管辖权的人民法院起诉。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说明： ★1.投标人需按照《报价明细表》的内容明确每一个标的的生产厂家、品牌等信息，未提供的或有标的缺漏的，作为无效处理。 ★2.投标人《报价明细表》中填写的标的的“数量”、“计量单位”信息与“采购清单”要求不一致的将作为无效处理。 ★3.未载明或者载明的标的名称、数量、计量单位及其他政府采购合同实质性内容与采购文件要求不一致，且采购单位无法接受的，属于无效响应。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投标人认为需要提供的其他证明材料,技术、服务要求应答表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投标人认为需要提供的其他证明材料,技术、服务要求应答表,投标（响应）函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投标人针对招标文件“技术要求”表格中“技术参数与性能指标”的技术参数条款的响应得分规则如下：（一般技术参数条款指未标注 “▲”和“★”的条款） 1、一般技术参数条款响应得分=（投标人满足一般技术参数条款的数量÷一般技术参数条款的总数量）×22分（共计44条）。2、“▲”技术参数条款响应得分=（投标人满足“▲”技术参数条款的数量÷ “▲”技术参数条款的总数量）×15分（共计5条）。注： ①针对“▲”技术参数（“技术参数与性能指标”中对证明材料有要求的，以该处要求为准）投标人需提供技术支撑材料，否则对应技术参数条款将视为不满足。②得分保留小数点后两位小数，四舍五入。③标注“★”的条款为本项目实质性要求，不作为本项评审。④文件以一级序号数字（如“1.”“2.”“3.”…）为一条（标题除外）；数字序号下有多级序号的，以最小级数字序号为一条。【编制于第六章投标文件格式-《技术、服务要求应答表》，若有证明材料附后】</w:t>
            </w:r>
          </w:p>
        </w:tc>
        <w:tc>
          <w:tcPr>
            <w:tcW w:type="dxa" w:w="831"/>
          </w:tcPr>
          <w:p>
            <w:pPr>
              <w:pStyle w:val="null3"/>
              <w:jc w:val="center"/>
            </w:pPr>
            <w:r>
              <w:rPr>
                <w:rFonts w:ascii="仿宋_GB2312" w:hAnsi="仿宋_GB2312" w:cs="仿宋_GB2312" w:eastAsia="仿宋_GB2312"/>
              </w:rPr>
              <w:t>37.0000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技术、服务要求应答表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2023年1月1日（含）至投标截止日，投标人提供与本项目相关类似产品业绩（至少包含核心产品），有一个得1分，本项共计3分。 注：提供合同或中标（成交）通知书扫描件。 【编制于第六章投标文件格式-《投标人认为需要提供的其他证明材料》】</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根据本项目特点，提供项目实施方案【方案应至少包含：①项目建设实施措施；②项目安装进度计划（进度计划、进度内容）；③项目质量保障方案；④工期保障方案；⑤项目应急保障方案】的，每具有一项得3分，最多得15分。在此基础上，方案中存在缺陷或不足的，每1项中每有1处扣1.5分，每项最多扣3分，扣完为止； 注：缺陷或不足是指：存在项目名称错误、地点区域错误、内容与本项目需求无关、方案内容矛盾、仅有框架或标题、适用的标准（方法）错误、明显复制其他项目内容等任意一种情形。【编制于第六章投标文件格式-《服务方案》】</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根据本项目特点，提供售后服务方案【方案应至少包含：①售后人员配置方案及分工（提供人员清单、售后经验）；②现场服务支持能力（包含不限于售后服务电话、售后服务网点）；③售后巡检方案；④服务响应措施；⑤紧急维修措施】的，每具有一项得3分，最多得15分。在此基础上，方案中存在缺陷或不足的，每1项中每有1处扣1.5分，每项最多扣3分，扣完为止； 注：缺陷或不足是指：存在项目名称错误、地点区域错误、内容与本项目需求无关、方案内容矛盾、仅有框架或标题、适用的标准（方法）错误、明显复制其他项目内容等任意一种情形。【编制于第六章投标文件格式-《服务方案》】</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 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 1-C1） ； 监狱企业与残疾人福利性单位视同小型、微型企业，享受同等价格扣除，当企业属性重复时，不重复价格扣除。 注：价格扣除比例满足《政府采购促进中小企业发展管理办法》（财库〔 2020〕46号）及《关于进一步加大政府采购支持中小企业力度的通知》（财库〔2022〕19 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投标人认为需要提供的其他证明材料</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投标人认为需要提供的其他证明材料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详见附件：技术、服务要求应答表</w:t>
      </w:r>
    </w:p>
    <w:p>
      <w:pPr>
        <w:pStyle w:val="null3"/>
        <w:ind w:firstLine="960"/>
        <w:jc w:val="left"/>
      </w:pPr>
      <w:r>
        <w:rPr>
          <w:rFonts w:ascii="仿宋_GB2312" w:hAnsi="仿宋_GB2312" w:cs="仿宋_GB2312" w:eastAsia="仿宋_GB2312"/>
        </w:rPr>
        <w:t>详见附件：投标人认为需要提供的其他证明材料</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