
<file path=[Content_Types].xml><?xml version="1.0" encoding="utf-8"?>
<Types xmlns="http://schemas.openxmlformats.org/package/2006/content-types">
  <Default Extension="xml" ContentType="application/xml"/>
  <Default Extension="gif" ContentType="image/gi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4"/>
        <w:keepNext w:val="0"/>
        <w:keepLines w:val="0"/>
        <w:pageBreakBefore w:val="0"/>
        <w:widowControl w:val="0"/>
        <w:kinsoku/>
        <w:wordWrap w:val="0"/>
        <w:overflowPunct/>
        <w:topLinePunct/>
        <w:autoSpaceDE/>
        <w:autoSpaceDN/>
        <w:bidi w:val="0"/>
        <w:adjustRightInd w:val="0"/>
        <w:snapToGrid w:val="0"/>
        <w:jc w:val="both"/>
        <w:textAlignment w:val="auto"/>
        <w:outlineLvl w:val="2"/>
        <w:rPr>
          <w:rFonts w:hint="eastAsia" w:ascii="仿宋" w:hAnsi="仿宋" w:eastAsia="仿宋" w:cs="仿宋"/>
          <w:b/>
          <w:bCs/>
          <w:sz w:val="24"/>
          <w:szCs w:val="24"/>
          <w:lang w:val="en-US" w:eastAsia="zh-CN"/>
        </w:rPr>
      </w:pPr>
      <w:bookmarkStart w:id="0" w:name="_Toc6520"/>
      <w:bookmarkStart w:id="1" w:name="_Toc31917"/>
      <w:r>
        <w:rPr>
          <w:rFonts w:hint="eastAsia" w:ascii="仿宋" w:hAnsi="仿宋" w:eastAsia="仿宋" w:cs="仿宋"/>
          <w:b/>
          <w:bCs/>
          <w:sz w:val="24"/>
          <w:szCs w:val="24"/>
          <w:lang w:val="en-US" w:eastAsia="zh-CN"/>
        </w:rPr>
        <w:t>附件</w:t>
      </w:r>
      <w:r>
        <w:rPr>
          <w:rFonts w:hint="eastAsia" w:ascii="仿宋" w:hAnsi="仿宋" w:eastAsia="仿宋" w:cs="仿宋"/>
          <w:b/>
          <w:bCs/>
          <w:sz w:val="24"/>
          <w:szCs w:val="24"/>
          <w:lang w:val="en-US" w:eastAsia="zh-CN"/>
        </w:rPr>
        <w:t>一： 统计上大中小微型企业划分标准</w:t>
      </w:r>
      <w:bookmarkEnd w:id="0"/>
      <w:bookmarkEnd w:id="1"/>
      <w:bookmarkStart w:id="12" w:name="_GoBack"/>
      <w:bookmarkEnd w:id="12"/>
    </w:p>
    <w:p>
      <w:pPr>
        <w:widowControl/>
        <w:spacing w:line="330" w:lineRule="atLeast"/>
        <w:jc w:val="center"/>
        <w:rPr>
          <w:rFonts w:hint="eastAsia" w:ascii="仿宋" w:hAnsi="仿宋" w:eastAsia="仿宋" w:cs="仿宋"/>
          <w:color w:val="000000"/>
          <w:kern w:val="0"/>
          <w:sz w:val="32"/>
          <w:szCs w:val="32"/>
        </w:rPr>
      </w:pPr>
    </w:p>
    <w:p>
      <w:pPr>
        <w:widowControl/>
        <w:spacing w:line="330" w:lineRule="atLeast"/>
        <w:jc w:val="center"/>
        <w:rPr>
          <w:rFonts w:hint="eastAsia" w:ascii="仿宋" w:hAnsi="仿宋" w:eastAsia="仿宋" w:cs="仿宋"/>
          <w:color w:val="000000"/>
          <w:kern w:val="0"/>
          <w:sz w:val="28"/>
          <w:szCs w:val="28"/>
        </w:rPr>
      </w:pPr>
      <w:r>
        <w:rPr>
          <w:rFonts w:hint="eastAsia" w:ascii="仿宋" w:hAnsi="仿宋" w:eastAsia="仿宋" w:cs="仿宋"/>
          <w:color w:val="000000"/>
          <w:kern w:val="0"/>
          <w:sz w:val="28"/>
          <w:szCs w:val="28"/>
        </w:rPr>
        <w:t>统计上大中小微型企业划分标准</w:t>
      </w:r>
    </w:p>
    <w:tbl>
      <w:tblPr>
        <w:tblStyle w:val="11"/>
        <w:tblW w:w="500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0"/>
        <w:gridCol w:w="1513"/>
        <w:gridCol w:w="910"/>
        <w:gridCol w:w="1188"/>
        <w:gridCol w:w="1799"/>
        <w:gridCol w:w="1507"/>
        <w:gridCol w:w="10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jc w:val="center"/>
        </w:trPr>
        <w:tc>
          <w:tcPr>
            <w:tcW w:w="1007"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b/>
                <w:bCs/>
                <w:color w:val="000000"/>
                <w:kern w:val="0"/>
                <w:sz w:val="18"/>
                <w:szCs w:val="18"/>
              </w:rPr>
            </w:pPr>
            <w:r>
              <w:rPr>
                <w:rFonts w:hint="eastAsia" w:ascii="仿宋" w:hAnsi="仿宋" w:eastAsia="仿宋" w:cs="仿宋"/>
                <w:b/>
                <w:bCs/>
                <w:color w:val="000000"/>
                <w:kern w:val="0"/>
                <w:sz w:val="18"/>
                <w:szCs w:val="18"/>
              </w:rPr>
              <w:t>行业名称</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b/>
                <w:bCs/>
                <w:color w:val="000000"/>
                <w:kern w:val="0"/>
                <w:sz w:val="18"/>
                <w:szCs w:val="18"/>
              </w:rPr>
            </w:pPr>
            <w:r>
              <w:rPr>
                <w:rFonts w:hint="eastAsia" w:ascii="仿宋" w:hAnsi="仿宋" w:eastAsia="仿宋" w:cs="仿宋"/>
                <w:b/>
                <w:bCs/>
                <w:color w:val="000000"/>
                <w:kern w:val="0"/>
                <w:sz w:val="18"/>
                <w:szCs w:val="18"/>
              </w:rPr>
              <w:t>指标名称</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b/>
                <w:bCs/>
                <w:color w:val="000000"/>
                <w:kern w:val="0"/>
                <w:sz w:val="18"/>
                <w:szCs w:val="18"/>
              </w:rPr>
            </w:pPr>
            <w:r>
              <w:rPr>
                <w:rFonts w:hint="eastAsia" w:ascii="仿宋" w:hAnsi="仿宋" w:eastAsia="仿宋" w:cs="仿宋"/>
                <w:b/>
                <w:bCs/>
                <w:color w:val="000000"/>
                <w:kern w:val="0"/>
                <w:sz w:val="18"/>
                <w:szCs w:val="18"/>
              </w:rPr>
              <w:t>计量</w:t>
            </w:r>
            <w:r>
              <w:rPr>
                <w:rFonts w:hint="eastAsia" w:ascii="仿宋" w:hAnsi="仿宋" w:eastAsia="仿宋" w:cs="仿宋"/>
                <w:b/>
                <w:bCs/>
                <w:color w:val="000000"/>
                <w:kern w:val="0"/>
                <w:sz w:val="18"/>
                <w:szCs w:val="18"/>
              </w:rPr>
              <w:br w:type="textWrapping"/>
            </w:r>
            <w:r>
              <w:rPr>
                <w:rFonts w:hint="eastAsia" w:ascii="仿宋" w:hAnsi="仿宋" w:eastAsia="仿宋" w:cs="仿宋"/>
                <w:b/>
                <w:bCs/>
                <w:color w:val="000000"/>
                <w:kern w:val="0"/>
                <w:sz w:val="18"/>
                <w:szCs w:val="18"/>
              </w:rPr>
              <w:t>单位</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b/>
                <w:bCs/>
                <w:color w:val="000000"/>
                <w:kern w:val="0"/>
                <w:sz w:val="18"/>
                <w:szCs w:val="18"/>
              </w:rPr>
            </w:pPr>
            <w:r>
              <w:rPr>
                <w:rFonts w:hint="eastAsia" w:ascii="仿宋" w:hAnsi="仿宋" w:eastAsia="仿宋" w:cs="仿宋"/>
                <w:b/>
                <w:bCs/>
                <w:color w:val="000000"/>
                <w:kern w:val="0"/>
                <w:sz w:val="18"/>
                <w:szCs w:val="18"/>
              </w:rPr>
              <w:t>大型</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b/>
                <w:bCs/>
                <w:color w:val="000000"/>
                <w:kern w:val="0"/>
                <w:sz w:val="18"/>
                <w:szCs w:val="18"/>
              </w:rPr>
            </w:pPr>
            <w:r>
              <w:rPr>
                <w:rFonts w:hint="eastAsia" w:ascii="仿宋" w:hAnsi="仿宋" w:eastAsia="仿宋" w:cs="仿宋"/>
                <w:b/>
                <w:bCs/>
                <w:color w:val="000000"/>
                <w:kern w:val="0"/>
                <w:sz w:val="18"/>
                <w:szCs w:val="18"/>
              </w:rPr>
              <w:t>中型</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b/>
                <w:bCs/>
                <w:color w:val="000000"/>
                <w:kern w:val="0"/>
                <w:sz w:val="18"/>
                <w:szCs w:val="18"/>
              </w:rPr>
            </w:pPr>
            <w:r>
              <w:rPr>
                <w:rFonts w:hint="eastAsia" w:ascii="仿宋" w:hAnsi="仿宋" w:eastAsia="仿宋" w:cs="仿宋"/>
                <w:b/>
                <w:bCs/>
                <w:color w:val="000000"/>
                <w:kern w:val="0"/>
                <w:sz w:val="18"/>
                <w:szCs w:val="18"/>
              </w:rPr>
              <w:t>小型</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b/>
                <w:bCs/>
                <w:color w:val="000000"/>
                <w:kern w:val="0"/>
                <w:sz w:val="18"/>
                <w:szCs w:val="18"/>
              </w:rPr>
            </w:pPr>
            <w:r>
              <w:rPr>
                <w:rFonts w:hint="eastAsia" w:ascii="仿宋" w:hAnsi="仿宋" w:eastAsia="仿宋" w:cs="仿宋"/>
                <w:b/>
                <w:bCs/>
                <w:color w:val="000000"/>
                <w:kern w:val="0"/>
                <w:sz w:val="18"/>
                <w:szCs w:val="18"/>
              </w:rPr>
              <w:t>微型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农、林、牧、渔业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Y≥20000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500≤Y＜20000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50≤Y＜500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工业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20≤X＜300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Y≥40000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2000≤Y＜40000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300≤Y＜2000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建筑业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Y≥80000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6000≤Y＜80000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300≤Y＜6000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资产总额(Z)</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Z≥80000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5000≤Z＜80000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300≤Z＜5000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Z＜300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批发业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X≥200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20≤X＜200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5≤X＜20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Y≥40000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5000≤Y＜40000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hanging="1"/>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1000≤Y＜5000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零售业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50≤X＜300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hanging="1"/>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10≤X＜50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Y≥20000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500≤Y＜20000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hanging="1"/>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100≤Y＜500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交通运输业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20≤X＜300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Y≥30000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3000≤Y＜30000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200≤Y＜3000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仓储业*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X≥200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100≤X＜200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20≤X＜100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Y≥30000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1000≤Y＜30000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邮政业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20≤X＜300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Y≥30000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2000≤Y＜30000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住宿业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2000≤Y＜10000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餐饮业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2000≤Y＜10000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100≤Y＜2000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信息传输业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X≥2000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100≤X＜2000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1000≤Y＜100000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spacing w:val="-12"/>
                <w:kern w:val="0"/>
                <w:sz w:val="18"/>
                <w:szCs w:val="18"/>
              </w:rPr>
            </w:pPr>
            <w:r>
              <w:rPr>
                <w:rFonts w:hint="eastAsia" w:ascii="仿宋" w:hAnsi="仿宋" w:eastAsia="仿宋" w:cs="仿宋"/>
                <w:color w:val="000000"/>
                <w:spacing w:val="-12"/>
                <w:kern w:val="0"/>
                <w:sz w:val="18"/>
                <w:szCs w:val="18"/>
              </w:rPr>
              <w:t>软件和信息技术服</w:t>
            </w:r>
            <w:r>
              <w:rPr>
                <w:rFonts w:hint="eastAsia" w:ascii="仿宋" w:hAnsi="仿宋" w:eastAsia="仿宋" w:cs="仿宋"/>
                <w:color w:val="000000"/>
                <w:kern w:val="0"/>
                <w:sz w:val="18"/>
                <w:szCs w:val="18"/>
              </w:rPr>
              <w:t>务业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spacing w:val="-12"/>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1000≤Y＜10000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50≤Y＜1000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房地产开发经营</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Y≥200000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1000≤Y＜200000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资产总额(Z)</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Z≥10000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5000≤Z＜10000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2000≤Z＜5000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Z＜2000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物业管理</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300≤X＜1000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100≤X＜300 </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营业收入(Y)</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Y≥5000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1000≤Y＜5000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500≤Y＜1000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Y＜500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restar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租赁和商务服务业</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1007" w:type="pct"/>
            <w:vMerge w:val="continue"/>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资产总额(Z)</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万元</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Z≥120000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8000≤Z＜120000</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100≤Z＜8000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Z＜100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jc w:val="center"/>
        </w:trPr>
        <w:tc>
          <w:tcPr>
            <w:tcW w:w="1007"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left"/>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其他未列明行业 *</w:t>
            </w:r>
          </w:p>
        </w:tc>
        <w:tc>
          <w:tcPr>
            <w:tcW w:w="758"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从业人员(X)</w:t>
            </w:r>
          </w:p>
        </w:tc>
        <w:tc>
          <w:tcPr>
            <w:tcW w:w="456"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人</w:t>
            </w:r>
          </w:p>
        </w:tc>
        <w:tc>
          <w:tcPr>
            <w:tcW w:w="59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X≥300</w:t>
            </w:r>
          </w:p>
        </w:tc>
        <w:tc>
          <w:tcPr>
            <w:tcW w:w="901"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108" w:leftChars="0" w:hanging="108" w:hangingChars="6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100≤X＜300 </w:t>
            </w:r>
          </w:p>
        </w:tc>
        <w:tc>
          <w:tcPr>
            <w:tcW w:w="75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 xml:space="preserve"> 10≤X＜100</w:t>
            </w:r>
          </w:p>
        </w:tc>
        <w:tc>
          <w:tcPr>
            <w:tcW w:w="525" w:type="pct"/>
            <w:noWrap w:val="0"/>
            <w:vAlign w:val="center"/>
          </w:tcPr>
          <w:p>
            <w:pPr>
              <w:keepNext w:val="0"/>
              <w:keepLines w:val="0"/>
              <w:pageBreakBefore w:val="0"/>
              <w:widowControl w:val="0"/>
              <w:kinsoku/>
              <w:wordWrap w:val="0"/>
              <w:overflowPunct/>
              <w:topLinePunct/>
              <w:autoSpaceDE/>
              <w:autoSpaceDN/>
              <w:bidi w:val="0"/>
              <w:adjustRightInd w:val="0"/>
              <w:snapToGrid w:val="0"/>
              <w:spacing w:line="280" w:lineRule="exact"/>
              <w:ind w:left="0" w:leftChars="0"/>
              <w:jc w:val="center"/>
              <w:textAlignment w:val="auto"/>
              <w:rPr>
                <w:rFonts w:hint="eastAsia" w:ascii="仿宋" w:hAnsi="仿宋" w:eastAsia="仿宋" w:cs="仿宋"/>
                <w:color w:val="000000"/>
                <w:kern w:val="0"/>
                <w:sz w:val="18"/>
                <w:szCs w:val="18"/>
              </w:rPr>
            </w:pPr>
            <w:r>
              <w:rPr>
                <w:rFonts w:hint="eastAsia" w:ascii="仿宋" w:hAnsi="仿宋" w:eastAsia="仿宋" w:cs="仿宋"/>
                <w:color w:val="000000"/>
                <w:kern w:val="0"/>
                <w:sz w:val="18"/>
                <w:szCs w:val="18"/>
              </w:rPr>
              <w:t>X＜10</w:t>
            </w:r>
          </w:p>
        </w:tc>
      </w:tr>
    </w:tbl>
    <w:p>
      <w:pPr>
        <w:keepNext w:val="0"/>
        <w:keepLines w:val="0"/>
        <w:pageBreakBefore w:val="0"/>
        <w:widowControl/>
        <w:kinsoku/>
        <w:wordWrap/>
        <w:overflowPunct/>
        <w:topLinePunct w:val="0"/>
        <w:autoSpaceDE/>
        <w:autoSpaceDN/>
        <w:bidi w:val="0"/>
        <w:adjustRightInd/>
        <w:snapToGrid/>
        <w:spacing w:line="440" w:lineRule="exact"/>
        <w:ind w:left="0" w:firstLine="512" w:firstLineChars="200"/>
        <w:textAlignment w:val="auto"/>
        <w:rPr>
          <w:rFonts w:hint="eastAsia" w:ascii="仿宋" w:hAnsi="仿宋" w:eastAsia="仿宋" w:cs="仿宋"/>
          <w:color w:val="000000"/>
          <w:spacing w:val="8"/>
          <w:kern w:val="0"/>
          <w:sz w:val="24"/>
          <w:szCs w:val="24"/>
        </w:rPr>
      </w:pPr>
      <w:r>
        <w:rPr>
          <w:rFonts w:hint="eastAsia" w:ascii="仿宋" w:hAnsi="仿宋" w:eastAsia="仿宋" w:cs="仿宋"/>
          <w:color w:val="000000"/>
          <w:spacing w:val="8"/>
          <w:kern w:val="0"/>
          <w:sz w:val="24"/>
          <w:szCs w:val="24"/>
        </w:rPr>
        <w:t>说明：</w:t>
      </w:r>
    </w:p>
    <w:p>
      <w:pPr>
        <w:keepNext w:val="0"/>
        <w:keepLines w:val="0"/>
        <w:pageBreakBefore w:val="0"/>
        <w:kinsoku/>
        <w:wordWrap/>
        <w:overflowPunct/>
        <w:topLinePunct w:val="0"/>
        <w:autoSpaceDE/>
        <w:autoSpaceDN/>
        <w:bidi w:val="0"/>
        <w:adjustRightInd/>
        <w:snapToGrid/>
        <w:spacing w:line="440" w:lineRule="exact"/>
        <w:ind w:left="0" w:firstLine="512" w:firstLineChars="200"/>
        <w:textAlignment w:val="auto"/>
        <w:rPr>
          <w:rFonts w:hint="eastAsia" w:ascii="仿宋" w:hAnsi="仿宋" w:eastAsia="仿宋" w:cs="仿宋"/>
          <w:color w:val="000000"/>
          <w:spacing w:val="8"/>
          <w:kern w:val="0"/>
          <w:sz w:val="24"/>
          <w:szCs w:val="24"/>
        </w:rPr>
      </w:pPr>
      <w:r>
        <w:rPr>
          <w:rFonts w:hint="eastAsia" w:ascii="仿宋" w:hAnsi="仿宋" w:eastAsia="仿宋" w:cs="仿宋"/>
          <w:color w:val="000000"/>
          <w:spacing w:val="8"/>
          <w:kern w:val="0"/>
          <w:sz w:val="24"/>
          <w:szCs w:val="24"/>
        </w:rPr>
        <w:t>1.大型、中型和小型企业须同时满足所列指标的下限，否则下划一档；微型企业只须满足所列指标中的一项即可。</w:t>
      </w:r>
    </w:p>
    <w:p>
      <w:pPr>
        <w:keepNext w:val="0"/>
        <w:keepLines w:val="0"/>
        <w:pageBreakBefore w:val="0"/>
        <w:kinsoku/>
        <w:wordWrap/>
        <w:overflowPunct/>
        <w:topLinePunct w:val="0"/>
        <w:autoSpaceDE/>
        <w:autoSpaceDN/>
        <w:bidi w:val="0"/>
        <w:adjustRightInd/>
        <w:snapToGrid/>
        <w:spacing w:line="440" w:lineRule="exact"/>
        <w:ind w:left="0" w:firstLine="512" w:firstLineChars="200"/>
        <w:textAlignment w:val="auto"/>
        <w:rPr>
          <w:rFonts w:hint="eastAsia" w:ascii="仿宋" w:hAnsi="仿宋" w:eastAsia="仿宋" w:cs="仿宋"/>
          <w:color w:val="000000"/>
          <w:spacing w:val="8"/>
          <w:kern w:val="0"/>
          <w:sz w:val="24"/>
          <w:szCs w:val="24"/>
        </w:rPr>
      </w:pPr>
      <w:r>
        <w:rPr>
          <w:rFonts w:hint="eastAsia" w:ascii="仿宋" w:hAnsi="仿宋" w:eastAsia="仿宋" w:cs="仿宋"/>
          <w:color w:val="000000"/>
          <w:spacing w:val="8"/>
          <w:kern w:val="0"/>
          <w:sz w:val="24"/>
          <w:szCs w:val="24"/>
        </w:rPr>
        <w:t>2.附表中各行业的范围以《国民经济行业分类》</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GB/T4754-2017</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为准。带*的项为行业组合类别，其中，工业包括采矿业，制造业，电力、热力、燃气及水生产和供应业；交通运输业包括道路运输业，水上运输业，航空运输业，管道运输业，多式联运和运输代理业、装卸搬运，不包括铁路运输业；仓储业包括通用仓储，低温仓储，危险品仓储，谷物、棉花等农产品仓储，中药材仓储和其他仓储业;信息传输业包括电信、广播电视和卫星传输服务，互联网和相关服务；其他未列明行业包括科学研究和技术服务业，水利、环境和公共设施管理业，居民服务、修理和其他服务业，社会工作，文化、体育和娱乐业，以及房地产中介服务，其他房地产业等，不包括自有房地产经营活动。</w:t>
      </w:r>
    </w:p>
    <w:p>
      <w:pPr>
        <w:keepNext w:val="0"/>
        <w:keepLines w:val="0"/>
        <w:pageBreakBefore w:val="0"/>
        <w:kinsoku/>
        <w:wordWrap/>
        <w:overflowPunct/>
        <w:topLinePunct w:val="0"/>
        <w:autoSpaceDE/>
        <w:autoSpaceDN/>
        <w:bidi w:val="0"/>
        <w:ind w:left="0" w:firstLine="512" w:firstLineChars="200"/>
        <w:textAlignment w:val="auto"/>
        <w:rPr>
          <w:rFonts w:hint="eastAsia" w:ascii="仿宋" w:hAnsi="仿宋" w:eastAsia="仿宋" w:cs="仿宋"/>
          <w:b/>
          <w:bCs/>
          <w:sz w:val="24"/>
          <w:szCs w:val="24"/>
          <w:lang w:val="en-US" w:eastAsia="zh-CN"/>
        </w:rPr>
      </w:pPr>
      <w:r>
        <w:rPr>
          <w:rFonts w:hint="eastAsia" w:ascii="仿宋" w:hAnsi="仿宋" w:eastAsia="仿宋" w:cs="仿宋"/>
          <w:color w:val="000000"/>
          <w:spacing w:val="8"/>
          <w:kern w:val="0"/>
          <w:sz w:val="24"/>
          <w:szCs w:val="24"/>
        </w:rPr>
        <w:t>3.企业划分指标以现行统计制度为准。</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1</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从业人员，是指期末从业人员数，没有期末从业人员数的，采用全年平均人员数代替。</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2</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营业收入，工业、建筑业、限额以上批发和零售业、限额以上住宿和餐饮业以及其他设置主营业务收入指标的行业，采用主营业务收入；限额以下批发与零售业企业采用商品销售额代替；限额以下住宿与餐饮业企业采用营业额代替；农、林、牧、渔业企业采用营业总收入代替；其他未设置主营业务收入的行业，采用营业收入指标。</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3</w:t>
      </w:r>
      <w:r>
        <w:rPr>
          <w:rFonts w:hint="eastAsia" w:ascii="仿宋" w:hAnsi="仿宋" w:eastAsia="仿宋" w:cs="仿宋"/>
          <w:color w:val="000000"/>
          <w:spacing w:val="8"/>
          <w:kern w:val="0"/>
          <w:sz w:val="24"/>
          <w:szCs w:val="24"/>
          <w:lang w:eastAsia="zh-CN"/>
        </w:rPr>
        <w:t>)</w:t>
      </w:r>
      <w:r>
        <w:rPr>
          <w:rFonts w:hint="eastAsia" w:ascii="仿宋" w:hAnsi="仿宋" w:eastAsia="仿宋" w:cs="仿宋"/>
          <w:color w:val="000000"/>
          <w:spacing w:val="8"/>
          <w:kern w:val="0"/>
          <w:sz w:val="24"/>
          <w:szCs w:val="24"/>
        </w:rPr>
        <w:t>资产总额，采用资产总计代替。</w:t>
      </w:r>
      <w:r>
        <w:rPr>
          <w:rFonts w:hint="eastAsia" w:ascii="仿宋" w:hAnsi="仿宋" w:eastAsia="仿宋" w:cs="仿宋"/>
          <w:b/>
          <w:bCs/>
          <w:sz w:val="24"/>
          <w:szCs w:val="24"/>
          <w:lang w:val="en-US" w:eastAsia="zh-CN"/>
        </w:rPr>
        <w:br w:type="page"/>
      </w:r>
    </w:p>
    <w:p>
      <w:pPr>
        <w:keepNext w:val="0"/>
        <w:keepLines w:val="0"/>
        <w:pageBreakBefore w:val="0"/>
        <w:widowControl/>
        <w:kinsoku/>
        <w:wordWrap/>
        <w:overflowPunct/>
        <w:topLinePunct w:val="0"/>
        <w:autoSpaceDE/>
        <w:autoSpaceDN/>
        <w:bidi w:val="0"/>
        <w:adjustRightInd/>
        <w:snapToGrid/>
        <w:spacing w:line="440" w:lineRule="exact"/>
        <w:textAlignment w:val="auto"/>
        <w:outlineLvl w:val="2"/>
        <w:rPr>
          <w:rFonts w:hint="eastAsia" w:ascii="仿宋" w:hAnsi="仿宋" w:eastAsia="仿宋" w:cs="仿宋"/>
          <w:b/>
          <w:bCs/>
          <w:lang w:val="en-US" w:eastAsia="zh-CN"/>
        </w:rPr>
      </w:pPr>
      <w:bookmarkStart w:id="2" w:name="_Toc14513"/>
      <w:bookmarkStart w:id="3" w:name="_Toc29345"/>
      <w:r>
        <w:rPr>
          <w:rFonts w:hint="eastAsia" w:ascii="仿宋" w:hAnsi="仿宋" w:eastAsia="仿宋" w:cs="仿宋"/>
          <w:b/>
          <w:bCs/>
          <w:sz w:val="24"/>
          <w:szCs w:val="24"/>
          <w:lang w:val="en-US" w:eastAsia="zh-CN"/>
        </w:rPr>
        <w:t>附件</w:t>
      </w:r>
      <w:r>
        <w:rPr>
          <w:rFonts w:hint="eastAsia" w:ascii="仿宋" w:hAnsi="仿宋" w:eastAsia="仿宋" w:cs="仿宋"/>
          <w:b/>
          <w:bCs/>
          <w:sz w:val="24"/>
          <w:szCs w:val="24"/>
          <w:lang w:val="en-US" w:eastAsia="zh-CN"/>
        </w:rPr>
        <w:t>二</w:t>
      </w:r>
      <w:r>
        <w:rPr>
          <w:rFonts w:hint="eastAsia" w:ascii="仿宋" w:hAnsi="仿宋" w:eastAsia="仿宋" w:cs="仿宋"/>
          <w:b/>
          <w:bCs/>
          <w:sz w:val="24"/>
          <w:szCs w:val="24"/>
          <w:lang w:val="en-US" w:eastAsia="zh-CN"/>
        </w:rPr>
        <w:t>：</w:t>
      </w:r>
      <w:r>
        <w:rPr>
          <w:rFonts w:hint="eastAsia" w:ascii="仿宋" w:hAnsi="仿宋" w:eastAsia="仿宋" w:cs="仿宋"/>
          <w:b/>
          <w:bCs/>
          <w:lang w:val="en-US" w:eastAsia="zh-CN"/>
        </w:rPr>
        <w:t>《四川省财政厅关于推进四川省政府采购供应商信用融资工作的通知》(川财采〔2018〕123号文)</w:t>
      </w:r>
      <w:bookmarkEnd w:id="2"/>
      <w:bookmarkEnd w:id="3"/>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440" w:lineRule="exact"/>
        <w:ind w:right="0"/>
        <w:jc w:val="left"/>
        <w:textAlignment w:val="auto"/>
        <w:rPr>
          <w:rFonts w:hint="eastAsia" w:ascii="仿宋" w:hAnsi="仿宋" w:eastAsia="仿宋" w:cs="仿宋"/>
          <w:b/>
          <w:bCs/>
          <w:i w:val="0"/>
          <w:caps w:val="0"/>
          <w:color w:val="auto"/>
          <w:spacing w:val="0"/>
          <w:sz w:val="24"/>
          <w:szCs w:val="24"/>
          <w:lang w:val="en-US" w:eastAsia="zh-CN"/>
        </w:rPr>
      </w:pPr>
      <w:r>
        <w:rPr>
          <w:rFonts w:hint="eastAsia" w:ascii="仿宋" w:hAnsi="仿宋" w:eastAsia="仿宋" w:cs="仿宋"/>
          <w:b/>
          <w:bCs/>
          <w:color w:val="auto"/>
          <w:lang w:val="en-US" w:eastAsia="zh-CN"/>
        </w:rPr>
        <w:t>查询链接：</w:t>
      </w:r>
      <w:r>
        <w:rPr>
          <w:rFonts w:hint="eastAsia" w:ascii="仿宋" w:hAnsi="仿宋" w:eastAsia="仿宋" w:cs="仿宋"/>
          <w:b/>
          <w:bCs/>
          <w:i w:val="0"/>
          <w:caps w:val="0"/>
          <w:color w:val="auto"/>
          <w:spacing w:val="0"/>
          <w:sz w:val="24"/>
          <w:szCs w:val="24"/>
          <w:lang w:val="en-US" w:eastAsia="zh-CN"/>
        </w:rPr>
        <w:t>http</w:t>
      </w:r>
      <w:r>
        <w:rPr>
          <w:rFonts w:hint="eastAsia" w:ascii="仿宋" w:hAnsi="仿宋" w:eastAsia="仿宋" w:cs="仿宋"/>
          <w:b/>
          <w:bCs/>
          <w:i w:val="0"/>
          <w:caps w:val="0"/>
          <w:color w:val="auto"/>
          <w:spacing w:val="0"/>
          <w:sz w:val="24"/>
          <w:szCs w:val="24"/>
          <w:lang w:val="en-US" w:eastAsia="zh-CN"/>
        </w:rPr>
        <w:t>：</w:t>
      </w:r>
      <w:r>
        <w:rPr>
          <w:rFonts w:hint="eastAsia" w:ascii="仿宋" w:hAnsi="仿宋" w:eastAsia="仿宋" w:cs="仿宋"/>
          <w:b/>
          <w:bCs/>
          <w:i w:val="0"/>
          <w:caps w:val="0"/>
          <w:color w:val="auto"/>
          <w:spacing w:val="0"/>
          <w:sz w:val="24"/>
          <w:szCs w:val="24"/>
          <w:lang w:val="en-US" w:eastAsia="zh-CN"/>
        </w:rPr>
        <w:t>//www.ccgp-sichuan.gov.cn/view/staticpags/sjzcfg/40288687657ff75501672fd954532414.html</w:t>
      </w:r>
    </w:p>
    <w:p>
      <w:pPr>
        <w:keepNext w:val="0"/>
        <w:keepLines w:val="0"/>
        <w:pageBreakBefore w:val="0"/>
        <w:widowControl/>
        <w:kinsoku/>
        <w:wordWrap/>
        <w:overflowPunct/>
        <w:topLinePunct w:val="0"/>
        <w:autoSpaceDE/>
        <w:autoSpaceDN/>
        <w:bidi w:val="0"/>
        <w:adjustRightInd/>
        <w:snapToGrid/>
        <w:spacing w:line="440" w:lineRule="exact"/>
        <w:textAlignment w:val="auto"/>
        <w:rPr>
          <w:rFonts w:hint="eastAsia" w:ascii="仿宋" w:hAnsi="仿宋" w:eastAsia="仿宋" w:cs="仿宋"/>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240" w:lineRule="auto"/>
        <w:ind w:left="0" w:firstLine="0" w:firstLineChars="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5302250" cy="1859915"/>
            <wp:effectExtent l="0" t="0" r="3175" b="6985"/>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12"/>
                    <a:stretch>
                      <a:fillRect/>
                    </a:stretch>
                  </pic:blipFill>
                  <pic:spPr>
                    <a:xfrm>
                      <a:off x="0" y="0"/>
                      <a:ext cx="5302250" cy="1859915"/>
                    </a:xfrm>
                    <a:prstGeom prst="rect">
                      <a:avLst/>
                    </a:prstGeom>
                    <a:noFill/>
                    <a:ln w="9525">
                      <a:noFill/>
                    </a:ln>
                  </pic:spPr>
                </pic:pic>
              </a:graphicData>
            </a:graphic>
          </wp:inline>
        </w:drawing>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各市</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州</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、扩权县</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市</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财政局，各省直机关、事业单位、团体组织，各金融机构，各采购代理机构，各政府采购供应商：</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为贯彻落实党的十九大精神、国务院“放管服”改革决策部署、省委十一届三次全会“大力推进创新驱动发展战略”精神，助力解决政府采购中标、成交供应商资金不足、融资难、融资贵的困难，促进供应商依法诚信参加政府采购活动，根据《中华人民共和国政府采购法》、《四川省人民政府关于印发进一步规范政府采购监管和执行若干规定的通知》</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川府发〔2018〕14号</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等有关规定，现就推进四川省政府采购供应商信用融资工作有关事项通知如下。</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一、融资概念</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政府采购供应商信用融资</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以下简称“政采贷”</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，是指银行以政府采购供应商信用审查和政府采购信誉为基础，依托政府采购合同，按优于一般企业的贷款程序和利率，直接向申请贷款的供应商发放无财产抵押贷款的一种融资模式。</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二、基本原则</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一</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财政引导，市场运行</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财政部门推进“政采贷”，银行和供应商按照自愿原则参与。供应商自愿选择是否申请“政采贷”，银行依据其内部审查制度和决策程序决定是否为供应商提供融资，自担风险。</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二</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建立机制，服务银企</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财政部门与银行建立“政采贷”工作机制，推动政府采购政策功能和金融资源的有机结合，拓宽银行的融资业务，助力解决政府采购中标、成交供应商资金不足、融资难、融资贵的困难，促进企业健康发展。</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三</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优质优惠，加强扶持</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银行按优于同期一般企业的贷款利率，向政府采购供应商提供信用贷款，贷款额度由银行根据政府采购合同的具体情况确定，不要求申请融资的供应商提供财产抵押或第三方担保，不收取融资利息之外的额外费用。</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三、基本条件</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一</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银行暨“政采贷”金融产品</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1、征集。</w:t>
      </w:r>
      <w:r>
        <w:rPr>
          <w:rFonts w:hint="eastAsia" w:ascii="仿宋" w:hAnsi="仿宋" w:eastAsia="仿宋" w:cs="仿宋"/>
          <w:b w:val="0"/>
          <w:i w:val="0"/>
          <w:caps w:val="0"/>
          <w:color w:val="auto"/>
          <w:spacing w:val="0"/>
          <w:sz w:val="24"/>
          <w:szCs w:val="24"/>
        </w:rPr>
        <w:t>在四川省行政区域内，有意向开展“政采贷”工作的银行，可以于2018年12月21日前，直接向四川省财政厅</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政府采购监督管理处</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提交书面申请。四川省财政厅可以根据情况每年征集一次有意向开展“政采贷”工作的银行。</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申请材料应当包括银行基本情况、“政采贷”产品名称、申请贷款条件、申请贷款方式、申请贷款程序、贷款审查流程、贷款额度、发放贷款时间、收款方式及其他优质服务和优惠承诺等。</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银行提供的“政采贷”产品应当满足“无抵押担保、程序简便、利率优惠、放款及时”的基本条件以及本通知其他相关规定。</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银行申请材料中应当载明其自愿提供“政采贷”产品，自担风险，不得要求或者变相要求财政部门和采购人为其提供风险担保、承诺。</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2、公示。</w:t>
      </w:r>
      <w:r>
        <w:rPr>
          <w:rFonts w:hint="eastAsia" w:ascii="仿宋" w:hAnsi="仿宋" w:eastAsia="仿宋" w:cs="仿宋"/>
          <w:b w:val="0"/>
          <w:i w:val="0"/>
          <w:caps w:val="0"/>
          <w:color w:val="auto"/>
          <w:spacing w:val="0"/>
          <w:sz w:val="24"/>
          <w:szCs w:val="24"/>
        </w:rPr>
        <w:t>四川省财政厅收到银行提交的书面申请后，对满足本通知要求的银行及其“政采贷”产品具体信息，及时在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向社会公示。银行申请材料中提供的“政采贷”产品不满足本通知要求的，四川省财政厅将退回申请，并告知理由。</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二</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供应商</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政府采购供应商向银行申请“政采贷”，应当满足下列基本条件：</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1、</w:t>
      </w:r>
      <w:r>
        <w:rPr>
          <w:rFonts w:hint="eastAsia" w:ascii="仿宋" w:hAnsi="仿宋" w:eastAsia="仿宋" w:cs="仿宋"/>
          <w:b w:val="0"/>
          <w:i w:val="0"/>
          <w:caps w:val="0"/>
          <w:color w:val="auto"/>
          <w:spacing w:val="0"/>
          <w:sz w:val="24"/>
          <w:szCs w:val="24"/>
        </w:rPr>
        <w:t>具有依法承担民事责任的能力；</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2、</w:t>
      </w:r>
      <w:r>
        <w:rPr>
          <w:rFonts w:hint="eastAsia" w:ascii="仿宋" w:hAnsi="仿宋" w:eastAsia="仿宋" w:cs="仿宋"/>
          <w:b w:val="0"/>
          <w:i w:val="0"/>
          <w:caps w:val="0"/>
          <w:color w:val="auto"/>
          <w:spacing w:val="0"/>
          <w:sz w:val="24"/>
          <w:szCs w:val="24"/>
        </w:rPr>
        <w:t>具有依法履行政府采购合同的能力；</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3、</w:t>
      </w:r>
      <w:r>
        <w:rPr>
          <w:rFonts w:hint="eastAsia" w:ascii="仿宋" w:hAnsi="仿宋" w:eastAsia="仿宋" w:cs="仿宋"/>
          <w:b w:val="0"/>
          <w:i w:val="0"/>
          <w:caps w:val="0"/>
          <w:color w:val="auto"/>
          <w:spacing w:val="0"/>
          <w:sz w:val="24"/>
          <w:szCs w:val="24"/>
        </w:rPr>
        <w:t>参加的政府采购活动未被财政部门依法暂停、责令重新开展或者认定中标、成交无效；</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4、</w:t>
      </w:r>
      <w:r>
        <w:rPr>
          <w:rFonts w:hint="eastAsia" w:ascii="仿宋" w:hAnsi="仿宋" w:eastAsia="仿宋" w:cs="仿宋"/>
          <w:b w:val="0"/>
          <w:i w:val="0"/>
          <w:caps w:val="0"/>
          <w:color w:val="auto"/>
          <w:spacing w:val="0"/>
          <w:sz w:val="24"/>
          <w:szCs w:val="24"/>
        </w:rPr>
        <w:t>无《政府采购法》第二十二条第一款第</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五</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项所称的重大违法记录；</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5、</w:t>
      </w:r>
      <w:r>
        <w:rPr>
          <w:rFonts w:hint="eastAsia" w:ascii="仿宋" w:hAnsi="仿宋" w:eastAsia="仿宋" w:cs="仿宋"/>
          <w:b w:val="0"/>
          <w:i w:val="0"/>
          <w:caps w:val="0"/>
          <w:color w:val="auto"/>
          <w:spacing w:val="0"/>
          <w:sz w:val="24"/>
          <w:szCs w:val="24"/>
        </w:rPr>
        <w:t>未被法院、市场监管、税务、银行等部门单位纳入失信名单且在有效期内；</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6、</w:t>
      </w:r>
      <w:r>
        <w:rPr>
          <w:rFonts w:hint="eastAsia" w:ascii="仿宋" w:hAnsi="仿宋" w:eastAsia="仿宋" w:cs="仿宋"/>
          <w:b w:val="0"/>
          <w:i w:val="0"/>
          <w:caps w:val="0"/>
          <w:color w:val="auto"/>
          <w:spacing w:val="0"/>
          <w:sz w:val="24"/>
          <w:szCs w:val="24"/>
        </w:rPr>
        <w:t>在一定期限内的</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银行可以具体确定</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政府采购合同履约过程中或者其他经营活动履约过程中，无不依法履约被有关行政部门行政处罚的或者产生法律纠纷被法院、仲裁机构判决、裁决败诉的；</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rPr>
        <w:t>7、</w:t>
      </w:r>
      <w:r>
        <w:rPr>
          <w:rFonts w:hint="eastAsia" w:ascii="仿宋" w:hAnsi="仿宋" w:eastAsia="仿宋" w:cs="仿宋"/>
          <w:b w:val="0"/>
          <w:i w:val="0"/>
          <w:caps w:val="0"/>
          <w:color w:val="auto"/>
          <w:spacing w:val="0"/>
          <w:sz w:val="24"/>
          <w:szCs w:val="24"/>
        </w:rPr>
        <w:t>其他银行要求的不属于提供财产抵押或第三方担保的条件。</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四、构建平台</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四川省财政厅将在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统一构建四川省“政采贷”信息化服务平台，推进四川省“政采贷”工作信息化建设。</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五、财金互动</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各级财政部门应当按照《四川省政府采购促进中小企业发展的若干规定》</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川财采[2016]35号</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等有关规定，对金融机构向小微企业提供“政采贷”贷款产生的损失，纳入财政金融互动政策范围给予风险补贴。</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六、基本流程</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一</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意向申请</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b w:val="0"/>
          <w:i w:val="0"/>
          <w:caps w:val="0"/>
          <w:color w:val="auto"/>
          <w:spacing w:val="0"/>
          <w:sz w:val="24"/>
          <w:szCs w:val="24"/>
        </w:rPr>
      </w:pPr>
      <w:r>
        <w:rPr>
          <w:rFonts w:hint="eastAsia" w:ascii="仿宋" w:hAnsi="仿宋" w:eastAsia="仿宋" w:cs="仿宋"/>
          <w:b w:val="0"/>
          <w:i w:val="0"/>
          <w:caps w:val="0"/>
          <w:color w:val="auto"/>
          <w:spacing w:val="0"/>
          <w:sz w:val="24"/>
          <w:szCs w:val="24"/>
        </w:rPr>
        <w:t>有融资需求的供应商可根据</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公示的银行及其“政采贷”产品，自行选择符合自身情况的“政采贷”银行及其产品，凭中标</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成交</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通知书向银行提出贷款意向申请。银行应及时按照有关规定完成对供应商的信用审查以及开设账户等相关工作。</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b/>
          <w:i w:val="0"/>
          <w:caps w:val="0"/>
          <w:color w:val="auto"/>
          <w:spacing w:val="0"/>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二</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正式申请</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供应商与采购人在法定时间依法签订政府采购合同</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政府采购合同签订后，应当依法在7个工作日内向同级财政部门备案，2个工作日内在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公告</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后，可凭政府采购合同向银行提出“政采贷”正式申请。</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对拟用于“政采贷”的政府采购合同，应在合同中注明贷款银行名称及账号，作为供应商本次采购的唯一收款账号。因发生特殊情况需要在还款前变更收款账号的，供应商应当事前书面告知采购人和放款银行，并获得采购人和放款银行同意。采购人和放款银行同意后，采购人与供应商应当就该条款重新签订政府采购合同或者签订补充协议作为原政府采购合同的一部分，并在签订后依法在7个工作日内向同级财政部门备案，2个工作日内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公告。</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三</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贷款审查</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银行按规定对申请“政采贷”的供应商及其提供的政府采购合同等信息进行审查。审查过程中，银行认为有必要的，可以到采购人、采购代理机构或者财政部门对该政府采购合同的书面信息与备案信息进行核实，有关单位应当配合。银行审查通过后，应当按照其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公示的“政采贷”产品服务承诺事项及时放款。</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四</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信息报送</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银行完成放款后，应当通过四川省“政采贷”信息化服务平台，填写《四川省“政采贷”信息统计表》</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详见附件</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，每季度终了5个工作日内，向四川省财政厅</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政府采购监督管理处</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报送，以便相关部门及时掌握和分析“政采贷”信息，不断推进“政采贷”工作。</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五</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资金支付</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政府采购资金支付时，采购人必须将采购资金支付到政府采购合同中注明的贷款银行名称及账号，以保障贷款资金的安全回收。采购人不得将采购资金支付在政府采购合同约定以外的收款账号。</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政府采购资金支付过程中，银行需要查询采购资金支付进程有关信息的，财政部门和采购人应当支持。</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七、职责要求</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一</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各级财政部门应当高度重视“政采贷”工作，提高认识，充分发挥自身职能作用。不断完善政策措施，加强对“政采贷”采购项目的跟踪监督，对于银行向采购人、采购代理机构核实或者获取合法范围内的相关政府采购信息有困难的，可以积极进行协调。财政部门不得为“政采贷”提供任何形式的担保和承诺。</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二</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银行应当切实转变注重抵押担保的传统信贷理念，积极服务经济社会发展的大局，不断完善“政采贷”产品，优化贷款审查流程，简化贷款审查手续，提供更多优质服务，同时做好风险防控工作。银行对于供应商是否如期还款情况及未如期还款的主要原因等信息，应当及时向财政部门反馈。</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三</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采购人应当积极支持“政采贷”工作，对于银行、供应商提出的合理需求，应当支持。对于已融资采购项目，供应商履约完成后，要及时开展履约验收工作，及时支付采购资金，不得无故拖延和拒付采购资金。</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四</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采购代理机构在组织实施政府采购活动中，应当采取有效方式，向供应商宣传“政采贷”政策。银行需要借用采购代理机构的场所直接向供应商介绍其“政采贷”产品的，采购代理机构应当支持。</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五</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供应商应当依法参加政府采购活动，公平竞争，诚实守信，严格按照政府采购合同履约，严格按照借款合同偿还债务。</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六</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财政部门、采购人、采购代理机构及其他有关单位和个人不得违规干预供应商选择“政采贷”银行及其产品，也不得违规干预银行向供应商进行贷款。</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七</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相关单位和个人在开展“政采贷”工作过程中，发现新问题、新情况或者有意见建议的，请及时向四川省财政厅反馈。</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八、违规处理</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一</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银行违规处理</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银行不按照其在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公示的“政采贷”产品服务承诺事项办理供应商信用融资贷款申请的，由四川省财政厅进行约谈，责令限期整改；拒不整改或者变相拒不整改的，撤销其在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的公示信息，取消其资格，并在1-3年内拒绝接收其再次申请。</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二</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供应商违规处理</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供应商以政府采购合同造假或者其他造假方式违规申请信用融资的，或者违反有关规定或者约定，导致无法偿还信用融资贷款的，或者拒绝或无故拖延还款付息的，由有关部门单位依法处理，纳入“不具备《中华人民共和国政府采购法》第二十二条第一款第</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二</w:t>
      </w:r>
      <w:r>
        <w:rPr>
          <w:rFonts w:hint="eastAsia" w:ascii="仿宋" w:hAnsi="仿宋" w:eastAsia="仿宋" w:cs="仿宋"/>
          <w:b w:val="0"/>
          <w:i w:val="0"/>
          <w:caps w:val="0"/>
          <w:color w:val="auto"/>
          <w:spacing w:val="0"/>
          <w:sz w:val="24"/>
          <w:szCs w:val="24"/>
          <w:lang w:eastAsia="zh-CN"/>
        </w:rPr>
        <w:t>)</w:t>
      </w:r>
      <w:r>
        <w:rPr>
          <w:rFonts w:hint="eastAsia" w:ascii="仿宋" w:hAnsi="仿宋" w:eastAsia="仿宋" w:cs="仿宋"/>
          <w:b w:val="0"/>
          <w:i w:val="0"/>
          <w:caps w:val="0"/>
          <w:color w:val="auto"/>
          <w:spacing w:val="0"/>
          <w:sz w:val="24"/>
          <w:szCs w:val="24"/>
        </w:rPr>
        <w:t>项规定的具有良好的商业信誉条件”名单，并在</w:t>
      </w:r>
      <w:r>
        <w:rPr>
          <w:rFonts w:hint="eastAsia" w:ascii="仿宋" w:hAnsi="仿宋" w:eastAsia="仿宋" w:cs="仿宋"/>
          <w:b w:val="0"/>
          <w:i w:val="0"/>
          <w:caps w:val="0"/>
          <w:color w:val="auto"/>
          <w:spacing w:val="0"/>
          <w:sz w:val="24"/>
          <w:szCs w:val="24"/>
          <w:lang w:eastAsia="zh-CN"/>
        </w:rPr>
        <w:t>“四川政府采购网”</w:t>
      </w:r>
      <w:r>
        <w:rPr>
          <w:rFonts w:hint="eastAsia" w:ascii="仿宋" w:hAnsi="仿宋" w:eastAsia="仿宋" w:cs="仿宋"/>
          <w:b w:val="0"/>
          <w:i w:val="0"/>
          <w:caps w:val="0"/>
          <w:color w:val="auto"/>
          <w:spacing w:val="0"/>
          <w:sz w:val="24"/>
          <w:szCs w:val="24"/>
        </w:rPr>
        <w:t>公示。</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2" w:firstLineChars="200"/>
        <w:jc w:val="left"/>
        <w:textAlignment w:val="auto"/>
        <w:rPr>
          <w:rFonts w:hint="eastAsia" w:ascii="仿宋" w:hAnsi="仿宋" w:eastAsia="仿宋" w:cs="仿宋"/>
          <w:color w:val="auto"/>
          <w:sz w:val="24"/>
          <w:szCs w:val="24"/>
        </w:rPr>
      </w:pP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三</w:t>
      </w:r>
      <w:r>
        <w:rPr>
          <w:rFonts w:hint="eastAsia" w:ascii="仿宋" w:hAnsi="仿宋" w:eastAsia="仿宋" w:cs="仿宋"/>
          <w:b/>
          <w:i w:val="0"/>
          <w:caps w:val="0"/>
          <w:color w:val="auto"/>
          <w:spacing w:val="0"/>
          <w:sz w:val="24"/>
          <w:szCs w:val="24"/>
          <w:lang w:eastAsia="zh-CN"/>
        </w:rPr>
        <w:t>)</w:t>
      </w:r>
      <w:r>
        <w:rPr>
          <w:rFonts w:hint="eastAsia" w:ascii="仿宋" w:hAnsi="仿宋" w:eastAsia="仿宋" w:cs="仿宋"/>
          <w:b/>
          <w:i w:val="0"/>
          <w:caps w:val="0"/>
          <w:color w:val="auto"/>
          <w:spacing w:val="0"/>
          <w:sz w:val="24"/>
          <w:szCs w:val="24"/>
        </w:rPr>
        <w:t>其他违规处理</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color w:val="auto"/>
          <w:sz w:val="24"/>
          <w:szCs w:val="24"/>
        </w:rPr>
      </w:pPr>
      <w:r>
        <w:rPr>
          <w:rFonts w:hint="eastAsia" w:ascii="仿宋" w:hAnsi="仿宋" w:eastAsia="仿宋" w:cs="仿宋"/>
          <w:b w:val="0"/>
          <w:i w:val="0"/>
          <w:caps w:val="0"/>
          <w:color w:val="auto"/>
          <w:spacing w:val="0"/>
          <w:sz w:val="24"/>
          <w:szCs w:val="24"/>
        </w:rPr>
        <w:t>采购人无正当理由拖延和拒付采购资金的，或者采购代理机构拒绝支持银行借用场所向供应商介绍其“政采贷”产品的，或者有关单位或个人违规干预供应商选择“政采贷”银行及其产品的，或者有关单位或个人违规干预银行向供应商进行贷款的，由采购项目同级财政部门进行约谈，责令限期整改；拒不整改或者变相拒不整改的，按照有关规定依法处理。</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exact"/>
        <w:ind w:left="0" w:right="0" w:firstLine="480" w:firstLineChars="200"/>
        <w:jc w:val="left"/>
        <w:textAlignment w:val="auto"/>
        <w:rPr>
          <w:rFonts w:hint="eastAsia" w:ascii="仿宋" w:hAnsi="仿宋" w:eastAsia="仿宋" w:cs="仿宋"/>
          <w:b w:val="0"/>
          <w:i w:val="0"/>
          <w:caps w:val="0"/>
          <w:color w:val="auto"/>
          <w:spacing w:val="0"/>
          <w:sz w:val="24"/>
          <w:szCs w:val="24"/>
        </w:rPr>
      </w:pPr>
      <w:r>
        <w:rPr>
          <w:rFonts w:hint="eastAsia" w:ascii="仿宋" w:hAnsi="仿宋" w:eastAsia="仿宋" w:cs="仿宋"/>
          <w:kern w:val="0"/>
          <w:sz w:val="24"/>
          <w:szCs w:val="24"/>
          <w:lang w:val="en-US" w:eastAsia="zh-CN" w:bidi="ar"/>
        </w:rPr>
        <w:drawing>
          <wp:anchor distT="0" distB="0" distL="114300" distR="114300" simplePos="0" relativeHeight="251659264" behindDoc="0" locked="0" layoutInCell="1" allowOverlap="1">
            <wp:simplePos x="0" y="0"/>
            <wp:positionH relativeFrom="column">
              <wp:posOffset>3467100</wp:posOffset>
            </wp:positionH>
            <wp:positionV relativeFrom="paragraph">
              <wp:posOffset>143510</wp:posOffset>
            </wp:positionV>
            <wp:extent cx="1771650" cy="1781175"/>
            <wp:effectExtent l="0" t="0" r="0" b="0"/>
            <wp:wrapSquare wrapText="bothSides"/>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13"/>
                    <a:stretch>
                      <a:fillRect/>
                    </a:stretch>
                  </pic:blipFill>
                  <pic:spPr>
                    <a:xfrm>
                      <a:off x="0" y="0"/>
                      <a:ext cx="1771650" cy="1781175"/>
                    </a:xfrm>
                    <a:prstGeom prst="rect">
                      <a:avLst/>
                    </a:prstGeom>
                    <a:noFill/>
                    <a:ln w="9525">
                      <a:noFill/>
                    </a:ln>
                  </pic:spPr>
                </pic:pic>
              </a:graphicData>
            </a:graphic>
          </wp:anchor>
        </w:drawing>
      </w:r>
      <w:r>
        <w:rPr>
          <w:rFonts w:hint="eastAsia" w:ascii="仿宋" w:hAnsi="仿宋" w:eastAsia="仿宋" w:cs="仿宋"/>
          <w:b w:val="0"/>
          <w:i w:val="0"/>
          <w:caps w:val="0"/>
          <w:color w:val="auto"/>
          <w:spacing w:val="0"/>
          <w:sz w:val="24"/>
          <w:szCs w:val="24"/>
        </w:rPr>
        <w:t> </w:t>
      </w:r>
    </w:p>
    <w:p>
      <w:p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br w:type="page"/>
      </w:r>
    </w:p>
    <w:p>
      <w:pPr>
        <w:pStyle w:val="15"/>
        <w:keepNext w:val="0"/>
        <w:keepLines w:val="0"/>
        <w:pageBreakBefore w:val="0"/>
        <w:widowControl w:val="0"/>
        <w:kinsoku/>
        <w:wordWrap w:val="0"/>
        <w:overflowPunct/>
        <w:topLinePunct/>
        <w:autoSpaceDE/>
        <w:autoSpaceDN/>
        <w:bidi w:val="0"/>
        <w:adjustRightInd w:val="0"/>
        <w:snapToGrid w:val="0"/>
        <w:ind w:firstLine="0" w:firstLineChars="0"/>
        <w:textAlignment w:val="auto"/>
        <w:outlineLvl w:val="2"/>
        <w:rPr>
          <w:rFonts w:hint="eastAsia" w:ascii="仿宋" w:hAnsi="仿宋" w:eastAsia="仿宋" w:cs="仿宋"/>
          <w:lang w:val="en-US" w:eastAsia="zh-CN"/>
        </w:rPr>
      </w:pPr>
      <w:bookmarkStart w:id="4" w:name="_Toc23156"/>
      <w:bookmarkStart w:id="5" w:name="_Toc32150"/>
      <w:r>
        <w:rPr>
          <w:rFonts w:hint="eastAsia" w:ascii="仿宋" w:hAnsi="仿宋" w:eastAsia="仿宋" w:cs="仿宋"/>
          <w:lang w:val="en-US" w:eastAsia="zh-CN"/>
        </w:rPr>
        <w:t>附件三：《商品包装政府采购需求标准(试行)》、 《快递包装政府采购需求标准(试行)》(财办库〔2020〕123号)</w:t>
      </w:r>
      <w:bookmarkEnd w:id="4"/>
      <w:bookmarkEnd w:id="5"/>
    </w:p>
    <w:p>
      <w:pPr>
        <w:pStyle w:val="15"/>
        <w:keepNext w:val="0"/>
        <w:keepLines w:val="0"/>
        <w:pageBreakBefore w:val="0"/>
        <w:widowControl w:val="0"/>
        <w:kinsoku/>
        <w:wordWrap w:val="0"/>
        <w:overflowPunct/>
        <w:topLinePunct/>
        <w:autoSpaceDE/>
        <w:autoSpaceDN/>
        <w:bidi w:val="0"/>
        <w:adjustRightInd w:val="0"/>
        <w:snapToGrid w:val="0"/>
        <w:spacing w:line="520" w:lineRule="exact"/>
        <w:jc w:val="center"/>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商品包装要求</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一、商品包装环保要求：</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1.商品包装层数不得超过3层，空隙率不大于40%；</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2.商品包装尽可能使用单一材质的包装材料，如因功能需求必需使用不同材质，不同材质间应便于分离；</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3.商品包装中铅、汞、镉、六价铬的总含量应不大于100mg/kg；</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4.商品包装印刷使用的油墨中挥发性有机化合物(VOCs)含量应不大于5%(以重量计)；</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5.塑料材质商品包装上呈现的印刷颜色不得超过6色；</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6.纸质商品包装应使用75%以上的可再生纤维原料生产；</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7.木质商品包装的原料应来源于可持续性森林。</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二、商品包装的检测方法：</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1.商品包装中重金属(铅、汞、镉、六价铬)总量的检测按照GB/T10004-2008《包装用塑料复合膜、袋干法复合、挤出复合》规定的方法进行；</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2.商品包装印刷使用的油墨中挥发性有机化合物(VOCs)的检测按照GB/T23986-2009《色漆和清漆挥发性有机化合物(VOC)含量的测定气相色谱法》规定的方法进行。</w:t>
      </w:r>
    </w:p>
    <w:p>
      <w:pPr>
        <w:pStyle w:val="15"/>
        <w:keepNext w:val="0"/>
        <w:keepLines w:val="0"/>
        <w:pageBreakBefore w:val="0"/>
        <w:widowControl w:val="0"/>
        <w:kinsoku/>
        <w:wordWrap w:val="0"/>
        <w:overflowPunct/>
        <w:topLinePunct/>
        <w:autoSpaceDE/>
        <w:autoSpaceDN/>
        <w:bidi w:val="0"/>
        <w:adjustRightInd w:val="0"/>
        <w:snapToGrid w:val="0"/>
        <w:spacing w:line="520" w:lineRule="exact"/>
        <w:jc w:val="center"/>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快递包装要求</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一、快递包装环保要求</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根据《快递包装政府采购需求标准(试行)》，本标准中的快递包装主要指快递封装材料，包括封套、胶带、面单、包装袋/箱、填充物、集装袋、周转箱等。</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1.快递包装中重金属(铅、汞、镉、六价铬)总量应不大于100mg/kg；</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2.快递包装印刷使用的油墨中不应添加邻苯二甲酸酯，其挥发性有机化合物(VOCs)含量应不大于5%(以重量计)；</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3.快递包装中使用纸基材的包装材料，纸基材中的有机氯的含量应不大于150mg/kg；</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4.快递包装中使用塑料基材的包装材料不得使用邻苯二甲酸二异壬酯、邻苯二甲酸二正辛酯、邻苯二甲酸二(2-乙基)己酯、邻苯二甲酸二异癸酯、邻苯二甲酸丁基苄基酯、邻苯二甲酸二丁酯等作为增塑剂；</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5.快递中使用的塑料包装袋不得使用聚氯乙烯作为原料，且原料应为单一材质制成，生物分解率大于60%；</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6.快递中使用的充气类填充物不得使用聚氯乙烯作为原料，且原料为单一材质制成，生物分解率大于60%；</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7.快递中使用的集装袋应为单一材质制成，其重复使用次数应不小于80次；</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8.快递中应使用幅宽不大于45mm的生物降解胶带；</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9.快递包装中不得使用溶剂型胶粘剂；</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10.快递应使用电子面单；</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11.直接使用商品包装作为快递包装的商品，其商品包装满足《商品包装政府采购需求标准(试行)》即可；</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12.快递包装产品质量和封装方式应符合相关国家或行业标准技术指标要求。</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二、快递包装的检测方法：</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1.快递包装中重金属(铅、汞、镉、六价铬)总量的检测按照GB/T10004-2008《包装用塑料复合膜、袋干法复合、挤出复合》规定的方法进行。</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2.快递包装印刷使用的油墨中挥发性有机化合物(VOCs)的检测按照GB/T23986-2009《色漆和清漆挥发性有机化合物(VOC)含量的测定气相色谱法》规定的方法进行。</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3.快递包装所使用的塑料包装的生物降解率的检测按照GB/T20197-2006《降解塑料的定义、分类、标识和降解性能要求》规定的方法进行。</w:t>
      </w:r>
    </w:p>
    <w:p>
      <w:pPr>
        <w:pStyle w:val="15"/>
        <w:keepNext w:val="0"/>
        <w:keepLines w:val="0"/>
        <w:pageBreakBefore w:val="0"/>
        <w:widowControl w:val="0"/>
        <w:kinsoku/>
        <w:wordWrap w:val="0"/>
        <w:overflowPunct/>
        <w:topLinePunct/>
        <w:autoSpaceDE/>
        <w:autoSpaceDN/>
        <w:bidi w:val="0"/>
        <w:adjustRightInd w:val="0"/>
        <w:snapToGrid w:val="0"/>
        <w:spacing w:line="520" w:lineRule="exact"/>
        <w:textAlignment w:val="auto"/>
        <w:outlineLvl w:val="9"/>
        <w:rPr>
          <w:rFonts w:hint="eastAsia" w:ascii="仿宋" w:hAnsi="仿宋" w:eastAsia="仿宋" w:cs="仿宋"/>
          <w:b w:val="0"/>
          <w:bCs/>
          <w:lang w:val="en-US" w:eastAsia="zh-CN"/>
        </w:rPr>
      </w:pPr>
      <w:r>
        <w:rPr>
          <w:rFonts w:hint="eastAsia" w:ascii="仿宋" w:hAnsi="仿宋" w:eastAsia="仿宋" w:cs="仿宋"/>
          <w:b w:val="0"/>
          <w:bCs/>
          <w:lang w:val="en-US" w:eastAsia="zh-CN"/>
        </w:rPr>
        <w:t>4.快递包装使用纸基材的包装材料中有机氯的检测按照GB/T22904-2008《纸浆、纸和纸板总氯和有机氯的检定》规定的方法进行。</w:t>
      </w:r>
    </w:p>
    <w:p>
      <w:pPr>
        <w:rPr>
          <w:rFonts w:hint="eastAsia" w:ascii="仿宋" w:hAnsi="仿宋" w:eastAsia="仿宋" w:cs="仿宋"/>
          <w:b w:val="0"/>
          <w:bCs/>
          <w:lang w:val="en-US" w:eastAsia="zh-CN"/>
        </w:rPr>
      </w:pPr>
      <w:r>
        <w:rPr>
          <w:rFonts w:hint="eastAsia" w:ascii="仿宋" w:hAnsi="仿宋" w:eastAsia="仿宋" w:cs="仿宋"/>
          <w:b w:val="0"/>
          <w:bCs/>
          <w:lang w:val="en-US" w:eastAsia="zh-CN"/>
        </w:rPr>
        <w:t>5.快递包装中使用的生物降解胶带的生物降解率的检测按照GB/T19277.1《受控堆肥条件下材料最终需氧生物分解能力的测定采用测定释放的二氧化碳的方法第1部分：通用方法》规定的方法进行。</w:t>
      </w:r>
    </w:p>
    <w:p>
      <w:pPr>
        <w:rPr>
          <w:rFonts w:hint="eastAsia" w:ascii="仿宋" w:hAnsi="仿宋" w:eastAsia="仿宋" w:cs="仿宋"/>
        </w:rPr>
      </w:pPr>
      <w:r>
        <w:rPr>
          <w:rFonts w:hint="eastAsia" w:ascii="仿宋" w:hAnsi="仿宋" w:eastAsia="仿宋" w:cs="仿宋"/>
        </w:rPr>
        <w:br w:type="page"/>
      </w:r>
    </w:p>
    <w:p>
      <w:pPr>
        <w:pStyle w:val="15"/>
        <w:keepNext w:val="0"/>
        <w:keepLines w:val="0"/>
        <w:pageBreakBefore w:val="0"/>
        <w:widowControl w:val="0"/>
        <w:kinsoku/>
        <w:wordWrap w:val="0"/>
        <w:overflowPunct/>
        <w:topLinePunct/>
        <w:autoSpaceDE/>
        <w:autoSpaceDN/>
        <w:bidi w:val="0"/>
        <w:adjustRightInd w:val="0"/>
        <w:snapToGrid w:val="0"/>
        <w:textAlignment w:val="auto"/>
        <w:outlineLvl w:val="2"/>
        <w:rPr>
          <w:rFonts w:hint="eastAsia" w:ascii="仿宋" w:hAnsi="仿宋" w:eastAsia="仿宋" w:cs="仿宋"/>
          <w:lang w:val="en-US" w:eastAsia="zh-CN"/>
        </w:rPr>
      </w:pPr>
      <w:bookmarkStart w:id="6" w:name="_Toc4051"/>
      <w:bookmarkStart w:id="7" w:name="_Toc3201"/>
      <w:bookmarkStart w:id="8" w:name="_Toc28938"/>
      <w:r>
        <w:rPr>
          <w:rFonts w:hint="eastAsia" w:ascii="仿宋" w:hAnsi="仿宋" w:eastAsia="仿宋" w:cs="仿宋"/>
          <w:lang w:val="en-US" w:eastAsia="zh-CN"/>
        </w:rPr>
        <w:t>附件四：环保标志产品政府采购品目清单</w:t>
      </w:r>
      <w:bookmarkEnd w:id="6"/>
      <w:bookmarkEnd w:id="7"/>
      <w:bookmarkEnd w:id="8"/>
    </w:p>
    <w:p>
      <w:pPr>
        <w:pStyle w:val="15"/>
        <w:keepNext w:val="0"/>
        <w:keepLines w:val="0"/>
        <w:pageBreakBefore w:val="0"/>
        <w:widowControl w:val="0"/>
        <w:kinsoku/>
        <w:wordWrap w:val="0"/>
        <w:overflowPunct/>
        <w:topLinePunct/>
        <w:autoSpaceDE/>
        <w:autoSpaceDN/>
        <w:bidi w:val="0"/>
        <w:adjustRightInd w:val="0"/>
        <w:snapToGrid w:val="0"/>
        <w:textAlignment w:val="auto"/>
        <w:outlineLvl w:val="9"/>
        <w:rPr>
          <w:rFonts w:hint="eastAsia" w:ascii="仿宋" w:hAnsi="仿宋" w:eastAsia="仿宋" w:cs="仿宋"/>
          <w:lang w:val="en-US" w:eastAsia="zh-CN"/>
        </w:rPr>
      </w:pPr>
      <w:r>
        <w:rPr>
          <w:rFonts w:hint="eastAsia" w:ascii="仿宋" w:hAnsi="仿宋" w:eastAsia="仿宋" w:cs="仿宋"/>
        </w:rPr>
        <w:drawing>
          <wp:anchor distT="0" distB="0" distL="114300" distR="114300" simplePos="0" relativeHeight="251663360" behindDoc="1" locked="0" layoutInCell="1" allowOverlap="1">
            <wp:simplePos x="0" y="0"/>
            <wp:positionH relativeFrom="column">
              <wp:posOffset>95885</wp:posOffset>
            </wp:positionH>
            <wp:positionV relativeFrom="paragraph">
              <wp:posOffset>104775</wp:posOffset>
            </wp:positionV>
            <wp:extent cx="5960110" cy="7155180"/>
            <wp:effectExtent l="0" t="0" r="2540" b="7620"/>
            <wp:wrapTight wrapText="bothSides">
              <wp:wrapPolygon>
                <wp:start x="0" y="0"/>
                <wp:lineTo x="0" y="21565"/>
                <wp:lineTo x="21540" y="21565"/>
                <wp:lineTo x="21540" y="0"/>
                <wp:lineTo x="0" y="0"/>
              </wp:wrapPolygon>
            </wp:wrapTight>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4"/>
                    <a:stretch>
                      <a:fillRect/>
                    </a:stretch>
                  </pic:blipFill>
                  <pic:spPr>
                    <a:xfrm>
                      <a:off x="0" y="0"/>
                      <a:ext cx="5960110" cy="7155180"/>
                    </a:xfrm>
                    <a:prstGeom prst="rect">
                      <a:avLst/>
                    </a:prstGeom>
                    <a:noFill/>
                    <a:ln>
                      <a:noFill/>
                    </a:ln>
                  </pic:spPr>
                </pic:pic>
              </a:graphicData>
            </a:graphic>
          </wp:anchor>
        </w:drawing>
      </w:r>
    </w:p>
    <w:p>
      <w:pPr>
        <w:rPr>
          <w:rFonts w:hint="eastAsia" w:ascii="仿宋" w:hAnsi="仿宋" w:eastAsia="仿宋" w:cs="仿宋"/>
          <w:lang w:val="en-US" w:eastAsia="zh-CN"/>
        </w:rPr>
      </w:pPr>
      <w:r>
        <w:rPr>
          <w:rFonts w:hint="eastAsia" w:ascii="仿宋" w:hAnsi="仿宋" w:eastAsia="仿宋" w:cs="仿宋"/>
          <w:lang w:val="en-US" w:eastAsia="zh-CN"/>
        </w:rPr>
        <w:br w:type="page"/>
      </w: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headerReference r:id="rId6" w:type="first"/>
          <w:footerReference r:id="rId8" w:type="first"/>
          <w:headerReference r:id="rId5" w:type="default"/>
          <w:footerReference r:id="rId7" w:type="default"/>
          <w:pgSz w:w="11906" w:h="16838"/>
          <w:pgMar w:top="1440" w:right="1080" w:bottom="1440" w:left="1080" w:header="851" w:footer="992" w:gutter="0"/>
          <w:pgNumType w:fmt="decimal" w:start="1"/>
          <w:cols w:space="0" w:num="1"/>
          <w:titlePg/>
          <w:docGrid w:linePitch="312" w:charSpace="0"/>
        </w:sectPr>
      </w:pP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64384" behindDoc="1" locked="0" layoutInCell="1" allowOverlap="1">
            <wp:simplePos x="0" y="0"/>
            <wp:positionH relativeFrom="column">
              <wp:posOffset>-12065</wp:posOffset>
            </wp:positionH>
            <wp:positionV relativeFrom="paragraph">
              <wp:posOffset>168275</wp:posOffset>
            </wp:positionV>
            <wp:extent cx="6058535" cy="8411210"/>
            <wp:effectExtent l="0" t="0" r="18415" b="8890"/>
            <wp:wrapTight wrapText="bothSides">
              <wp:wrapPolygon>
                <wp:start x="0" y="0"/>
                <wp:lineTo x="0" y="21574"/>
                <wp:lineTo x="21530" y="21574"/>
                <wp:lineTo x="21530" y="0"/>
                <wp:lineTo x="0" y="0"/>
              </wp:wrapPolygon>
            </wp:wrapTight>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5"/>
                    <a:stretch>
                      <a:fillRect/>
                    </a:stretch>
                  </pic:blipFill>
                  <pic:spPr>
                    <a:xfrm>
                      <a:off x="0" y="0"/>
                      <a:ext cx="6058535" cy="8411210"/>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65408" behindDoc="1" locked="0" layoutInCell="1" allowOverlap="1">
            <wp:simplePos x="0" y="0"/>
            <wp:positionH relativeFrom="column">
              <wp:posOffset>-63500</wp:posOffset>
            </wp:positionH>
            <wp:positionV relativeFrom="paragraph">
              <wp:posOffset>211455</wp:posOffset>
            </wp:positionV>
            <wp:extent cx="6181725" cy="7914640"/>
            <wp:effectExtent l="0" t="0" r="9525" b="10160"/>
            <wp:wrapTight wrapText="bothSides">
              <wp:wrapPolygon>
                <wp:start x="0" y="0"/>
                <wp:lineTo x="0" y="21524"/>
                <wp:lineTo x="21567" y="21524"/>
                <wp:lineTo x="21567" y="0"/>
                <wp:lineTo x="0" y="0"/>
              </wp:wrapPolygon>
            </wp:wrapTight>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6"/>
                    <a:stretch>
                      <a:fillRect/>
                    </a:stretch>
                  </pic:blipFill>
                  <pic:spPr>
                    <a:xfrm>
                      <a:off x="0" y="0"/>
                      <a:ext cx="6181725" cy="7914640"/>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66432" behindDoc="1" locked="0" layoutInCell="1" allowOverlap="1">
            <wp:simplePos x="0" y="0"/>
            <wp:positionH relativeFrom="column">
              <wp:posOffset>-62865</wp:posOffset>
            </wp:positionH>
            <wp:positionV relativeFrom="paragraph">
              <wp:posOffset>153670</wp:posOffset>
            </wp:positionV>
            <wp:extent cx="6182995" cy="7993380"/>
            <wp:effectExtent l="0" t="0" r="8255" b="7620"/>
            <wp:wrapTight wrapText="bothSides">
              <wp:wrapPolygon>
                <wp:start x="0" y="0"/>
                <wp:lineTo x="0" y="21569"/>
                <wp:lineTo x="21562" y="21569"/>
                <wp:lineTo x="21562" y="0"/>
                <wp:lineTo x="0" y="0"/>
              </wp:wrapPolygon>
            </wp:wrapTight>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7"/>
                    <a:stretch>
                      <a:fillRect/>
                    </a:stretch>
                  </pic:blipFill>
                  <pic:spPr>
                    <a:xfrm>
                      <a:off x="0" y="0"/>
                      <a:ext cx="6182995" cy="7993380"/>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67456" behindDoc="1" locked="0" layoutInCell="1" allowOverlap="1">
            <wp:simplePos x="0" y="0"/>
            <wp:positionH relativeFrom="column">
              <wp:posOffset>0</wp:posOffset>
            </wp:positionH>
            <wp:positionV relativeFrom="paragraph">
              <wp:posOffset>52705</wp:posOffset>
            </wp:positionV>
            <wp:extent cx="6187440" cy="7530465"/>
            <wp:effectExtent l="0" t="0" r="3810" b="13335"/>
            <wp:wrapTight wrapText="bothSides">
              <wp:wrapPolygon>
                <wp:start x="0" y="0"/>
                <wp:lineTo x="0" y="21529"/>
                <wp:lineTo x="21547" y="21529"/>
                <wp:lineTo x="21547" y="0"/>
                <wp:lineTo x="0" y="0"/>
              </wp:wrapPolygon>
            </wp:wrapTight>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8"/>
                    <a:stretch>
                      <a:fillRect/>
                    </a:stretch>
                  </pic:blipFill>
                  <pic:spPr>
                    <a:xfrm>
                      <a:off x="0" y="0"/>
                      <a:ext cx="6187440" cy="7530465"/>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2"/>
        <w:rPr>
          <w:rFonts w:hint="eastAsia" w:ascii="仿宋" w:hAnsi="仿宋" w:eastAsia="仿宋" w:cs="仿宋"/>
          <w:lang w:val="en-US" w:eastAsia="zh-CN"/>
        </w:rPr>
      </w:pPr>
      <w:bookmarkStart w:id="9" w:name="_Toc16369"/>
      <w:bookmarkStart w:id="10" w:name="_Toc31443"/>
      <w:bookmarkStart w:id="11" w:name="_Toc16440"/>
      <w:r>
        <w:rPr>
          <w:rFonts w:hint="eastAsia" w:ascii="仿宋" w:hAnsi="仿宋" w:eastAsia="仿宋" w:cs="仿宋"/>
          <w:lang w:val="en-US" w:eastAsia="zh-CN"/>
        </w:rPr>
        <w:t>附件五：节能产品政府采购品目清单</w:t>
      </w:r>
      <w:bookmarkEnd w:id="9"/>
      <w:bookmarkEnd w:id="10"/>
      <w:bookmarkEnd w:id="11"/>
    </w:p>
    <w:p>
      <w:pPr>
        <w:pStyle w:val="15"/>
        <w:keepNext w:val="0"/>
        <w:keepLines w:val="0"/>
        <w:pageBreakBefore w:val="0"/>
        <w:widowControl w:val="0"/>
        <w:kinsoku/>
        <w:wordWrap w:val="0"/>
        <w:overflowPunct/>
        <w:topLinePunct/>
        <w:autoSpaceDE/>
        <w:autoSpaceDN/>
        <w:bidi w:val="0"/>
        <w:adjustRightInd w:val="0"/>
        <w:snapToGrid w:val="0"/>
        <w:textAlignment w:val="auto"/>
        <w:outlineLvl w:val="9"/>
        <w:rPr>
          <w:rFonts w:hint="eastAsia" w:ascii="仿宋" w:hAnsi="仿宋" w:eastAsia="仿宋" w:cs="仿宋"/>
          <w:lang w:val="en-US" w:eastAsia="zh-CN"/>
        </w:rPr>
      </w:pPr>
      <w:r>
        <w:rPr>
          <w:rFonts w:hint="eastAsia" w:ascii="仿宋" w:hAnsi="仿宋" w:eastAsia="仿宋" w:cs="仿宋"/>
        </w:rPr>
        <w:drawing>
          <wp:anchor distT="0" distB="0" distL="114300" distR="114300" simplePos="0" relativeHeight="251668480" behindDoc="1" locked="0" layoutInCell="1" allowOverlap="1">
            <wp:simplePos x="0" y="0"/>
            <wp:positionH relativeFrom="column">
              <wp:posOffset>80645</wp:posOffset>
            </wp:positionH>
            <wp:positionV relativeFrom="paragraph">
              <wp:posOffset>40005</wp:posOffset>
            </wp:positionV>
            <wp:extent cx="5941695" cy="7299325"/>
            <wp:effectExtent l="0" t="0" r="1905" b="15875"/>
            <wp:wrapTight wrapText="bothSides">
              <wp:wrapPolygon>
                <wp:start x="0" y="0"/>
                <wp:lineTo x="0" y="21534"/>
                <wp:lineTo x="21538" y="21534"/>
                <wp:lineTo x="21538" y="0"/>
                <wp:lineTo x="0" y="0"/>
              </wp:wrapPolygon>
            </wp:wrapTight>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9"/>
                    <a:stretch>
                      <a:fillRect/>
                    </a:stretch>
                  </pic:blipFill>
                  <pic:spPr>
                    <a:xfrm>
                      <a:off x="0" y="0"/>
                      <a:ext cx="5941695" cy="7299325"/>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69504" behindDoc="1" locked="0" layoutInCell="1" allowOverlap="1">
            <wp:simplePos x="0" y="0"/>
            <wp:positionH relativeFrom="column">
              <wp:posOffset>0</wp:posOffset>
            </wp:positionH>
            <wp:positionV relativeFrom="paragraph">
              <wp:posOffset>4445</wp:posOffset>
            </wp:positionV>
            <wp:extent cx="5880735" cy="8602345"/>
            <wp:effectExtent l="0" t="0" r="5715" b="8255"/>
            <wp:wrapTight wrapText="bothSides">
              <wp:wrapPolygon>
                <wp:start x="0" y="0"/>
                <wp:lineTo x="0" y="21573"/>
                <wp:lineTo x="21551" y="21573"/>
                <wp:lineTo x="21551" y="0"/>
                <wp:lineTo x="0" y="0"/>
              </wp:wrapPolygon>
            </wp:wrapTight>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0"/>
                    <a:stretch>
                      <a:fillRect/>
                    </a:stretch>
                  </pic:blipFill>
                  <pic:spPr>
                    <a:xfrm>
                      <a:off x="0" y="0"/>
                      <a:ext cx="5880735" cy="8602345"/>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70528" behindDoc="1" locked="0" layoutInCell="1" allowOverlap="1">
            <wp:simplePos x="0" y="0"/>
            <wp:positionH relativeFrom="column">
              <wp:posOffset>194945</wp:posOffset>
            </wp:positionH>
            <wp:positionV relativeFrom="paragraph">
              <wp:posOffset>24130</wp:posOffset>
            </wp:positionV>
            <wp:extent cx="5781675" cy="8566150"/>
            <wp:effectExtent l="0" t="0" r="9525" b="6350"/>
            <wp:wrapTight wrapText="bothSides">
              <wp:wrapPolygon>
                <wp:start x="0" y="0"/>
                <wp:lineTo x="0" y="21568"/>
                <wp:lineTo x="21564" y="21568"/>
                <wp:lineTo x="21564" y="0"/>
                <wp:lineTo x="0" y="0"/>
              </wp:wrapPolygon>
            </wp:wrapTight>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1"/>
                    <a:stretch>
                      <a:fillRect/>
                    </a:stretch>
                  </pic:blipFill>
                  <pic:spPr>
                    <a:xfrm>
                      <a:off x="0" y="0"/>
                      <a:ext cx="5781675" cy="8566150"/>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9"/>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71552" behindDoc="1" locked="0" layoutInCell="1" allowOverlap="1">
            <wp:simplePos x="0" y="0"/>
            <wp:positionH relativeFrom="column">
              <wp:posOffset>110490</wp:posOffset>
            </wp:positionH>
            <wp:positionV relativeFrom="paragraph">
              <wp:posOffset>139065</wp:posOffset>
            </wp:positionV>
            <wp:extent cx="5744210" cy="8425815"/>
            <wp:effectExtent l="0" t="0" r="8890" b="13335"/>
            <wp:wrapTight wrapText="bothSides">
              <wp:wrapPolygon>
                <wp:start x="0" y="0"/>
                <wp:lineTo x="0" y="21537"/>
                <wp:lineTo x="21562" y="21537"/>
                <wp:lineTo x="21562" y="0"/>
                <wp:lineTo x="0" y="0"/>
              </wp:wrapPolygon>
            </wp:wrapTight>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22"/>
                    <a:stretch>
                      <a:fillRect/>
                    </a:stretch>
                  </pic:blipFill>
                  <pic:spPr>
                    <a:xfrm>
                      <a:off x="0" y="0"/>
                      <a:ext cx="5744210" cy="8425815"/>
                    </a:xfrm>
                    <a:prstGeom prst="rect">
                      <a:avLst/>
                    </a:prstGeom>
                    <a:noFill/>
                    <a:ln>
                      <a:noFill/>
                    </a:ln>
                  </pic:spPr>
                </pic:pic>
              </a:graphicData>
            </a:graphic>
          </wp:anchor>
        </w:drawing>
      </w:r>
    </w:p>
    <w:p>
      <w:pPr>
        <w:pStyle w:val="15"/>
        <w:keepNext w:val="0"/>
        <w:keepLines w:val="0"/>
        <w:pageBreakBefore w:val="0"/>
        <w:widowControl w:val="0"/>
        <w:kinsoku/>
        <w:wordWrap w:val="0"/>
        <w:overflowPunct/>
        <w:topLinePunct/>
        <w:autoSpaceDE/>
        <w:autoSpaceDN/>
        <w:bidi w:val="0"/>
        <w:adjustRightInd w:val="0"/>
        <w:snapToGrid w:val="0"/>
        <w:textAlignment w:val="auto"/>
        <w:outlineLvl w:val="3"/>
        <w:rPr>
          <w:rFonts w:hint="eastAsia" w:ascii="仿宋" w:hAnsi="仿宋" w:eastAsia="仿宋" w:cs="仿宋"/>
          <w:lang w:val="en-US" w:eastAsia="zh-CN"/>
        </w:rPr>
        <w:sectPr>
          <w:pgSz w:w="11906" w:h="16838"/>
          <w:pgMar w:top="1440" w:right="1080" w:bottom="1440" w:left="1080" w:header="851" w:footer="992" w:gutter="0"/>
          <w:pgNumType w:fmt="decimal"/>
          <w:cols w:space="0" w:num="1"/>
          <w:titlePg/>
          <w:docGrid w:linePitch="312" w:charSpace="0"/>
        </w:sectPr>
      </w:pPr>
      <w:r>
        <w:rPr>
          <w:rFonts w:hint="eastAsia" w:ascii="仿宋" w:hAnsi="仿宋" w:eastAsia="仿宋" w:cs="仿宋"/>
        </w:rPr>
        <w:drawing>
          <wp:anchor distT="0" distB="0" distL="114300" distR="114300" simplePos="0" relativeHeight="251672576" behindDoc="1" locked="0" layoutInCell="1" allowOverlap="1">
            <wp:simplePos x="0" y="0"/>
            <wp:positionH relativeFrom="column">
              <wp:posOffset>59055</wp:posOffset>
            </wp:positionH>
            <wp:positionV relativeFrom="paragraph">
              <wp:posOffset>174625</wp:posOffset>
            </wp:positionV>
            <wp:extent cx="6010910" cy="7803515"/>
            <wp:effectExtent l="0" t="0" r="8890" b="6985"/>
            <wp:wrapTight wrapText="bothSides">
              <wp:wrapPolygon>
                <wp:start x="0" y="0"/>
                <wp:lineTo x="0" y="21567"/>
                <wp:lineTo x="21563" y="21567"/>
                <wp:lineTo x="21563" y="0"/>
                <wp:lineTo x="0" y="0"/>
              </wp:wrapPolygon>
            </wp:wrapTight>
            <wp:docPr id="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pic:cNvPicPr>
                      <a:picLocks noChangeAspect="1"/>
                    </pic:cNvPicPr>
                  </pic:nvPicPr>
                  <pic:blipFill>
                    <a:blip r:embed="rId23"/>
                    <a:stretch>
                      <a:fillRect/>
                    </a:stretch>
                  </pic:blipFill>
                  <pic:spPr>
                    <a:xfrm>
                      <a:off x="0" y="0"/>
                      <a:ext cx="6010910" cy="7803515"/>
                    </a:xfrm>
                    <a:prstGeom prst="rect">
                      <a:avLst/>
                    </a:prstGeom>
                    <a:noFill/>
                    <a:ln>
                      <a:noFill/>
                    </a:ln>
                  </pic:spPr>
                </pic:pic>
              </a:graphicData>
            </a:graphic>
          </wp:anchor>
        </w:drawing>
      </w:r>
    </w:p>
    <w:p>
      <w:pPr>
        <w:outlineLvl w:val="2"/>
        <w:rPr>
          <w:rFonts w:hint="eastAsia" w:ascii="仿宋" w:hAnsi="仿宋" w:eastAsia="仿宋" w:cs="仿宋"/>
          <w:b/>
          <w:bCs/>
          <w:lang w:val="en-US" w:eastAsia="zh-CN"/>
        </w:rPr>
      </w:pPr>
      <w:r>
        <w:rPr>
          <w:rFonts w:hint="eastAsia" w:ascii="仿宋" w:hAnsi="仿宋" w:eastAsia="仿宋" w:cs="仿宋"/>
          <w:b/>
          <w:bCs/>
          <w:lang w:val="en-US" w:eastAsia="zh-CN"/>
        </w:rPr>
        <w:t>附件六：关于进一步提高政府采购透明度和采购效率相关事项的通知</w:t>
      </w:r>
    </w:p>
    <w:p>
      <w:pPr>
        <w:pStyle w:val="6"/>
        <w:rPr>
          <w:rFonts w:hint="eastAsia" w:ascii="仿宋" w:hAnsi="仿宋" w:eastAsia="仿宋" w:cs="仿宋"/>
          <w:b/>
          <w:bCs/>
          <w:lang w:val="en-US" w:eastAsia="zh-CN"/>
        </w:rPr>
      </w:pPr>
    </w:p>
    <w:p>
      <w:pPr>
        <w:jc w:val="cente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关于进一步提高政府采购透明度和采购效率相关事项的通知</w:t>
      </w:r>
    </w:p>
    <w:p>
      <w:pPr>
        <w:pStyle w:val="6"/>
        <w:jc w:val="center"/>
        <w:rPr>
          <w:rFonts w:hint="eastAsia" w:ascii="仿宋" w:hAnsi="仿宋" w:eastAsia="仿宋" w:cs="仿宋"/>
          <w:lang w:val="en-US" w:eastAsia="zh-CN"/>
        </w:rPr>
      </w:pPr>
      <w:r>
        <w:rPr>
          <w:rFonts w:hint="eastAsia" w:ascii="仿宋" w:hAnsi="仿宋" w:eastAsia="仿宋" w:cs="仿宋"/>
          <w:lang w:val="en-US" w:eastAsia="zh-CN"/>
        </w:rPr>
        <w:t>财办库〔2023〕243号</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各中央预算单位办公厅（室），各省、自治区、直辖市、计划单列市财政厅（局），新疆生产建设兵团财政局，有关集中采购机构：</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为打造市场化法治化国际化营商环境，进一步提高政府采购透明度和采购效率，方便各类经营主体参与政府采购活动，现就相关事项通知如下：</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一、推进政府采购合同变更信息公开。政府采购合同的双方当事人不得擅自变更合同，依照政府采购法确需变更政府采购合同内容的，采购人应当自合同变更之日起2个工作日内在省级以上财政部门指定的媒体上发布政府采购合同变更公告，但涉及国家秘密、商业秘密的信息和其他依法不得公开的信息除外。政府采购合同变更公告应当包括原合同编号、名称和文本，原合同变更的条款号，变更后作为原合同组成部分的补充合同文本，合同变更时间，变更公告日期等。</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二、完善中标、成交结果信息公开。采购人、采购代理机构应当按照政府采购法、政府采购法实施条例以及《政府采购信息发布管理办法》等法律制度规定，进一步做好信息公开工作。项目采购采用最低评标（审）价法的，公告中标、成交结果时应当同时公告因落实政府采购政策等原因进行价格扣除后中标、成交供应商的评审报价；项目采购采用综合评分法的，公告中标、成交结果时应当同时公告中标、成交供应商的评审总得分。</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三、推进采购项目电子化实施。鼓励各部门、各地区利用数据电文形式和电子信息网络开展政府采购活动，除涉密政府采购项目外，具备电子化实施条件的部门和地区，应当推进政府采购项目全流程电子化交易，实现在线公开采购意向、发布采购公告、提供采购文件、提交投标（响应）文件、提交投标（履约）保证金（包括金融机构、担保机构出具的保函、保险等）、签订采购合同、提交发票、支付资金，并逐步完善履约验收、信用评价、用户反馈等功能。省级财政部门可以按照统一规范和技术标准组织建设本地区政府采购全流程电子化平台。各电子化政府采购平台应当完善平台注册供应商查询功能，方便各方主体及时了解供应商信息。</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四、提高采购合同签订效率。采购人应当严格按照政府采购法有关规定，在中标、成交通知书发出之日起30日内，按照采购文件确定的事项与中标、成交供应商签订政府采购合同。采购人因不可抗力原因迟延签订合同的，应当自不可抗力事由消除之日起7日内完成合同签订事宜。鼓励采购人通过完善内部流程进一步缩短合同签订期限。</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五、加快支付采购资金。采购人要进一步落实《关于促进政府采购公平竞争优化营商环境的通知》（财库〔2019〕38号）有关要求，在政府采购合同中约定资金支付的方式、时间和条件，明确逾期支付资金的违约责任。对于有预付安排的合同，鼓励采购人将合同预付款比例提高到30%以上。对于满足合同约定支付条件的，采购人原则上应当自收到发票后10个工作日内将资金支付到合同约定的供应商账户，鼓励采购人完善内部流程，自收到发票后1个工作日内完成资金支付事宜。采购人和供应商对资金支付产生争议的，应当按照法律规定和合同约定及时解决，保证资金支付效率。</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六、支持开展政府采购融资。省级财政部门要以省为单位，积极推进与银行业金融机构共享本省范围内的政府采购信息，支持银行业金融机构以政府采购合同为基础向中标、成交供应商提供融资。要优化完善政府采购融资业务办理，推动银行业金融机构逐步实现供应商在线申请、在线审批、在线提款的全流程电子化运行，为供应商提供快捷高效的融资服务。</w:t>
      </w:r>
    </w:p>
    <w:p>
      <w:pPr>
        <w:keepNext w:val="0"/>
        <w:keepLines w:val="0"/>
        <w:pageBreakBefore w:val="0"/>
        <w:widowControl w:val="0"/>
        <w:kinsoku/>
        <w:wordWrap/>
        <w:overflowPunct/>
        <w:topLinePunct w:val="0"/>
        <w:autoSpaceDE/>
        <w:autoSpaceDN/>
        <w:bidi w:val="0"/>
        <w:adjustRightInd w:val="0"/>
        <w:snapToGrid w:val="0"/>
        <w:spacing w:line="520" w:lineRule="exact"/>
        <w:textAlignment w:val="auto"/>
        <w:rPr>
          <w:rFonts w:hint="eastAsia" w:ascii="仿宋" w:hAnsi="仿宋" w:eastAsia="仿宋" w:cs="仿宋"/>
          <w:lang w:val="en-US" w:eastAsia="zh-CN"/>
        </w:rPr>
      </w:pPr>
      <w:r>
        <w:rPr>
          <w:rFonts w:hint="eastAsia" w:ascii="仿宋" w:hAnsi="仿宋" w:eastAsia="仿宋" w:cs="仿宋"/>
          <w:lang w:val="en-US" w:eastAsia="zh-CN"/>
        </w:rPr>
        <w:t>　　各部门、各地区要充分认识优化政府采购营商环境，提高政府采购透明度和采购效率的重要意义，加强组织领导，积极协调推动，细化落实举措，强化监督检查，确保各项要求落实到位。</w:t>
      </w:r>
    </w:p>
    <w:p>
      <w:pPr>
        <w:keepNext w:val="0"/>
        <w:keepLines w:val="0"/>
        <w:pageBreakBefore w:val="0"/>
        <w:widowControl w:val="0"/>
        <w:kinsoku/>
        <w:wordWrap/>
        <w:overflowPunct/>
        <w:topLinePunct w:val="0"/>
        <w:autoSpaceDE/>
        <w:autoSpaceDN/>
        <w:bidi w:val="0"/>
        <w:adjustRightInd w:val="0"/>
        <w:snapToGrid w:val="0"/>
        <w:spacing w:line="520" w:lineRule="exact"/>
        <w:ind w:firstLine="480"/>
        <w:textAlignment w:val="auto"/>
        <w:rPr>
          <w:rFonts w:hint="eastAsia" w:ascii="仿宋" w:hAnsi="仿宋" w:eastAsia="仿宋" w:cs="仿宋"/>
          <w:lang w:val="en-US" w:eastAsia="zh-CN"/>
        </w:rPr>
      </w:pPr>
      <w:r>
        <w:rPr>
          <w:rFonts w:hint="eastAsia" w:ascii="仿宋" w:hAnsi="仿宋" w:eastAsia="仿宋" w:cs="仿宋"/>
          <w:lang w:val="en-US" w:eastAsia="zh-CN"/>
        </w:rPr>
        <w:t>本通知自印发之日起施行。</w:t>
      </w:r>
    </w:p>
    <w:p>
      <w:pPr>
        <w:pStyle w:val="6"/>
        <w:ind w:firstLine="480"/>
        <w:rPr>
          <w:rFonts w:hint="eastAsia" w:ascii="仿宋" w:hAnsi="仿宋" w:eastAsia="仿宋" w:cs="仿宋"/>
          <w:lang w:val="en-US" w:eastAsia="zh-CN"/>
        </w:rPr>
      </w:pPr>
    </w:p>
    <w:p>
      <w:pPr>
        <w:jc w:val="right"/>
        <w:rPr>
          <w:rFonts w:hint="eastAsia" w:ascii="仿宋" w:hAnsi="仿宋" w:eastAsia="仿宋" w:cs="仿宋"/>
          <w:lang w:val="en-US" w:eastAsia="zh-CN"/>
        </w:rPr>
      </w:pPr>
      <w:r>
        <w:rPr>
          <w:rFonts w:hint="eastAsia" w:ascii="仿宋" w:hAnsi="仿宋" w:eastAsia="仿宋" w:cs="仿宋"/>
          <w:lang w:val="en-US" w:eastAsia="zh-CN"/>
        </w:rPr>
        <w:t>财政部办公厅</w:t>
      </w:r>
    </w:p>
    <w:p>
      <w:pPr>
        <w:jc w:val="right"/>
        <w:rPr>
          <w:rFonts w:hint="eastAsia" w:ascii="仿宋" w:hAnsi="仿宋" w:eastAsia="仿宋" w:cs="仿宋"/>
          <w:lang w:val="en-US" w:eastAsia="zh-CN"/>
        </w:rPr>
      </w:pPr>
      <w:r>
        <w:rPr>
          <w:rFonts w:hint="eastAsia" w:ascii="仿宋" w:hAnsi="仿宋" w:eastAsia="仿宋" w:cs="仿宋"/>
          <w:lang w:val="en-US" w:eastAsia="zh-CN"/>
        </w:rPr>
        <w:t>2023年12月8日</w:t>
      </w:r>
    </w:p>
    <w:p>
      <w:pPr>
        <w:rPr>
          <w:rFonts w:hint="eastAsia" w:ascii="仿宋" w:hAnsi="仿宋" w:eastAsia="仿宋" w:cs="仿宋"/>
          <w:lang w:val="en-US" w:eastAsia="zh-CN"/>
        </w:rPr>
      </w:pPr>
    </w:p>
    <w:p>
      <w:pPr>
        <w:rPr>
          <w:rFonts w:hint="eastAsia" w:ascii="仿宋" w:hAnsi="仿宋" w:eastAsia="仿宋" w:cs="仿宋"/>
          <w:lang w:val="en-US" w:eastAsia="zh-CN"/>
        </w:rPr>
      </w:pPr>
    </w:p>
    <w:p>
      <w:pPr>
        <w:pStyle w:val="15"/>
        <w:keepNext w:val="0"/>
        <w:keepLines w:val="0"/>
        <w:pageBreakBefore w:val="0"/>
        <w:widowControl w:val="0"/>
        <w:kinsoku/>
        <w:wordWrap w:val="0"/>
        <w:overflowPunct/>
        <w:topLinePunct/>
        <w:autoSpaceDE/>
        <w:autoSpaceDN/>
        <w:bidi w:val="0"/>
        <w:adjustRightInd w:val="0"/>
        <w:snapToGrid w:val="0"/>
        <w:ind w:firstLine="0" w:firstLineChars="0"/>
        <w:textAlignment w:val="auto"/>
        <w:outlineLvl w:val="9"/>
        <w:rPr>
          <w:rFonts w:hint="eastAsia" w:ascii="仿宋" w:hAnsi="仿宋" w:eastAsia="仿宋" w:cs="仿宋"/>
          <w:lang w:val="en-US" w:eastAsia="zh-CN"/>
        </w:rPr>
      </w:pPr>
    </w:p>
    <w:sectPr>
      <w:headerReference r:id="rId9" w:type="default"/>
      <w:footerReference r:id="rId10" w:type="default"/>
      <w:pgSz w:w="11906" w:h="16838"/>
      <w:pgMar w:top="1440" w:right="1226" w:bottom="1440" w:left="132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center" w:pos="4153"/>
        <w:tab w:val="right" w:pos="8306"/>
        <w:tab w:val="clear" w:pos="0"/>
      </w:tabs>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center" w:pos="4153"/>
        <w:tab w:val="right" w:pos="8306"/>
        <w:tab w:val="clear" w:pos="0"/>
      </w:tabs>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center" w:pos="4153"/>
        <w:tab w:val="right" w:pos="8306"/>
        <w:tab w:val="clear" w:pos="0"/>
      </w:tabs>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1"/>
      </w:pBdr>
      <w:tabs>
        <w:tab w:val="center" w:pos="4153"/>
        <w:tab w:val="right" w:pos="8306"/>
        <w:tab w:val="clear" w:pos="0"/>
      </w:tabs>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1"/>
      </w:pBdr>
      <w:tabs>
        <w:tab w:val="center" w:pos="4153"/>
        <w:tab w:val="right" w:pos="8306"/>
        <w:tab w:val="clear" w:pos="0"/>
      </w:tabs>
      <w:jc w:val="left"/>
      <w:rPr>
        <w:rFonts w:asciiTheme="minorEastAsia" w:hAnsiTheme="minorEastAsia" w:cstheme="minor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1"/>
      </w:pBdr>
      <w:tabs>
        <w:tab w:val="center" w:pos="4153"/>
        <w:tab w:val="right" w:pos="8306"/>
        <w:tab w:val="clear" w:pos="0"/>
      </w:tabs>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BB3C91"/>
    <w:multiLevelType w:val="multilevel"/>
    <w:tmpl w:val="3EBB3C91"/>
    <w:lvl w:ilvl="0" w:tentative="0">
      <w:start w:val="1"/>
      <w:numFmt w:val="chineseCountingThousand"/>
      <w:suff w:val="space"/>
      <w:lvlText w:val="%1. "/>
      <w:lvlJc w:val="left"/>
      <w:pPr>
        <w:ind w:left="907" w:hanging="907"/>
      </w:pPr>
      <w:rPr>
        <w:rFonts w:hint="eastAsia"/>
      </w:rPr>
    </w:lvl>
    <w:lvl w:ilvl="1" w:tentative="0">
      <w:start w:val="1"/>
      <w:numFmt w:val="decimal"/>
      <w:isLgl/>
      <w:suff w:val="space"/>
      <w:lvlText w:val="%1.%2 "/>
      <w:lvlJc w:val="left"/>
      <w:pPr>
        <w:ind w:left="794" w:hanging="794"/>
      </w:pPr>
    </w:lvl>
    <w:lvl w:ilvl="2" w:tentative="0">
      <w:start w:val="0"/>
      <w:numFmt w:val="none"/>
      <w:lvlText w:val=""/>
      <w:lvlJc w:val="left"/>
      <w:pPr>
        <w:tabs>
          <w:tab w:val="left" w:pos="360"/>
        </w:tabs>
      </w:pPr>
      <w:rPr>
        <w:rFonts w:cs="Times New Roman"/>
      </w:rPr>
    </w:lvl>
    <w:lvl w:ilvl="3" w:tentative="0">
      <w:start w:val="0"/>
      <w:numFmt w:val="none"/>
      <w:lvlText w:val=""/>
      <w:lvlJc w:val="left"/>
      <w:pPr>
        <w:tabs>
          <w:tab w:val="left" w:pos="360"/>
        </w:tabs>
      </w:pPr>
      <w:rPr>
        <w:rFonts w:cs="Times New Roman"/>
      </w:rPr>
    </w:lvl>
    <w:lvl w:ilvl="4" w:tentative="0">
      <w:start w:val="0"/>
      <w:numFmt w:val="decimal"/>
      <w:pStyle w:val="2"/>
      <w:lvlText w:val=""/>
      <w:lvlJc w:val="left"/>
      <w:rPr>
        <w:rFonts w:cs="Times New Roman"/>
      </w:rPr>
    </w:lvl>
    <w:lvl w:ilvl="5" w:tentative="0">
      <w:start w:val="0"/>
      <w:numFmt w:val="decimal"/>
      <w:lvlText w:val=""/>
      <w:lvlJc w:val="left"/>
      <w:rPr>
        <w:rFonts w:cs="Times New Roman"/>
      </w:rPr>
    </w:lvl>
    <w:lvl w:ilvl="6" w:tentative="0">
      <w:start w:val="0"/>
      <w:numFmt w:val="decimal"/>
      <w:lvlText w:val=""/>
      <w:lvlJc w:val="left"/>
      <w:rPr>
        <w:rFonts w:cs="Times New Roman"/>
      </w:rPr>
    </w:lvl>
    <w:lvl w:ilvl="7" w:tentative="0">
      <w:start w:val="0"/>
      <w:numFmt w:val="decimal"/>
      <w:lvlText w:val=""/>
      <w:lvlJc w:val="left"/>
      <w:rPr>
        <w:rFonts w:cs="Times New Roman"/>
      </w:rPr>
    </w:lvl>
    <w:lvl w:ilvl="8" w:tentative="0">
      <w:start w:val="0"/>
      <w:numFmt w:val="decimal"/>
      <w:lvlText w:val=""/>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U2OWYyYzJkYzEwODNlYTRiNDBlOTNjZjQ5ODQ0YWIifQ=="/>
  </w:docVars>
  <w:rsids>
    <w:rsidRoot w:val="00000000"/>
    <w:rsid w:val="0A907FC5"/>
    <w:rsid w:val="125F6226"/>
    <w:rsid w:val="475D62B8"/>
    <w:rsid w:val="68E8127F"/>
    <w:rsid w:val="704A4BAE"/>
    <w:rsid w:val="77AF1B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tabs>
        <w:tab w:val="left" w:pos="0"/>
      </w:tabs>
      <w:adjustRightInd w:val="0"/>
      <w:snapToGrid w:val="0"/>
      <w:spacing w:line="440" w:lineRule="exact"/>
      <w:ind w:firstLine="0" w:firstLineChars="0"/>
      <w:jc w:val="left"/>
    </w:pPr>
    <w:rPr>
      <w:rFonts w:ascii="宋体" w:hAnsi="宋体" w:eastAsia="宋体" w:cstheme="minorBidi"/>
      <w:kern w:val="2"/>
      <w:sz w:val="24"/>
      <w:szCs w:val="24"/>
      <w:lang w:val="en-US" w:eastAsia="zh-CN" w:bidi="ar-SA"/>
    </w:rPr>
  </w:style>
  <w:style w:type="paragraph" w:styleId="4">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12">
    <w:name w:val="Default Paragraph Font"/>
    <w:autoRedefine/>
    <w:semiHidden/>
    <w:qFormat/>
    <w:uiPriority w:val="0"/>
  </w:style>
  <w:style w:type="table" w:default="1" w:styleId="11">
    <w:name w:val="Normal Table"/>
    <w:autoRedefine/>
    <w:semiHidden/>
    <w:qFormat/>
    <w:uiPriority w:val="0"/>
    <w:tblPr>
      <w:tblCellMar>
        <w:top w:w="0" w:type="dxa"/>
        <w:left w:w="108" w:type="dxa"/>
        <w:bottom w:w="0" w:type="dxa"/>
        <w:right w:w="108" w:type="dxa"/>
      </w:tblCellMar>
    </w:tblPr>
  </w:style>
  <w:style w:type="paragraph" w:customStyle="1" w:styleId="2">
    <w:name w:val="标题 5（有编号）（绿盟科技）"/>
    <w:basedOn w:val="1"/>
    <w:next w:val="3"/>
    <w:autoRedefine/>
    <w:qFormat/>
    <w:uiPriority w:val="0"/>
    <w:pPr>
      <w:keepNext/>
      <w:keepLines/>
      <w:numPr>
        <w:ilvl w:val="4"/>
        <w:numId w:val="1"/>
      </w:numPr>
      <w:spacing w:before="280" w:after="156" w:line="377" w:lineRule="auto"/>
      <w:jc w:val="left"/>
      <w:outlineLvl w:val="4"/>
    </w:pPr>
    <w:rPr>
      <w:rFonts w:ascii="Arial" w:hAnsi="Arial" w:eastAsia="黑体"/>
      <w:b/>
      <w:kern w:val="0"/>
      <w:sz w:val="24"/>
      <w:szCs w:val="28"/>
    </w:rPr>
  </w:style>
  <w:style w:type="paragraph" w:customStyle="1" w:styleId="3">
    <w:name w:val="正文（绿盟科技）"/>
    <w:next w:val="1"/>
    <w:autoRedefine/>
    <w:qFormat/>
    <w:uiPriority w:val="0"/>
    <w:pPr>
      <w:spacing w:line="300" w:lineRule="auto"/>
    </w:pPr>
    <w:rPr>
      <w:rFonts w:ascii="Arial" w:hAnsi="Arial" w:eastAsia="宋体" w:cs="黑体"/>
      <w:sz w:val="21"/>
      <w:szCs w:val="21"/>
      <w:lang w:val="en-US" w:eastAsia="zh-CN" w:bidi="ar-SA"/>
    </w:rPr>
  </w:style>
  <w:style w:type="paragraph" w:styleId="5">
    <w:name w:val="annotation text"/>
    <w:basedOn w:val="1"/>
    <w:autoRedefine/>
    <w:qFormat/>
    <w:uiPriority w:val="0"/>
    <w:pPr>
      <w:jc w:val="left"/>
    </w:pPr>
  </w:style>
  <w:style w:type="paragraph" w:styleId="6">
    <w:name w:val="Body Text"/>
    <w:basedOn w:val="1"/>
    <w:next w:val="1"/>
    <w:autoRedefine/>
    <w:qFormat/>
    <w:uiPriority w:val="0"/>
    <w:pPr>
      <w:spacing w:after="120" w:afterLines="0"/>
    </w:pPr>
    <w:rPr>
      <w:rFonts w:ascii="Times New Roman"/>
      <w:sz w:val="24"/>
      <w:szCs w:val="24"/>
    </w:rPr>
  </w:style>
  <w:style w:type="paragraph" w:styleId="7">
    <w:name w:val="Body Text Indent"/>
    <w:basedOn w:val="1"/>
    <w:autoRedefine/>
    <w:qFormat/>
    <w:uiPriority w:val="0"/>
    <w:pPr>
      <w:ind w:firstLine="538" w:firstLineChars="168"/>
      <w:jc w:val="left"/>
    </w:pPr>
    <w:rPr>
      <w:rFonts w:ascii="仿宋_GB2312" w:eastAsia="仿宋_GB2312"/>
      <w:sz w:val="32"/>
    </w:rPr>
  </w:style>
  <w:style w:type="paragraph" w:styleId="8">
    <w:name w:val="footer"/>
    <w:basedOn w:val="1"/>
    <w:autoRedefine/>
    <w:qFormat/>
    <w:uiPriority w:val="0"/>
    <w:pPr>
      <w:snapToGrid w:val="0"/>
      <w:spacing w:line="240" w:lineRule="auto"/>
      <w:ind w:firstLine="0" w:firstLineChars="0"/>
      <w:jc w:val="left"/>
    </w:pPr>
    <w:rPr>
      <w:rFonts w:ascii="宋体" w:hAnsi="宋体" w:eastAsia="宋体"/>
      <w:sz w:val="18"/>
      <w:szCs w:val="18"/>
    </w:rPr>
  </w:style>
  <w:style w:type="paragraph" w:styleId="9">
    <w:name w:val="header"/>
    <w:basedOn w:val="1"/>
    <w:qFormat/>
    <w:uiPriority w:val="0"/>
    <w:pPr>
      <w:pBdr>
        <w:bottom w:val="single" w:color="auto" w:sz="6" w:space="1"/>
      </w:pBdr>
      <w:wordWrap w:val="0"/>
      <w:topLinePunct/>
      <w:snapToGrid w:val="0"/>
      <w:spacing w:line="240" w:lineRule="auto"/>
      <w:ind w:firstLine="0" w:firstLineChars="0"/>
      <w:jc w:val="center"/>
    </w:pPr>
    <w:rPr>
      <w:rFonts w:ascii="宋体" w:hAnsi="宋体" w:eastAsia="宋体"/>
      <w:sz w:val="18"/>
      <w:szCs w:val="18"/>
    </w:rPr>
  </w:style>
  <w:style w:type="paragraph" w:styleId="10">
    <w:name w:val="Normal (Web)"/>
    <w:basedOn w:val="1"/>
    <w:autoRedefine/>
    <w:qFormat/>
    <w:uiPriority w:val="0"/>
    <w:pPr>
      <w:spacing w:before="0" w:beforeAutospacing="1" w:after="0" w:afterAutospacing="1"/>
      <w:ind w:left="0" w:right="0"/>
      <w:jc w:val="left"/>
    </w:pPr>
    <w:rPr>
      <w:kern w:val="0"/>
      <w:sz w:val="24"/>
      <w:lang w:val="en-US" w:eastAsia="zh-CN" w:bidi="ar"/>
    </w:rPr>
  </w:style>
  <w:style w:type="character" w:styleId="13">
    <w:name w:val="Hyperlink"/>
    <w:basedOn w:val="12"/>
    <w:autoRedefine/>
    <w:qFormat/>
    <w:uiPriority w:val="0"/>
    <w:rPr>
      <w:color w:val="0000FF"/>
      <w:u w:val="single"/>
    </w:rPr>
  </w:style>
  <w:style w:type="paragraph" w:customStyle="1" w:styleId="14">
    <w:name w:val="01、普通正文"/>
    <w:basedOn w:val="1"/>
    <w:autoRedefine/>
    <w:qFormat/>
    <w:uiPriority w:val="0"/>
    <w:pPr>
      <w:wordWrap w:val="0"/>
      <w:topLinePunct/>
      <w:ind w:firstLine="0" w:firstLineChars="0"/>
    </w:pPr>
    <w:rPr>
      <w:rFonts w:ascii="宋体" w:hAnsi="宋体" w:eastAsia="宋体"/>
      <w:snapToGrid w:val="0"/>
    </w:rPr>
  </w:style>
  <w:style w:type="paragraph" w:customStyle="1" w:styleId="15">
    <w:name w:val="03、“注：”正文(加粗，首行缩进2字符)"/>
    <w:basedOn w:val="14"/>
    <w:autoRedefine/>
    <w:qFormat/>
    <w:uiPriority w:val="0"/>
    <w:pPr>
      <w:ind w:firstLine="480" w:firstLineChars="200"/>
    </w:pPr>
    <w:rPr>
      <w:b/>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GIF"/><Relationship Id="rId12" Type="http://schemas.openxmlformats.org/officeDocument/2006/relationships/image" Target="media/image1.GI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7757</Words>
  <Characters>8599</Characters>
  <Lines>0</Lines>
  <Paragraphs>0</Paragraphs>
  <TotalTime>1</TotalTime>
  <ScaleCrop>false</ScaleCrop>
  <LinksUpToDate>false</LinksUpToDate>
  <CharactersWithSpaces>8663</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2023-10-30T08:45:00Z</dcterms:created>
  <dc:creator>苏三金</dc:creator>
  <cp:lastModifiedBy>WPS_1677210145</cp:lastModifiedBy>
  <dcterms:modified xsi:type="dcterms:W3CDTF">2024-07-11T07:59:06Z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4477F72F383B47BAAD86142D7462226D_13</vt:lpwstr>
  </property>
</Properties>
</file>