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版本号：N513333202600002020260325001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2026年色达县中小学生作业本采购项目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N5133332026000020</w:t>
      </w:r>
    </w:p>
    <w:p>
      <w:pPr>
        <w:pStyle w:val="null3"/>
        <w:jc w:val="left"/>
        <w:outlineLvl w:val="2"/>
      </w:pPr>
      <w:r>
        <w:rPr>
          <w:rFonts w:ascii="仿宋_GB2312" w:hAnsi="仿宋_GB2312" w:cs="仿宋_GB2312" w:eastAsia="仿宋_GB2312"/>
          <w:sz w:val="28"/>
          <w:b/>
        </w:rPr>
        <w:t>色达县教育和体育局</w:t>
      </w:r>
    </w:p>
    <w:p>
      <w:pPr>
        <w:pStyle w:val="null3"/>
        <w:jc w:val="center"/>
        <w:outlineLvl w:val="2"/>
      </w:pPr>
      <w:r>
        <w:rPr>
          <w:rFonts w:ascii="仿宋_GB2312" w:hAnsi="仿宋_GB2312" w:cs="仿宋_GB2312" w:eastAsia="仿宋_GB2312"/>
          <w:sz w:val="28"/>
          <w:b/>
        </w:rPr>
        <w:t>成都优引力项目管理有限公司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成都优引力项目管理有限公司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色达县教育和体育局</w:t>
      </w:r>
      <w:r>
        <w:rPr>
          <w:rFonts w:ascii="仿宋_GB2312" w:hAnsi="仿宋_GB2312" w:cs="仿宋_GB2312" w:eastAsia="仿宋_GB2312"/>
        </w:rPr>
        <w:t xml:space="preserve"> 委托，拟对 </w:t>
      </w:r>
      <w:r>
        <w:rPr>
          <w:rFonts w:ascii="仿宋_GB2312" w:hAnsi="仿宋_GB2312" w:cs="仿宋_GB2312" w:eastAsia="仿宋_GB2312"/>
        </w:rPr>
        <w:t>2026年色达县中小学生作业本采购项目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甘孜藏族自治州色达县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N5133332026000020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2026年色达县中小学生作业本采购项目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本项目为2026年色达县中小学生作业本采购项目，为保障2026年春、秋季开学学校正常教育教学，拟采购全县中小学校的作业本，本项目共一个包。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1、特殊资格（描述：投标人（或货物生产厂家）具有有效的《印刷经营许可证》，提供证书复印件并加盖公章。）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色达县教育和体育局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色达县金马大道东路13号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玛桑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18383648222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成都优引力项目管理有限公司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四川省成都市武侯区武科西一路65号3栋5层503号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薛毅丰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028-61152662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采购包1：431,530.00元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（1）收款单位：签订合同前提供。（2）开户行：签订合同前提供。（3）银行账号：签订合同前提供。（4）交款时间：中标通知书发放后，政府采购合同签订前。 （5）履约保证金退还时间：项目结束且最终验收合格后15个工作日内无息返还。 （6）履约保证金不予退还情形：验收结果不合格的，履约保证金将不予退还。（7）履约保证金不予退还的，将按照有关规定上缴国库。逾期退还履约保证金的，将依法承担法律责任，并赔偿供应商损失。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代理服务费收费标准：按照[四川省财政厅关于印发《四川省政府采购营商环境指标提升专项行动工作方案》的通知（川财采〔2020〕74号）]文件中成本支出加合理利润原则，固定收取6000元整，由中标供应商支付。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色达县教育和体育局</w:t>
      </w:r>
      <w:r>
        <w:rPr>
          <w:rFonts w:ascii="仿宋_GB2312" w:hAnsi="仿宋_GB2312" w:cs="仿宋_GB2312" w:eastAsia="仿宋_GB2312"/>
        </w:rPr>
        <w:t xml:space="preserve"> 和 </w:t>
      </w:r>
      <w:r>
        <w:rPr>
          <w:rFonts w:ascii="仿宋_GB2312" w:hAnsi="仿宋_GB2312" w:cs="仿宋_GB2312" w:eastAsia="仿宋_GB2312"/>
        </w:rPr>
        <w:t>成都优引力项目管理有限公司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色达县教育和体育局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成都优引力项目管理有限公司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供应商提交验收申请之日起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结合招标文件要求的每项质量要求和技术指标，以及供应商的投标文件应答和承诺的条款和内容逐项核实履约情况。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结合招标文件要求的商务要求，以及供应商的投标文件应答和承诺的条款和内容逐项核实履约情况。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质量要求和技术指标、供应商的投标文件及承诺与本合同约定标准进行验收；采购人与供应商双方如对质量要求和技术指标的约定标准有相互抵触或异议的事项，由采购人在招标文件及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色达县教育和体育局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成都优引力项目管理有限公司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成都优引力项目管理有限公司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联系人：薛毅丰</w:t>
      </w:r>
    </w:p>
    <w:p>
      <w:pPr>
        <w:pStyle w:val="null3"/>
        <w:jc w:val="left"/>
      </w:pPr>
      <w:r>
        <w:rPr>
          <w:rFonts w:ascii="仿宋_GB2312" w:hAnsi="仿宋_GB2312" w:cs="仿宋_GB2312" w:eastAsia="仿宋_GB2312"/>
        </w:rPr>
        <w:t>联系电话：028-61152662</w:t>
      </w:r>
    </w:p>
    <w:p>
      <w:pPr>
        <w:pStyle w:val="null3"/>
        <w:jc w:val="left"/>
      </w:pPr>
      <w:r>
        <w:rPr>
          <w:rFonts w:ascii="仿宋_GB2312" w:hAnsi="仿宋_GB2312" w:cs="仿宋_GB2312" w:eastAsia="仿宋_GB2312"/>
        </w:rPr>
        <w:t>地址：四川省成都市武侯区武科西一路65号3栋5层503号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联系人：玛桑</w:t>
      </w:r>
    </w:p>
    <w:p>
      <w:pPr>
        <w:pStyle w:val="null3"/>
        <w:jc w:val="left"/>
      </w:pPr>
      <w:r>
        <w:rPr>
          <w:rFonts w:ascii="仿宋_GB2312" w:hAnsi="仿宋_GB2312" w:cs="仿宋_GB2312" w:eastAsia="仿宋_GB2312"/>
        </w:rPr>
        <w:t>联系电话：18383648222</w:t>
      </w:r>
    </w:p>
    <w:p>
      <w:pPr>
        <w:pStyle w:val="null3"/>
        <w:jc w:val="left"/>
      </w:pPr>
      <w:r>
        <w:rPr>
          <w:rFonts w:ascii="仿宋_GB2312" w:hAnsi="仿宋_GB2312" w:cs="仿宋_GB2312" w:eastAsia="仿宋_GB2312"/>
        </w:rPr>
        <w:t>地址：色达县金马大道东路13号</w:t>
      </w:r>
    </w:p>
    <w:p>
      <w:pPr>
        <w:pStyle w:val="null3"/>
        <w:jc w:val="left"/>
      </w:pPr>
      <w:r>
        <w:rPr>
          <w:rFonts w:ascii="仿宋_GB2312" w:hAnsi="仿宋_GB2312" w:cs="仿宋_GB2312" w:eastAsia="仿宋_GB2312"/>
        </w:rPr>
        <w:t>邮编：626600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431,530.00</w:t>
      </w:r>
    </w:p>
    <w:p>
      <w:pPr>
        <w:pStyle w:val="null3"/>
        <w:jc w:val="left"/>
      </w:pPr>
      <w:r>
        <w:rPr>
          <w:rFonts w:ascii="仿宋_GB2312" w:hAnsi="仿宋_GB2312" w:cs="仿宋_GB2312" w:eastAsia="仿宋_GB2312"/>
        </w:rPr>
        <w:t>采购包最高限价（元）: 431,530.00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A07100300 纸制品</w:t>
            </w:r>
          </w:p>
        </w:tc>
        <w:tc>
          <w:tcPr>
            <w:tcW w:type="dxa" w:w="821"/>
          </w:tcPr>
          <w:p>
            <w:pPr>
              <w:pStyle w:val="null3"/>
              <w:jc w:val="left"/>
            </w:pPr>
            <w:r>
              <w:rPr>
                <w:rFonts w:ascii="仿宋_GB2312" w:hAnsi="仿宋_GB2312" w:cs="仿宋_GB2312" w:eastAsia="仿宋_GB2312"/>
              </w:rPr>
              <w:t>2026年色达县中小学生作业本采购项目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431,530.00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2026年色达县中小学生作业本采购项目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431,530.00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A07100300 纸制品</w:t>
            </w:r>
          </w:p>
        </w:tc>
        <w:tc>
          <w:tcPr>
            <w:tcW w:type="dxa" w:w="2492"/>
          </w:tcPr>
          <w:p>
            <w:pPr>
              <w:pStyle w:val="null3"/>
              <w:jc w:val="left"/>
            </w:pPr>
            <w:r>
              <w:rPr>
                <w:rFonts w:ascii="仿宋_GB2312" w:hAnsi="仿宋_GB2312" w:cs="仿宋_GB2312" w:eastAsia="仿宋_GB2312"/>
              </w:rPr>
              <w:t>2026年色达县中小学生作业本采购项目</w:t>
            </w:r>
          </w:p>
        </w:tc>
        <w:tc>
          <w:tcPr>
            <w:tcW w:type="dxa" w:w="2492"/>
          </w:tcPr>
          <w:p>
            <w:pPr>
              <w:pStyle w:val="null3"/>
              <w:jc w:val="left"/>
            </w:pPr>
            <w:r>
              <w:rPr>
                <w:rFonts w:ascii="仿宋_GB2312" w:hAnsi="仿宋_GB2312" w:cs="仿宋_GB2312" w:eastAsia="仿宋_GB2312"/>
              </w:rPr>
              <w:t>大作业本</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标的名称：2026年色达县中小学生作业本采购项目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2026年色达县中小学生作业本采购项目</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（一）采购清单</w:t>
            </w:r>
          </w:p>
          <w:tbl>
            <w:tblPr>
              <w:tblBorders>
                <w:top w:val="none" w:color="000000" w:sz="4"/>
                <w:left w:val="none" w:color="000000" w:sz="4"/>
                <w:bottom w:val="none" w:color="000000" w:sz="4"/>
                <w:right w:val="none" w:color="000000" w:sz="4"/>
                <w:insideH w:val="none"/>
                <w:insideV w:val="none"/>
              </w:tblBorders>
            </w:tblPr>
            <w:tblGrid>
              <w:gridCol w:w="553"/>
              <w:gridCol w:w="2121"/>
              <w:gridCol w:w="846"/>
              <w:gridCol w:w="846"/>
              <w:gridCol w:w="1112"/>
            </w:tblGrid>
            <w:tr>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小四线拼音本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8314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小拼音带田字格</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27509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小作业本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22488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小小字本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15303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小习字本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17700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小藏文本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28713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大拼音本带田字格</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30540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大藏文本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94470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大英语本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69498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大习字本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29367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大小字本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34556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大作业本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135489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大作文本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105074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大美术</w:t>
                  </w:r>
                  <w:r>
                    <w:rPr>
                      <w:rFonts w:ascii="仿宋_GB2312" w:hAnsi="仿宋_GB2312" w:cs="仿宋_GB2312" w:eastAsia="仿宋_GB2312"/>
                      <w:sz w:val="24"/>
                    </w:rPr>
                    <w:t>本</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23859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4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品目：</w:t>
                  </w:r>
                  <w:r>
                    <w:rPr>
                      <w:rFonts w:ascii="仿宋_GB2312" w:hAnsi="仿宋_GB2312" w:cs="仿宋_GB2312" w:eastAsia="仿宋_GB2312"/>
                      <w:sz w:val="24"/>
                    </w:rPr>
                    <w:t>A07100300纸制品</w:t>
                  </w:r>
                </w:p>
                <w:p>
                  <w:pPr>
                    <w:pStyle w:val="null3"/>
                    <w:jc w:val="both"/>
                  </w:pPr>
                  <w:r>
                    <w:rPr>
                      <w:rFonts w:ascii="仿宋_GB2312" w:hAnsi="仿宋_GB2312" w:cs="仿宋_GB2312" w:eastAsia="仿宋_GB2312"/>
                      <w:sz w:val="24"/>
                    </w:rPr>
                    <w:t>核心产品：</w:t>
                  </w:r>
                  <w:r>
                    <w:rPr>
                      <w:rFonts w:ascii="仿宋_GB2312" w:hAnsi="仿宋_GB2312" w:cs="仿宋_GB2312" w:eastAsia="仿宋_GB2312"/>
                      <w:sz w:val="24"/>
                    </w:rPr>
                    <w:t>大作业本</w:t>
                  </w:r>
                </w:p>
                <w:p>
                  <w:pPr>
                    <w:pStyle w:val="null3"/>
                    <w:jc w:val="both"/>
                  </w:pPr>
                  <w:r>
                    <w:rPr>
                      <w:rFonts w:ascii="仿宋_GB2312" w:hAnsi="仿宋_GB2312" w:cs="仿宋_GB2312" w:eastAsia="仿宋_GB2312"/>
                      <w:sz w:val="24"/>
                    </w:rPr>
                    <w:t>最高限价：</w:t>
                  </w:r>
                  <w:r>
                    <w:rPr>
                      <w:rFonts w:ascii="仿宋_GB2312" w:hAnsi="仿宋_GB2312" w:cs="仿宋_GB2312" w:eastAsia="仿宋_GB2312"/>
                      <w:sz w:val="24"/>
                    </w:rPr>
                    <w:t>43.153万元</w:t>
                  </w:r>
                </w:p>
              </w:tc>
            </w:tr>
          </w:tbl>
          <w:p>
            <w:pPr>
              <w:pStyle w:val="null3"/>
              <w:spacing w:before="105" w:after="105"/>
              <w:ind w:firstLine="480"/>
              <w:jc w:val="left"/>
            </w:pPr>
            <w:r>
              <w:rPr>
                <w:rFonts w:ascii="仿宋_GB2312" w:hAnsi="仿宋_GB2312" w:cs="仿宋_GB2312" w:eastAsia="仿宋_GB2312"/>
                <w:sz w:val="24"/>
                <w:color w:val="000000"/>
              </w:rPr>
              <w:t>★注：标的说明（因系统固化原因，本条仅做告知说明，供应商无需单独应答，按要求制作投标文件内容即可）：</w:t>
            </w:r>
          </w:p>
          <w:p>
            <w:pPr>
              <w:pStyle w:val="null3"/>
              <w:spacing w:before="105" w:after="105"/>
              <w:ind w:firstLine="480"/>
              <w:jc w:val="left"/>
            </w:pPr>
            <w:r>
              <w:rPr>
                <w:rFonts w:ascii="仿宋_GB2312" w:hAnsi="仿宋_GB2312" w:cs="仿宋_GB2312" w:eastAsia="仿宋_GB2312"/>
                <w:sz w:val="24"/>
                <w:color w:val="000000"/>
              </w:rPr>
              <w:t>1、供应商报价明细表须按“★（一）采购清单”中的内容分项填写，否则视为无效投标。</w:t>
            </w:r>
          </w:p>
          <w:p>
            <w:pPr>
              <w:pStyle w:val="null3"/>
              <w:spacing w:before="105" w:after="105"/>
              <w:ind w:firstLine="480"/>
              <w:jc w:val="left"/>
            </w:pPr>
            <w:r>
              <w:rPr>
                <w:rFonts w:ascii="仿宋_GB2312" w:hAnsi="仿宋_GB2312" w:cs="仿宋_GB2312" w:eastAsia="仿宋_GB2312"/>
                <w:sz w:val="24"/>
                <w:color w:val="000000"/>
              </w:rPr>
              <w:t>2、供应商在填报《中小企业声明函》或《关于符合本国产品标准的声明函》时，需按“★（一）采购清单”中的“标的名称”进行逐项填报。未按要求填报的，所填报《中小企业声明函》</w:t>
            </w:r>
            <w:r>
              <w:rPr>
                <w:rFonts w:ascii="仿宋_GB2312" w:hAnsi="仿宋_GB2312" w:cs="仿宋_GB2312" w:eastAsia="仿宋_GB2312"/>
                <w:sz w:val="24"/>
                <w:color w:val="000000"/>
              </w:rPr>
              <w:t>或《关于符合本国产品标准的声明函》</w:t>
            </w:r>
            <w:r>
              <w:rPr>
                <w:rFonts w:ascii="仿宋_GB2312" w:hAnsi="仿宋_GB2312" w:cs="仿宋_GB2312" w:eastAsia="仿宋_GB2312"/>
                <w:sz w:val="24"/>
                <w:color w:val="000000"/>
              </w:rPr>
              <w:t>视为无效。</w:t>
            </w:r>
          </w:p>
          <w:p>
            <w:pPr>
              <w:pStyle w:val="null3"/>
              <w:spacing w:before="105" w:after="105"/>
              <w:ind w:firstLine="480"/>
              <w:jc w:val="left"/>
            </w:pPr>
            <w:r>
              <w:rPr>
                <w:rFonts w:ascii="仿宋_GB2312" w:hAnsi="仿宋_GB2312" w:cs="仿宋_GB2312" w:eastAsia="仿宋_GB2312"/>
                <w:sz w:val="24"/>
                <w:color w:val="000000"/>
              </w:rPr>
              <w:t>3、如投标文件格式-《中小企业声明函》中对于标的信息无法新增的，供应商须按照《中小企业声明函》的格式，自行制作《中小企业声明函》相应内容并补充在投标文件中。</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）功能和质量要求</w:t>
            </w:r>
          </w:p>
          <w:tbl>
            <w:tblPr>
              <w:tblBorders>
                <w:top w:val="none" w:color="000000" w:sz="4"/>
                <w:left w:val="none" w:color="000000" w:sz="4"/>
                <w:bottom w:val="none" w:color="000000" w:sz="4"/>
                <w:right w:val="none" w:color="000000" w:sz="4"/>
                <w:insideH w:val="none"/>
                <w:insideV w:val="none"/>
              </w:tblBorders>
            </w:tblPr>
            <w:tblGrid>
              <w:gridCol w:w="442"/>
              <w:gridCol w:w="1088"/>
              <w:gridCol w:w="4065"/>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4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技术参数要求</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小四线拼音本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小四线拼音本，</w:t>
                  </w:r>
                  <w:r>
                    <w:rPr>
                      <w:rFonts w:ascii="仿宋_GB2312" w:hAnsi="仿宋_GB2312" w:cs="仿宋_GB2312" w:eastAsia="仿宋_GB2312"/>
                      <w:sz w:val="24"/>
                      <w:color w:val="000000"/>
                    </w:rPr>
                    <w:t>≥20张/本；32开（成品尺寸（长*宽）：184mm*130mm（±2mm））；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小拼音本带田字格</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小拼音本带田字格，</w:t>
                  </w:r>
                  <w:r>
                    <w:rPr>
                      <w:rFonts w:ascii="仿宋_GB2312" w:hAnsi="仿宋_GB2312" w:cs="仿宋_GB2312" w:eastAsia="仿宋_GB2312"/>
                      <w:sz w:val="24"/>
                      <w:color w:val="000000"/>
                    </w:rPr>
                    <w:t>≥20张/本；32开（成品尺寸（长*宽）：184mm*130mm（±2mm））；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color w:val="000000"/>
                    </w:rPr>
                    <w:t>封面双胶纸，彩色印刷；内页本色双胶纸，单色印刷；胶装，上下翻页；外观：作业本的切口平整、洁净、无毛边、掉角、斜角，纸张色泽均匀一致。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小作业本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小作业本，</w:t>
                  </w:r>
                  <w:r>
                    <w:rPr>
                      <w:rFonts w:ascii="仿宋_GB2312" w:hAnsi="仿宋_GB2312" w:cs="仿宋_GB2312" w:eastAsia="仿宋_GB2312"/>
                      <w:sz w:val="24"/>
                      <w:color w:val="000000"/>
                    </w:rPr>
                    <w:t>≥20张/本；32开（成品尺寸（长*宽）：184mm*130mm（±2mm））；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小小字本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小小字本，</w:t>
                  </w:r>
                  <w:r>
                    <w:rPr>
                      <w:rFonts w:ascii="仿宋_GB2312" w:hAnsi="仿宋_GB2312" w:cs="仿宋_GB2312" w:eastAsia="仿宋_GB2312"/>
                      <w:sz w:val="24"/>
                      <w:color w:val="000000"/>
                    </w:rPr>
                    <w:t>≥20张/本；32开（成品尺寸（长*宽）：184mm*130mm（±2mm））；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小习字本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小习字本，</w:t>
                  </w:r>
                  <w:r>
                    <w:rPr>
                      <w:rFonts w:ascii="仿宋_GB2312" w:hAnsi="仿宋_GB2312" w:cs="仿宋_GB2312" w:eastAsia="仿宋_GB2312"/>
                      <w:sz w:val="24"/>
                      <w:color w:val="000000"/>
                    </w:rPr>
                    <w:t>≥20张/本；32开（成品尺寸（长*宽）：184mm*130mm（±2mm））；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小藏文本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小藏文本，</w:t>
                  </w:r>
                  <w:r>
                    <w:rPr>
                      <w:rFonts w:ascii="仿宋_GB2312" w:hAnsi="仿宋_GB2312" w:cs="仿宋_GB2312" w:eastAsia="仿宋_GB2312"/>
                      <w:sz w:val="24"/>
                      <w:color w:val="000000"/>
                    </w:rPr>
                    <w:t>≥20张/本；32开（成品尺寸（长*宽）：184mm*130mm（±2mm））；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大拼音本带田字格</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大拼音本带田字格，</w:t>
                  </w:r>
                  <w:r>
                    <w:rPr>
                      <w:rFonts w:ascii="仿宋_GB2312" w:hAnsi="仿宋_GB2312" w:cs="仿宋_GB2312" w:eastAsia="仿宋_GB2312"/>
                      <w:sz w:val="24"/>
                      <w:color w:val="000000"/>
                    </w:rPr>
                    <w:t>≥20张/本；16开（成品尺寸（长*宽）：260mm*184mm（±2mm））；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大藏文本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大藏文本，</w:t>
                  </w:r>
                  <w:r>
                    <w:rPr>
                      <w:rFonts w:ascii="仿宋_GB2312" w:hAnsi="仿宋_GB2312" w:cs="仿宋_GB2312" w:eastAsia="仿宋_GB2312"/>
                      <w:sz w:val="24"/>
                      <w:color w:val="000000"/>
                    </w:rPr>
                    <w:t>≥20张/本；16开（成品尺寸（长*宽）：260mm*184mm（±2mm））；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大英语本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大英语本，</w:t>
                  </w:r>
                  <w:r>
                    <w:rPr>
                      <w:rFonts w:ascii="仿宋_GB2312" w:hAnsi="仿宋_GB2312" w:cs="仿宋_GB2312" w:eastAsia="仿宋_GB2312"/>
                      <w:sz w:val="24"/>
                      <w:color w:val="000000"/>
                    </w:rPr>
                    <w:t>≥20张/本；16开（成品尺寸（长*宽）：260mm*184mm（±2mm））；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大习字本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w:t>
                  </w:r>
                  <w:r>
                    <w:rPr>
                      <w:rFonts w:ascii="仿宋_GB2312" w:hAnsi="仿宋_GB2312" w:cs="仿宋_GB2312" w:eastAsia="仿宋_GB2312"/>
                      <w:sz w:val="24"/>
                      <w:color w:val="000000"/>
                    </w:rPr>
                    <w:t>大习字本，</w:t>
                  </w:r>
                  <w:r>
                    <w:rPr>
                      <w:rFonts w:ascii="仿宋_GB2312" w:hAnsi="仿宋_GB2312" w:cs="仿宋_GB2312" w:eastAsia="仿宋_GB2312"/>
                      <w:sz w:val="24"/>
                      <w:color w:val="000000"/>
                    </w:rPr>
                    <w:t>≥20张/本；16开（成品尺寸（长*宽）：260mm*184mm（±2mm））；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大小字本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w:t>
                  </w:r>
                  <w:r>
                    <w:rPr>
                      <w:rFonts w:ascii="仿宋_GB2312" w:hAnsi="仿宋_GB2312" w:cs="仿宋_GB2312" w:eastAsia="仿宋_GB2312"/>
                      <w:sz w:val="24"/>
                      <w:color w:val="000000"/>
                    </w:rPr>
                    <w:t>大小字本，</w:t>
                  </w:r>
                  <w:r>
                    <w:rPr>
                      <w:rFonts w:ascii="仿宋_GB2312" w:hAnsi="仿宋_GB2312" w:cs="仿宋_GB2312" w:eastAsia="仿宋_GB2312"/>
                      <w:sz w:val="24"/>
                      <w:color w:val="000000"/>
                    </w:rPr>
                    <w:t>≥20张/本；16开（成品尺寸（长*宽）：260mm*184mm（±2mm））；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大作业本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大作业本，</w:t>
                  </w:r>
                  <w:r>
                    <w:rPr>
                      <w:rFonts w:ascii="仿宋_GB2312" w:hAnsi="仿宋_GB2312" w:cs="仿宋_GB2312" w:eastAsia="仿宋_GB2312"/>
                      <w:sz w:val="24"/>
                      <w:color w:val="000000"/>
                    </w:rPr>
                    <w:t>≥20张/本；16开（成品尺寸（长*宽）：260mm*184mm（±2mm））；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大作文本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r>
                    <w:rPr>
                      <w:rFonts w:ascii="仿宋_GB2312" w:hAnsi="仿宋_GB2312" w:cs="仿宋_GB2312" w:eastAsia="仿宋_GB2312"/>
                      <w:sz w:val="24"/>
                      <w:color w:val="000000"/>
                    </w:rPr>
                    <w:t>大作文本，</w:t>
                  </w:r>
                  <w:r>
                    <w:rPr>
                      <w:rFonts w:ascii="仿宋_GB2312" w:hAnsi="仿宋_GB2312" w:cs="仿宋_GB2312" w:eastAsia="仿宋_GB2312"/>
                      <w:sz w:val="24"/>
                      <w:color w:val="000000"/>
                    </w:rPr>
                    <w:t>≥20张/本；16开（成品尺寸（长*宽）：260mm*184mm（±2mm））；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大美术本</w:t>
                  </w:r>
                </w:p>
              </w:tc>
              <w:tc>
                <w:tcPr>
                  <w:tcW w:type="dxa" w:w="4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27、</w:t>
                  </w:r>
                  <w:r>
                    <w:rPr>
                      <w:rFonts w:ascii="仿宋_GB2312" w:hAnsi="仿宋_GB2312" w:cs="仿宋_GB2312" w:eastAsia="仿宋_GB2312"/>
                      <w:sz w:val="24"/>
                      <w:color w:val="000000"/>
                    </w:rPr>
                    <w:t>★</w:t>
                  </w:r>
                  <w:r>
                    <w:rPr>
                      <w:rFonts w:ascii="仿宋_GB2312" w:hAnsi="仿宋_GB2312" w:cs="仿宋_GB2312" w:eastAsia="仿宋_GB2312"/>
                      <w:sz w:val="24"/>
                      <w:color w:val="000000"/>
                    </w:rPr>
                    <w:t>大美术本，</w:t>
                  </w:r>
                  <w:r>
                    <w:rPr>
                      <w:rFonts w:ascii="仿宋_GB2312" w:hAnsi="仿宋_GB2312" w:cs="仿宋_GB2312" w:eastAsia="仿宋_GB2312"/>
                      <w:sz w:val="24"/>
                      <w:color w:val="000000"/>
                    </w:rPr>
                    <w:t>≥20张/本；16开（成品尺寸（长*宽）：260mm*184mm（±2mm））；</w:t>
                  </w:r>
                  <w:r>
                    <w:rPr>
                      <w:rFonts w:ascii="仿宋_GB2312" w:hAnsi="仿宋_GB2312" w:cs="仿宋_GB2312" w:eastAsia="仿宋_GB2312"/>
                      <w:sz w:val="24"/>
                      <w:color w:val="000000"/>
                    </w:rPr>
                    <w:t>胶装，上下翻页；</w:t>
                  </w:r>
                </w:p>
                <w:p>
                  <w:pPr>
                    <w:pStyle w:val="null3"/>
                    <w:jc w:val="both"/>
                  </w:pPr>
                  <w:r>
                    <w:rPr>
                      <w:rFonts w:ascii="仿宋_GB2312" w:hAnsi="仿宋_GB2312" w:cs="仿宋_GB2312" w:eastAsia="仿宋_GB2312"/>
                      <w:sz w:val="24"/>
                    </w:rPr>
                    <w:t>28、</w:t>
                  </w:r>
                  <w:r>
                    <w:rPr>
                      <w:rFonts w:ascii="仿宋_GB2312" w:hAnsi="仿宋_GB2312" w:cs="仿宋_GB2312" w:eastAsia="仿宋_GB2312"/>
                      <w:sz w:val="24"/>
                      <w:color w:val="000000"/>
                    </w:rPr>
                    <w:t>封面双胶纸，彩色印刷；内页本色双胶纸，单色印刷；外观：作业本的切口平整、洁净、无毛边、掉角、斜角，纸张色泽均匀一致。</w:t>
                  </w:r>
                </w:p>
              </w:tc>
            </w:tr>
          </w:tbl>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服务</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1、供应商负责将货物配送至色达县内采购人指定的学校。本项目涉及19所学校及校点（详细</w:t>
            </w:r>
            <w:r>
              <w:rPr>
                <w:rFonts w:ascii="仿宋_GB2312" w:hAnsi="仿宋_GB2312" w:cs="仿宋_GB2312" w:eastAsia="仿宋_GB2312"/>
                <w:sz w:val="24"/>
                <w:color w:val="000000"/>
              </w:rPr>
              <w:t>配送学校清单如下</w:t>
            </w:r>
            <w:r>
              <w:rPr>
                <w:rFonts w:ascii="仿宋_GB2312" w:hAnsi="仿宋_GB2312" w:cs="仿宋_GB2312" w:eastAsia="仿宋_GB2312"/>
                <w:sz w:val="24"/>
                <w:color w:val="000000"/>
              </w:rPr>
              <w:t>），供应商须根据采购人实际情况在规定的时间内将各校所需作业本送达至指定地点。</w:t>
            </w:r>
          </w:p>
          <w:p>
            <w:pPr>
              <w:pStyle w:val="null3"/>
              <w:ind w:firstLine="480"/>
              <w:jc w:val="center"/>
            </w:pPr>
            <w:r>
              <w:rPr>
                <w:rFonts w:ascii="仿宋_GB2312" w:hAnsi="仿宋_GB2312" w:cs="仿宋_GB2312" w:eastAsia="仿宋_GB2312"/>
                <w:sz w:val="24"/>
                <w:color w:val="000000"/>
              </w:rPr>
              <w:t>《配送学校清单》</w:t>
            </w:r>
          </w:p>
          <w:tbl>
            <w:tblPr>
              <w:tblBorders>
                <w:top w:val="none" w:color="000000" w:sz="4"/>
                <w:left w:val="none" w:color="000000" w:sz="4"/>
                <w:bottom w:val="none" w:color="000000" w:sz="4"/>
                <w:right w:val="none" w:color="000000" w:sz="4"/>
                <w:insideH w:val="none"/>
                <w:insideV w:val="none"/>
              </w:tblBorders>
            </w:tblPr>
            <w:tblGrid>
              <w:gridCol w:w="616"/>
              <w:gridCol w:w="772"/>
              <w:gridCol w:w="2352"/>
              <w:gridCol w:w="1089"/>
              <w:gridCol w:w="769"/>
            </w:tblGrid>
            <w:tr>
              <w:tc>
                <w:tcPr>
                  <w:tcW w:type="dxa" w:w="61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片区</w:t>
                  </w:r>
                </w:p>
              </w:tc>
              <w:tc>
                <w:tcPr>
                  <w:tcW w:type="dxa" w:w="2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需配送的学校</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路程</w:t>
                  </w:r>
                  <w:r>
                    <w:rPr>
                      <w:rFonts w:ascii="仿宋_GB2312" w:hAnsi="仿宋_GB2312" w:cs="仿宋_GB2312" w:eastAsia="仿宋_GB2312"/>
                      <w:sz w:val="24"/>
                      <w:b/>
                      <w:color w:val="000000"/>
                    </w:rPr>
                    <w:t>(公里)</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县城区</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九年一贯制学校（二完小）</w:t>
                  </w:r>
                </w:p>
              </w:tc>
              <w:tc>
                <w:tcPr>
                  <w:tcW w:type="dxa" w:w="10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县城内</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县城小学</w:t>
                  </w:r>
                </w:p>
              </w:tc>
              <w:tc>
                <w:tcPr>
                  <w:tcW w:type="dxa" w:w="1089"/>
                  <w:vMerge/>
                  <w:tcBorders>
                    <w:top w:val="none" w:color="000000" w:sz="4"/>
                    <w:left w:val="none" w:color="000000" w:sz="4"/>
                    <w:bottom w:val="single" w:color="000000" w:sz="4"/>
                    <w:right w:val="single" w:color="000000" w:sz="4"/>
                  </w:tcBorders>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色达县中学（东校区）</w:t>
                  </w:r>
                </w:p>
              </w:tc>
              <w:tc>
                <w:tcPr>
                  <w:tcW w:type="dxa" w:w="1089"/>
                  <w:vMerge/>
                  <w:tcBorders>
                    <w:top w:val="none" w:color="000000" w:sz="4"/>
                    <w:left w:val="none" w:color="000000" w:sz="4"/>
                    <w:bottom w:val="single" w:color="000000" w:sz="4"/>
                    <w:right w:val="single" w:color="000000" w:sz="4"/>
                  </w:tcBorders>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色柯镇寄宿制学校（三完小）</w:t>
                  </w:r>
                </w:p>
              </w:tc>
              <w:tc>
                <w:tcPr>
                  <w:tcW w:type="dxa" w:w="1089"/>
                  <w:vMerge/>
                  <w:tcBorders>
                    <w:top w:val="none" w:color="000000" w:sz="4"/>
                    <w:left w:val="none" w:color="000000" w:sz="4"/>
                    <w:bottom w:val="single" w:color="000000" w:sz="4"/>
                    <w:right w:val="single" w:color="000000" w:sz="4"/>
                  </w:tcBorders>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色达县中学（西校区）</w:t>
                  </w:r>
                </w:p>
              </w:tc>
              <w:tc>
                <w:tcPr>
                  <w:tcW w:type="dxa" w:w="1089"/>
                  <w:vMerge/>
                  <w:tcBorders>
                    <w:top w:val="none" w:color="000000" w:sz="4"/>
                    <w:left w:val="none" w:color="000000" w:sz="4"/>
                    <w:bottom w:val="single" w:color="000000" w:sz="4"/>
                    <w:right w:val="single" w:color="000000" w:sz="4"/>
                  </w:tcBorders>
                </w:tc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下色达公路沿线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洛若小学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霍西小学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40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旭日小学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63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杨各小学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70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翁达小学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80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7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上色达公路沿线</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塔子小学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29</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亚龙小学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大则小学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40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康勒小学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60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克戈小学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80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泥朵小学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133</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然充小学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128</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大章小学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92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772"/>
                  <w:vMerge/>
                  <w:tcBorders>
                    <w:top w:val="none" w:color="000000" w:sz="4"/>
                    <w:left w:val="none" w:color="000000" w:sz="4"/>
                    <w:bottom w:val="single" w:color="000000" w:sz="4"/>
                    <w:right w:val="single" w:color="000000" w:sz="4"/>
                  </w:tcBorders>
                </w:tcP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年龙小学</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52</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2、</w:t>
            </w:r>
            <w:r>
              <w:rPr>
                <w:rFonts w:ascii="仿宋_GB2312" w:hAnsi="仿宋_GB2312" w:cs="仿宋_GB2312" w:eastAsia="仿宋_GB2312"/>
                <w:sz w:val="24"/>
                <w:color w:val="000000"/>
              </w:rPr>
              <w:t>本项目所有产品须满足</w:t>
            </w:r>
            <w:r>
              <w:rPr>
                <w:rFonts w:ascii="仿宋_GB2312" w:hAnsi="仿宋_GB2312" w:cs="仿宋_GB2312" w:eastAsia="仿宋_GB2312"/>
                <w:sz w:val="24"/>
                <w:color w:val="000000"/>
              </w:rPr>
              <w:t>QB/T 1437-2023《课业簿册》、GB</w:t>
            </w:r>
            <w:r>
              <w:rPr>
                <w:rFonts w:ascii="仿宋_GB2312" w:hAnsi="仿宋_GB2312" w:cs="仿宋_GB2312" w:eastAsia="仿宋_GB2312"/>
                <w:sz w:val="32"/>
              </w:rPr>
              <w:t xml:space="preserve"> </w:t>
            </w:r>
            <w:r>
              <w:rPr>
                <w:rFonts w:ascii="仿宋_GB2312" w:hAnsi="仿宋_GB2312" w:cs="仿宋_GB2312" w:eastAsia="仿宋_GB2312"/>
                <w:sz w:val="24"/>
                <w:color w:val="000000"/>
              </w:rPr>
              <w:t>21027-2020《学生用品的安全通用要求》、GB</w:t>
            </w:r>
            <w:r>
              <w:rPr>
                <w:rFonts w:ascii="仿宋_GB2312" w:hAnsi="仿宋_GB2312" w:cs="仿宋_GB2312" w:eastAsia="仿宋_GB2312"/>
                <w:sz w:val="32"/>
              </w:rPr>
              <w:t xml:space="preserve"> </w:t>
            </w:r>
            <w:r>
              <w:rPr>
                <w:rFonts w:ascii="仿宋_GB2312" w:hAnsi="仿宋_GB2312" w:cs="仿宋_GB2312" w:eastAsia="仿宋_GB2312"/>
                <w:sz w:val="24"/>
                <w:color w:val="000000"/>
              </w:rPr>
              <w:t>40070—2021《儿童青少年学习用品近视防控卫生要求》，并符合《四川省教育厅四川省财政厅关于进一步规范义务教育阶段学生免费作业本政府采购工作的通知》的要求。</w:t>
            </w:r>
            <w:r>
              <w:rPr>
                <w:rFonts w:ascii="仿宋_GB2312" w:hAnsi="仿宋_GB2312" w:cs="仿宋_GB2312" w:eastAsia="仿宋_GB2312"/>
                <w:sz w:val="24"/>
                <w:color w:val="000000"/>
              </w:rPr>
              <w:t>本</w:t>
            </w:r>
            <w:r>
              <w:rPr>
                <w:rFonts w:ascii="仿宋_GB2312" w:hAnsi="仿宋_GB2312" w:cs="仿宋_GB2312" w:eastAsia="仿宋_GB2312"/>
                <w:sz w:val="24"/>
                <w:color w:val="000000"/>
              </w:rPr>
              <w:t>采购文件所引用的相关标准或规范文件，如相关标准或规范文件有最新替代版本，按最新版本执行，或在实施过程中有修订或变更，按修订或变更后的标准或规范执行。</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3、供应商所提供的产品须为检验合格的全新正品。不得以次充好，产品来源渠道必须合法，同时应根据国家有关规和采购单位的要求做好售后服务工作。供应商所提供的货物若发现有诸如数量、型号和外观尺寸与合同不符或与使用单位实际需求不一致的，使用单位有权拒收或者要求更换，供应商须在3个工作日内完成更换。如果最终到货的作业本存在污损、缺页、缺册、缺角、褶皱、漏印、错印、连页等不合格情况，供应商须无条件更换。供应商应承担作业本品种交换、数量补差、质量包换等义务，完成时间不得超过3个工作日，所有费用由供应商承担。</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4</w:t>
            </w:r>
            <w:r>
              <w:rPr>
                <w:rFonts w:ascii="仿宋_GB2312" w:hAnsi="仿宋_GB2312" w:cs="仿宋_GB2312" w:eastAsia="仿宋_GB2312"/>
                <w:sz w:val="24"/>
              </w:rPr>
              <w:t>、根据四川省教育厅四川省财政厅《关于进一步规范义务教育阶段学生免费作业本政府采购工作的通知》川教函〔</w:t>
            </w:r>
            <w:r>
              <w:rPr>
                <w:rFonts w:ascii="仿宋_GB2312" w:hAnsi="仿宋_GB2312" w:cs="仿宋_GB2312" w:eastAsia="仿宋_GB2312"/>
                <w:sz w:val="24"/>
              </w:rPr>
              <w:t>2022〕 334号文件要求，供应商所提供的义务教育阶段学生作业本须在封底标注“四川省义务教育免费作业本”字样及本地质量监督举报电话、学生资助热线电话。</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82"/>
              <w:jc w:val="both"/>
            </w:pPr>
            <w:r>
              <w:rPr>
                <w:rFonts w:ascii="仿宋_GB2312" w:hAnsi="仿宋_GB2312" w:cs="仿宋_GB2312" w:eastAsia="仿宋_GB2312"/>
                <w:sz w:val="24"/>
              </w:rPr>
              <w:t>(1)</w:t>
            </w:r>
            <w:r>
              <w:rPr>
                <w:rFonts w:ascii="仿宋_GB2312" w:hAnsi="仿宋_GB2312" w:cs="仿宋_GB2312" w:eastAsia="仿宋_GB2312"/>
                <w:sz w:val="24"/>
              </w:rPr>
              <w:t>中标供应商的报价包含但不限于：人工、货物、运输、二次转运、装卸费、税金、利润、管理及其他不可预见费等一切费用。</w:t>
            </w:r>
            <w:r>
              <w:rPr>
                <w:rFonts w:ascii="仿宋_GB2312" w:hAnsi="仿宋_GB2312" w:cs="仿宋_GB2312" w:eastAsia="仿宋_GB2312"/>
                <w:sz w:val="24"/>
              </w:rPr>
              <w:t>(2)</w:t>
            </w:r>
            <w:r>
              <w:rPr>
                <w:rFonts w:ascii="仿宋_GB2312" w:hAnsi="仿宋_GB2312" w:cs="仿宋_GB2312" w:eastAsia="仿宋_GB2312"/>
                <w:sz w:val="24"/>
              </w:rPr>
              <w:t>中标供应商必须保证所供产品的质量、安全，无条件更换运输过程中的破损产品，所需费用由中标供应商自行承担。货到现场后由于采购人搬运、保管不当造成的问题，中标供应商亦应负责更换，费用由采购人负担。（以上两项提供响应承诺函并加盖供应商公章</w:t>
            </w:r>
            <w:r>
              <w:rPr>
                <w:rFonts w:ascii="仿宋_GB2312" w:hAnsi="仿宋_GB2312" w:cs="仿宋_GB2312" w:eastAsia="仿宋_GB2312"/>
                <w:sz w:val="24"/>
              </w:rPr>
              <w:t>,如未提供视为未实质性响应）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应为本项目提供履约的所有人员按照国家规定购买相关保险。</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供应商</w:t>
            </w:r>
            <w:r>
              <w:rPr>
                <w:rFonts w:ascii="仿宋_GB2312" w:hAnsi="仿宋_GB2312" w:cs="仿宋_GB2312" w:eastAsia="仿宋_GB2312"/>
                <w:sz w:val="24"/>
              </w:rPr>
              <w:t>自行运输标的物或委托承运人运输的，应为该批货物购买货物运输保险及运输工具航程保险。</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rPr>
              <w:t>供应商投入本项目工作人员的人身安全由供应商负责，凡在项目实施过程中发生安全责任事故或其他责任事故，均由供应商承担全部民事和刑事责任，因供应商自身安全措施不力造成的事故责任和因此发生的费用及后果由均供应商承担，采购人概不负责。</w:t>
            </w:r>
            <w:r>
              <w:rPr>
                <w:rFonts w:ascii="仿宋_GB2312" w:hAnsi="仿宋_GB2312" w:cs="仿宋_GB2312" w:eastAsia="仿宋_GB2312"/>
                <w:sz w:val="24"/>
              </w:rPr>
              <w:t>（提供响应承诺函并加盖供应商公章</w:t>
            </w:r>
            <w:r>
              <w:rPr>
                <w:rFonts w:ascii="仿宋_GB2312" w:hAnsi="仿宋_GB2312" w:cs="仿宋_GB2312" w:eastAsia="仿宋_GB2312"/>
                <w:sz w:val="24"/>
              </w:rPr>
              <w:t>,如未提供视为未实质性响应）</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供应商针对本项目采购需求提供的项目实施方案，包括：</w:t>
            </w:r>
            <w:r>
              <w:rPr>
                <w:rFonts w:ascii="仿宋_GB2312" w:hAnsi="仿宋_GB2312" w:cs="仿宋_GB2312" w:eastAsia="仿宋_GB2312"/>
                <w:sz w:val="24"/>
              </w:rPr>
              <w:t>①配送人员方案（为</w:t>
            </w:r>
            <w:r>
              <w:rPr>
                <w:rFonts w:ascii="仿宋_GB2312" w:hAnsi="仿宋_GB2312" w:cs="仿宋_GB2312" w:eastAsia="仿宋_GB2312"/>
                <w:sz w:val="24"/>
              </w:rPr>
              <w:t>本项目配备配送人员清单，包括姓名、职位信息以及对应职能、联系方式）；</w:t>
            </w:r>
            <w:r>
              <w:rPr>
                <w:rFonts w:ascii="仿宋_GB2312" w:hAnsi="仿宋_GB2312" w:cs="仿宋_GB2312" w:eastAsia="仿宋_GB2312"/>
                <w:sz w:val="24"/>
              </w:rPr>
              <w:t>②配送车辆组织安排方案（包括车辆运力组织、配送路线规划）；③项目实施进度安排（包括各环节进度计划、进度保障实施措施）；④产品质量保证措施方案（</w:t>
            </w:r>
            <w:r>
              <w:rPr>
                <w:rFonts w:ascii="仿宋_GB2312" w:hAnsi="仿宋_GB2312" w:cs="仿宋_GB2312" w:eastAsia="仿宋_GB2312"/>
                <w:sz w:val="24"/>
              </w:rPr>
              <w:t>包括</w:t>
            </w:r>
            <w:r>
              <w:rPr>
                <w:rFonts w:ascii="仿宋_GB2312" w:hAnsi="仿宋_GB2312" w:cs="仿宋_GB2312" w:eastAsia="仿宋_GB2312"/>
                <w:sz w:val="24"/>
              </w:rPr>
              <w:t>印刷质量保障措施、成品管控措施）；</w:t>
            </w:r>
            <w:r>
              <w:rPr>
                <w:rFonts w:ascii="仿宋_GB2312" w:hAnsi="仿宋_GB2312" w:cs="仿宋_GB2312" w:eastAsia="仿宋_GB2312"/>
                <w:sz w:val="24"/>
              </w:rPr>
              <w:t>⑤防潮防霉措施方案（包括防潮措施方案、防霉措施方案）；⑥应急预案（包括应急响应方案、应急恢复方案）。</w:t>
            </w:r>
          </w:p>
          <w:p>
            <w:pPr>
              <w:pStyle w:val="null3"/>
              <w:ind w:firstLine="480"/>
              <w:jc w:val="both"/>
            </w:pPr>
            <w:r>
              <w:rPr>
                <w:rFonts w:ascii="仿宋_GB2312" w:hAnsi="仿宋_GB2312" w:cs="仿宋_GB2312" w:eastAsia="仿宋_GB2312"/>
                <w:sz w:val="24"/>
              </w:rPr>
              <w:t>2.供应商针对本项目采购需求提供的售后服务方案，包括：</w:t>
            </w:r>
            <w:r>
              <w:rPr>
                <w:rFonts w:ascii="仿宋_GB2312" w:hAnsi="仿宋_GB2312" w:cs="仿宋_GB2312" w:eastAsia="仿宋_GB2312"/>
                <w:sz w:val="24"/>
              </w:rPr>
              <w:t>①备品备件方案（</w:t>
            </w:r>
            <w:r>
              <w:rPr>
                <w:rFonts w:ascii="仿宋_GB2312" w:hAnsi="仿宋_GB2312" w:cs="仿宋_GB2312" w:eastAsia="仿宋_GB2312"/>
                <w:sz w:val="24"/>
              </w:rPr>
              <w:t>包括</w:t>
            </w:r>
            <w:r>
              <w:rPr>
                <w:rFonts w:ascii="仿宋_GB2312" w:hAnsi="仿宋_GB2312" w:cs="仿宋_GB2312" w:eastAsia="仿宋_GB2312"/>
                <w:sz w:val="24"/>
              </w:rPr>
              <w:t>备品备件</w:t>
            </w:r>
            <w:r>
              <w:rPr>
                <w:rFonts w:ascii="仿宋_GB2312" w:hAnsi="仿宋_GB2312" w:cs="仿宋_GB2312" w:eastAsia="仿宋_GB2312"/>
                <w:sz w:val="24"/>
              </w:rPr>
              <w:t>库存管理</w:t>
            </w:r>
            <w:r>
              <w:rPr>
                <w:rFonts w:ascii="仿宋_GB2312" w:hAnsi="仿宋_GB2312" w:cs="仿宋_GB2312" w:eastAsia="仿宋_GB2312"/>
                <w:sz w:val="24"/>
              </w:rPr>
              <w:t>、备品备件</w:t>
            </w:r>
            <w:r>
              <w:rPr>
                <w:rFonts w:ascii="仿宋_GB2312" w:hAnsi="仿宋_GB2312" w:cs="仿宋_GB2312" w:eastAsia="仿宋_GB2312"/>
                <w:sz w:val="24"/>
              </w:rPr>
              <w:t>供应措施</w:t>
            </w:r>
            <w:r>
              <w:rPr>
                <w:rFonts w:ascii="仿宋_GB2312" w:hAnsi="仿宋_GB2312" w:cs="仿宋_GB2312" w:eastAsia="仿宋_GB2312"/>
                <w:sz w:val="24"/>
              </w:rPr>
              <w:t>）；</w:t>
            </w:r>
            <w:r>
              <w:rPr>
                <w:rFonts w:ascii="仿宋_GB2312" w:hAnsi="仿宋_GB2312" w:cs="仿宋_GB2312" w:eastAsia="仿宋_GB2312"/>
                <w:sz w:val="24"/>
              </w:rPr>
              <w:t>②售后服务流程方案</w:t>
            </w:r>
            <w:r>
              <w:rPr>
                <w:rFonts w:ascii="仿宋_GB2312" w:hAnsi="仿宋_GB2312" w:cs="仿宋_GB2312" w:eastAsia="仿宋_GB2312"/>
                <w:sz w:val="24"/>
              </w:rPr>
              <w:t>（</w:t>
            </w:r>
            <w:r>
              <w:rPr>
                <w:rFonts w:ascii="仿宋_GB2312" w:hAnsi="仿宋_GB2312" w:cs="仿宋_GB2312" w:eastAsia="仿宋_GB2312"/>
                <w:sz w:val="24"/>
              </w:rPr>
              <w:t>包括</w:t>
            </w:r>
            <w:r>
              <w:rPr>
                <w:rFonts w:ascii="仿宋_GB2312" w:hAnsi="仿宋_GB2312" w:cs="仿宋_GB2312" w:eastAsia="仿宋_GB2312"/>
                <w:sz w:val="24"/>
              </w:rPr>
              <w:t>售后</w:t>
            </w:r>
            <w:r>
              <w:rPr>
                <w:rFonts w:ascii="仿宋_GB2312" w:hAnsi="仿宋_GB2312" w:cs="仿宋_GB2312" w:eastAsia="仿宋_GB2312"/>
                <w:sz w:val="24"/>
              </w:rPr>
              <w:t>服务计划、</w:t>
            </w:r>
            <w:r>
              <w:rPr>
                <w:rFonts w:ascii="仿宋_GB2312" w:hAnsi="仿宋_GB2312" w:cs="仿宋_GB2312" w:eastAsia="仿宋_GB2312"/>
                <w:sz w:val="24"/>
              </w:rPr>
              <w:t>售后</w:t>
            </w:r>
            <w:r>
              <w:rPr>
                <w:rFonts w:ascii="仿宋_GB2312" w:hAnsi="仿宋_GB2312" w:cs="仿宋_GB2312" w:eastAsia="仿宋_GB2312"/>
                <w:sz w:val="24"/>
              </w:rPr>
              <w:t>流程结构图</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③售后服务人员配备及职责分工（</w:t>
            </w:r>
            <w:r>
              <w:rPr>
                <w:rFonts w:ascii="仿宋_GB2312" w:hAnsi="仿宋_GB2312" w:cs="仿宋_GB2312" w:eastAsia="仿宋_GB2312"/>
                <w:sz w:val="24"/>
              </w:rPr>
              <w:t>为</w:t>
            </w:r>
            <w:r>
              <w:rPr>
                <w:rFonts w:ascii="仿宋_GB2312" w:hAnsi="仿宋_GB2312" w:cs="仿宋_GB2312" w:eastAsia="仿宋_GB2312"/>
                <w:sz w:val="24"/>
              </w:rPr>
              <w:t>本项目配备售后人员清单，包括姓名、职位信息以及对应职能，联系方式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3.为顺利完成本项目，供应商需具有类似项目的履约经验（类似业绩）。</w:t>
            </w:r>
          </w:p>
          <w:p>
            <w:pPr>
              <w:pStyle w:val="null3"/>
              <w:jc w:val="left"/>
            </w:pPr>
            <w:r>
              <w:rPr>
                <w:rFonts w:ascii="仿宋_GB2312" w:hAnsi="仿宋_GB2312" w:cs="仿宋_GB2312" w:eastAsia="仿宋_GB2312"/>
                <w:sz w:val="24"/>
              </w:rPr>
              <w:t>注：本项服务要求供应商无需在（服务要求应答表</w:t>
            </w:r>
            <w:r>
              <w:rPr>
                <w:rFonts w:ascii="仿宋_GB2312" w:hAnsi="仿宋_GB2312" w:cs="仿宋_GB2312" w:eastAsia="仿宋_GB2312"/>
                <w:sz w:val="24"/>
              </w:rPr>
              <w:t>/技术要求响应表）中响应，由供应商根据自身实际情况按以上要求另行提供即可，评审小组按照“采购文件第五章 5.4.2. 评标细则及标准”对供应商提供的相应内容进行评审。</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签订合同后30日内送达色达县各义务教育段学校完成交货。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色达县，详见《配送学校清单》</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1、一次性支付，合同签订后，供应商供货完成且经采购人验收合格，收到供应商开具的有效发票和付款凭证后，达到付款条件起10日内，支付合同总金额的100.00%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①技术履约内容及标准：结合招标文件要求的每项质量要求和技术指标，以及供应商的投标文件应答和承诺的条款和内容逐项核实履约情况。 ②商务履约内容及标准：结合招标文件要求的商务要求，以及供应商的投标文件应答和承诺的条款和内容逐项核实履约情况。 ③验收标准：按国家有关规定以及招标文件的质量要求和技术指标、供应商的投标文件及承诺与本合同约定标准进行验收；采购人与供应商双方如对质量要求和技术指标的约定标准有相互抵触或异议的事项，由采购人在招标文件及投标文件中按质量要求和技术指标比较优胜的原则确定该项的约定标准进行验收。 ④验收时如发现所交付货物或其它不符合标准及本合同规定之情形，采购人应做出详尽的现场记录，或由采购人与供应商双方签署备忘录，此现场记录或备忘录可用作退换货物的有效证据，由此产生的时间延误与有关费用由供应商承担，验收期限相应顺延。 ⑤采购人在合同约定时间内无故不进行验收工作，视同供应商已安装完成并验收合格。 ⑥如货物经供应商3次退换仍不能达到合同约定的质量标准，采购人有权不接收货物，并视作供应商所交付的货物不符合本合同规定而须支付违约赔偿金给采购人，采购人还可依法追究供应商的违约责任。 ⑦项目验收结果合格的，采购人按合同约定支付采购资金；验收结果不合格且拒不整改的，将不予支付采购资金，还可能上报本项目同级财政部门按照政府采购法律法规给予行政处罚或者以失信行为记入诚信档案。 ⑧若本项目的采购内容涉及强制性国家、行业以及地方规定或标准按其相关规定或标准执行，若涉及须提供相关证书或证明材料的，交货或验收时由采购人查验。 ⑨其他未尽事宜应严格按照《财政部关于进一步加强政府采购需求和履约验收管理的指导意见》(财库〔2016〕205号)、《政府采购需求管理办法》(财库〔2021〕22号)的要求进行验收。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不涉及。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1.采购人违约责任： （1）采购人应遵守合同并执行合同中的各项规定，保证合同的正常履行。 （2）采购人无正当理由拒收货物的，采购人应偿付合同总价百分之五的违约金； （3）采购人逾期支付货物合同款项的，除应及时付足合同款项外，应向供应商偿付欠款总额万分之五/天的违约金；逾期付款超过六十天的，供应商有权终止合同。 （4）采购人偿付的违约金不足以弥补供应商损失的，还应按供应商经济损失尚未弥补的部分，支付赔偿金给供应商。 2.供应商违约责任：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不能按时提供货物或逾期提供的而违约的，除应及时提供货物外，应向采购人偿付逾期提供部分货款总额的万分之五/天的违约金；逾期超过30天，采购人有权终止合同，供应商则应按合同总价的百分之十的款额向采购人偿付违约金，并须全额退还采购人已经付给供应商的货款及其利息。 （4）供应商在履约过程中，货物经采购人使用不合格的，采购人有权要求供应商整改，供应商三次退换仍不符合要求的，采购人有权终止合同。 （5）供应商应当遵守采购人的相关项目需求及相关技术要求及实质性条款，实施完成采购合同应当完全满足相关项目需求及相关技术要求及实质性条款，若供应商瑕疵履行采购合同，采购人有权向供应商要求赔偿合同总价款5%的违约金，若造成相关损失的，采购人有权要求供应商承担所有赔偿责任。 （二）争议解决的办法 1.在执行本合同中发生的或与本合同有关的争端，双方应通过友好协商解决，经协商在60天内不能达成协议时，双方均有权向采购人所在地人民法院提起诉讼。 2.合同落款处双方通讯地址视为双方确认送达地址，适用于双方文件、函件往来、法院文书送达等。供应商地址变更应当书面告知采购人，否则采购人按照该地址送达视为有效送达。</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供应商须严格按照《商品包装政府采购需求标准(试行)》、《快递包装政府采购需求标准(试行)》(财办库〔2020〕123号)的要求进行产品及相关快递服务的包装，具体要求查询链接：http://www.ccgp.gov.cn/zcfg/mof/202007/t20200703_14587250.htm。供应商应当按照约定的方式交付标的物。对于包装方式没有约定或者约定不明确的，应当按照通用的方式包装；没有通用方式的，应当采取足以保护标的物且有利于节约资源，保护生态环境的包装方式。 （2）本次采购的标的物需要运输，供应商在合同约定的时间内将标的物运输至合同约定地点。供应商自行运输标的物或委托承运人运输的，其损毁、灭失的风险自合同成立时起由供应商承担。 （3）供应商按照约定将标的物运送至采购人指定地点并完成交付的或采购人违反约定不予收取的，标的物损毁、灭失的风险由采购人承担。 （4）运输物品的若有国家或行业特殊规定的，按其国家或行业的规定执行，须提供相关证件或证明材料的，交货时由采购人查验。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提供证明材料并进行电子签章。企业提供有效期内的营业执照副本扫描件，事业单位提供事业单位法人证书扫描件，其他组织提供执业许可证或营业执照等证明文件扫描件，自然人提供身份证明均具备此条同等效力。</w:t>
            </w:r>
          </w:p>
        </w:tc>
        <w:tc>
          <w:tcPr>
            <w:tcW w:type="dxa" w:w="1661"/>
          </w:tcPr>
          <w:p>
            <w:pPr>
              <w:pStyle w:val="null3"/>
              <w:jc w:val="left"/>
            </w:pPr>
            <w:r>
              <w:rPr>
                <w:rFonts w:ascii="仿宋_GB2312" w:hAnsi="仿宋_GB2312" w:cs="仿宋_GB2312" w:eastAsia="仿宋_GB2312"/>
              </w:rPr>
              <w:t>资格证明材料,投标文件封面,投标（响应）函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w:t>
            </w:r>
          </w:p>
        </w:tc>
        <w:tc>
          <w:tcPr>
            <w:tcW w:type="dxa" w:w="3322"/>
          </w:tcPr>
          <w:p>
            <w:pPr>
              <w:pStyle w:val="null3"/>
              <w:jc w:val="left"/>
            </w:pPr>
            <w:r>
              <w:rPr>
                <w:rFonts w:ascii="仿宋_GB2312" w:hAnsi="仿宋_GB2312" w:cs="仿宋_GB2312" w:eastAsia="仿宋_GB2312"/>
              </w:rPr>
              <w:t>投标人（或货物生产厂家）具有有效的《印刷经营许可证》，提供证书复印件并加盖公章。</w:t>
            </w:r>
          </w:p>
        </w:tc>
        <w:tc>
          <w:tcPr>
            <w:tcW w:type="dxa" w:w="1661"/>
          </w:tcPr>
          <w:p>
            <w:pPr>
              <w:pStyle w:val="null3"/>
              <w:jc w:val="left"/>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供应商完全响应采购文件第三章“3.2.技术要求”中带“ ★”项条款要求。</w:t>
            </w:r>
          </w:p>
        </w:tc>
        <w:tc>
          <w:tcPr>
            <w:tcW w:type="dxa" w:w="1661"/>
          </w:tcPr>
          <w:p>
            <w:pPr>
              <w:pStyle w:val="null3"/>
              <w:jc w:val="left"/>
            </w:pPr>
            <w:r>
              <w:rPr>
                <w:rFonts w:ascii="仿宋_GB2312" w:hAnsi="仿宋_GB2312" w:cs="仿宋_GB2312" w:eastAsia="仿宋_GB2312"/>
              </w:rPr>
              <w:t>技术要求响应表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供应商完全响应采购文件第三章“3.3.服务要求”中带“ ★”项条款要求。</w:t>
            </w:r>
          </w:p>
        </w:tc>
        <w:tc>
          <w:tcPr>
            <w:tcW w:type="dxa" w:w="1661"/>
          </w:tcPr>
          <w:p>
            <w:pPr>
              <w:pStyle w:val="null3"/>
              <w:jc w:val="left"/>
            </w:pPr>
            <w:r>
              <w:rPr>
                <w:rFonts w:ascii="仿宋_GB2312" w:hAnsi="仿宋_GB2312" w:cs="仿宋_GB2312" w:eastAsia="仿宋_GB2312"/>
              </w:rPr>
              <w:t>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其他实质性要求承诺函,投标（响应）函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其他情形</w:t>
            </w:r>
          </w:p>
        </w:tc>
        <w:tc>
          <w:tcPr>
            <w:tcW w:type="dxa" w:w="3322"/>
          </w:tcPr>
          <w:p>
            <w:pPr>
              <w:pStyle w:val="null3"/>
              <w:jc w:val="left"/>
            </w:pPr>
            <w:r>
              <w:rPr>
                <w:rFonts w:ascii="仿宋_GB2312" w:hAnsi="仿宋_GB2312" w:cs="仿宋_GB2312" w:eastAsia="仿宋_GB2312"/>
              </w:rPr>
              <w:t>其他不满足采购文件及相关法律法规规定要求的情形。</w:t>
            </w:r>
          </w:p>
        </w:tc>
        <w:tc>
          <w:tcPr>
            <w:tcW w:type="dxa" w:w="1661"/>
          </w:tcPr>
          <w:p>
            <w:pPr>
              <w:pStyle w:val="null3"/>
              <w:jc w:val="left"/>
            </w:pPr>
            <w:r>
              <w:rPr>
                <w:rFonts w:ascii="仿宋_GB2312" w:hAnsi="仿宋_GB2312" w:cs="仿宋_GB2312" w:eastAsia="仿宋_GB2312"/>
              </w:rPr>
              <w:t>其他实质性要求承诺函,中小企业声明函,技术要求响应表,资格证明材料,报价表,其他证明资料,服务要求应答表,报价明细表,残疾人福利性单位声明函,关于符合本国产品标准的声明函,投标文件封面,投标（响应）函,项目服务方案,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投标人针对“ （二）功能和质量要求”技术参数与性能指标条款的响应得分规则如下： 1.实质性参数条款要求供应商应全部满足，如有负偏离将做无效响应处理。（标注“★”号的条款为实质性参数） 2. 一般技术参数完全满足采购文件要求的，得22分。未完全满足采购文件要求的得分统一按照下列公式计算:一般技术参数响应得分=（供应商满足的一般参数的数量÷一般参数的总数量）*22分。（未标注“★”号的条款为一般参数，共14项） 注：（一）以上参数有要求证明材料的需按采购文件要求提供证明材料并在“技术要求响应表”进行响应；没有要求的在“技术要求响应表”中响应即可得分。（二）参数属性“★”及无标识项，以“ （二）功能和质量要求”中的技术参数与性能指标中的参数属性标识项为准。（三）技术参数条款以序号1、；2、；3、……为一项。</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根据供应商提供的针对本项目的实施方案进行综合评审，内容包含：①配送人员方案；②配送车辆组织安排方案；③项目实施进度安排；④产品质量保证措施方案；⑤防潮防霉措施方案；⑥应急预案。 以上六项完全满足项目需求的得24分。每缺少一项扣4分，每项中有一处缺陷的扣2分；单项中每项最多扣4分。 注：缺陷是指每项在对应的内容中存在下列任意一情形等：（1）方案中项目名称错误或履约内容错误或采购人信息错误；（2）响应文件中引用的法律、规范、标准存在失效或错误；（3）只有方案标题无方案内容（未作进一步详细描述）；（4）未按采购文件3.3.1.中“其他要求”方案要求内容逐条提供；（5）所提供的方案在履约期内，存在履约地不能实施的相关措施；（6）套用其他项目方案或方案内容与本项目需求无关。</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项目服务方案</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根据供应商提供的针对本项目的后续服务方案进行综合评审，内容包含：①备品备件方案；②售后服务流程方案；③售后服务人员配备及职责分工。 以上三项完全满足项目需求的得15分。每缺少一项扣5分，每项中有一处缺陷的扣2.5分；单项中每项最多扣5分。 注：缺陷是指每项在对应的内容中存在下列任意一情形等：（1）方案中项目名称错误或履约内容错误或采购人信息错误；（2）响应文件中引用的法律、规范、标准存在失效或错误；（3）只有方案标题无方案内容（未作进一步详细描述）；（4）未按采购文件3.3.1.中“其他要求”方案要求内容逐条提供；（5）所提供的方案在履约期内，存在履约地不能实施的相关措施；（6）套用其他项目方案或方案内容与本项目需求无关。</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项目服务方案</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供应商具有类似项目业绩的，每有一个得3分，本项最多得9分，未提供不得分。 注：至少合同复印件并加盖供应商公章；提供的相关证明材料中无法判别是否为类似项目的，该业绩不得分。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其他证明资料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详见附件：技术要求响应表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详见附件：资格证明材料</w:t>
      </w:r>
    </w:p>
    <w:p>
      <w:pPr>
        <w:pStyle w:val="null3"/>
        <w:ind w:firstLine="960"/>
        <w:jc w:val="left"/>
      </w:pPr>
      <w:r>
        <w:rPr>
          <w:rFonts w:ascii="仿宋_GB2312" w:hAnsi="仿宋_GB2312" w:cs="仿宋_GB2312" w:eastAsia="仿宋_GB2312"/>
        </w:rPr>
        <w:t>详见附件：其他证明资料</w:t>
      </w:r>
    </w:p>
    <w:p>
      <w:pPr>
        <w:pStyle w:val="null3"/>
        <w:ind w:firstLine="960"/>
        <w:jc w:val="left"/>
      </w:pPr>
      <w:r>
        <w:rPr>
          <w:rFonts w:ascii="仿宋_GB2312" w:hAnsi="仿宋_GB2312" w:cs="仿宋_GB2312" w:eastAsia="仿宋_GB2312"/>
        </w:rPr>
        <w:t>详见附件：其他实质性要求承诺函</w:t>
      </w:r>
    </w:p>
    <w:p>
      <w:pPr>
        <w:pStyle w:val="null3"/>
        <w:ind w:firstLine="960"/>
        <w:jc w:val="left"/>
      </w:pPr>
      <w:r>
        <w:rPr>
          <w:rFonts w:ascii="仿宋_GB2312" w:hAnsi="仿宋_GB2312" w:cs="仿宋_GB2312" w:eastAsia="仿宋_GB2312"/>
        </w:rPr>
        <w:t>详见附件：项目服务方案</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