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版本号：N510901202600002820260323001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口腔颌面锥形束计算机体层摄影设备（CBCT）采购项目(二次)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N5109012026000028</w:t>
      </w:r>
    </w:p>
    <w:p>
      <w:pPr>
        <w:pStyle w:val="null3"/>
        <w:jc w:val="left"/>
        <w:outlineLvl w:val="2"/>
      </w:pPr>
      <w:r>
        <w:rPr>
          <w:rFonts w:ascii="仿宋_GB2312" w:hAnsi="仿宋_GB2312" w:cs="仿宋_GB2312" w:eastAsia="仿宋_GB2312"/>
          <w:sz w:val="28"/>
          <w:b/>
        </w:rPr>
        <w:t>遂宁市第一人民医院（遂宁市红十字医院）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遂宁市第一人民医院（遂宁市红十字医院）</w:t>
      </w:r>
      <w:r>
        <w:rPr>
          <w:rFonts w:ascii="仿宋_GB2312" w:hAnsi="仿宋_GB2312" w:cs="仿宋_GB2312" w:eastAsia="仿宋_GB2312"/>
        </w:rPr>
        <w:t xml:space="preserve"> 委托，拟对 </w:t>
      </w:r>
      <w:r>
        <w:rPr>
          <w:rFonts w:ascii="仿宋_GB2312" w:hAnsi="仿宋_GB2312" w:cs="仿宋_GB2312" w:eastAsia="仿宋_GB2312"/>
        </w:rPr>
        <w:t>口腔颌面锥形束计算机体层摄影设备（CBCT）采购项目(二次)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遂宁市市本级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N5109012026000028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口腔颌面锥形束计算机体层摄影设备（CBCT）采购项目(二次)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本项目1个包，采购口腔颌面锥形束计算机体层摄影设备（CBCT）1套。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所采购的产品为医疗器械，投标人须符合《医疗器械监督管理条例》要求并提供投标人经营该产品的经营许可/经营备案证明材料；投标产品须符合《医疗器械注册与备案管理办法》要求并提供产品的注册/备案证明材料。（描述：本项目所采购的产品为医疗器械，投标人须符合《医疗器械监督管理条例》要求并提供投标人经营该产品的经营许可/经营备案证明材料；投标产品须符合《医疗器械注册与备案管理办法》要求并提供产品的注册/备案证明材料。）</w:t>
      </w:r>
    </w:p>
    <w:p>
      <w:pPr>
        <w:pStyle w:val="null3"/>
        <w:jc w:val="left"/>
      </w:pPr>
      <w:r>
        <w:rPr>
          <w:rFonts w:ascii="仿宋_GB2312" w:hAnsi="仿宋_GB2312" w:cs="仿宋_GB2312" w:eastAsia="仿宋_GB2312"/>
        </w:rPr>
        <w:t>2、本项目采购产品为医用射线装置，投标人须具有有效的《辐射安全许可证》（种类和范围需包含：销售III类射线装置或者更高类别射线装置）。（描述：本项目采购产品为医用射线装置，投标人须具有有效的《辐射安全许可证》（种类和范围需包含：销售III类射线装置或者更高类别射线装置）。）</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具体内容详见附件《供应商信用融资补充事宜》）</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遂宁市第一人民医院（遂宁市红十字医院）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遂宁市高新区问陶路2号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蒲先生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0825-2213572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15528045735、18728432140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以中标金额作为计算基数，按差额定率累进法进行计算，费率标准为（货物采购项目）下浮20%（不足5000元，按5000元收取）：中标金额100万元以下，费率1.5%；中标金额100-500万元，费率1.1%；中标金额500-1000万元，费率0.8%。 （2）收款单位：四川国际招标有限责任公司。 （3）开户行：中国民生银行股份有限公司成都分行营业部。 （4）银行账号：9902001846040366。 （5）采购合同签订前向代理机构交纳招标代理服务费。 （6）招标代理服务费交纳完成后，可按照以下温馨提示开具发票：方式①：供应商进入http://sale.scbid.net/home网站，登录系统（无账号供应商需按照提示注册账号），登录后进入“中标项目”页面，找到需要开票的项目点击“申请/领取中标通知书”，根据提示填写信息并上传支付回单扫描件，提交开票申请。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遂宁市第一人民医院（遂宁市红十字医院）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遂宁市第一人民医院（遂宁市红十字医院）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（1）本项目允许投标人合同分包： ①若投标人以合同分包形式履行“CBCT设备的安装、调试”，则承担“CBCT设备的安装、调试”的分包供应商须具备有效的《辐射安全许可证》（种类和范围需包含：使用III类射线装置或者更高类别射线装置）【提供分包供应商的资质证书扫描件、投标人与分包供应商签订的分包意向协议扫描件，编制于第六章投标文件格式-《分包意向协议》】；若投标人不以合同分包形式履行“CBCT设备的安装、调试”，则投标人自身须具备有效的《辐射安全许可证》（种类和范围需包含：使用III类射线装置或者更高类别射线装置）【提供资质证书扫描件，编制于第六章投标文件格式-《供应商应提交的相关资格证明材料》】。 ②投标人选择的分包供应商数量不限。 （2）分包履行合同的部分应当为采购项目的非主体、非关键性工作，不属于中标供应商的主要合同义务。本项目允许投标人分包履行的具体内容为：“CBCT设备的安装、调试”。 （3）分包比例（%）：不超过8%。</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按照本项目采购文件中“服务要求”、“其他要求”及中标人投标文件进行验收。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由采购人组织，严格按照《财政部关于进一步加强政府采购需求和履约验收管理的指导意见》（财库〔2016〕205号）、《政府采购需求管理办法》（财库〔2021〕22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遂宁市第一人民医院（遂宁市红十字医院）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联系人：蒲先生</w:t>
      </w:r>
    </w:p>
    <w:p>
      <w:pPr>
        <w:pStyle w:val="null3"/>
        <w:jc w:val="left"/>
      </w:pPr>
      <w:r>
        <w:rPr>
          <w:rFonts w:ascii="仿宋_GB2312" w:hAnsi="仿宋_GB2312" w:cs="仿宋_GB2312" w:eastAsia="仿宋_GB2312"/>
        </w:rPr>
        <w:t>联系电话：0825-2213572</w:t>
      </w:r>
    </w:p>
    <w:p>
      <w:pPr>
        <w:pStyle w:val="null3"/>
        <w:jc w:val="left"/>
      </w:pPr>
      <w:r>
        <w:rPr>
          <w:rFonts w:ascii="仿宋_GB2312" w:hAnsi="仿宋_GB2312" w:cs="仿宋_GB2312" w:eastAsia="仿宋_GB2312"/>
        </w:rPr>
        <w:t>地址：遂宁市高新区问陶路2号</w:t>
      </w:r>
    </w:p>
    <w:p>
      <w:pPr>
        <w:pStyle w:val="null3"/>
        <w:jc w:val="left"/>
      </w:pPr>
      <w:r>
        <w:rPr>
          <w:rFonts w:ascii="仿宋_GB2312" w:hAnsi="仿宋_GB2312" w:cs="仿宋_GB2312" w:eastAsia="仿宋_GB2312"/>
        </w:rPr>
        <w:t>邮编：629001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口腔颌面锥形束计算机体层摄影设备（CBCT）</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620,000.00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口腔颌面锥形束计算机体层摄影设备（CBCT）</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620,000.00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口腔颌面锥形束计算机体层摄影设备（CBCT）</w:t>
            </w:r>
          </w:p>
        </w:tc>
        <w:tc>
          <w:tcPr>
            <w:tcW w:type="dxa" w:w="2492"/>
          </w:tcPr>
          <w:p>
            <w:pPr>
              <w:pStyle w:val="null3"/>
              <w:jc w:val="left"/>
            </w:pPr>
            <w:r>
              <w:rPr>
                <w:rFonts w:ascii="仿宋_GB2312" w:hAnsi="仿宋_GB2312" w:cs="仿宋_GB2312" w:eastAsia="仿宋_GB2312"/>
              </w:rPr>
              <w:t>口腔颌面锥形束计算机体层摄影设备（CBCT）</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标的名称：口腔颌面锥形束计算机体层摄影设备（CBCT）</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口腔颌面锥形束计算机体层摄影设备（CBCT）技术要求</w:t>
            </w:r>
          </w:p>
        </w:tc>
        <w:tc>
          <w:tcPr>
            <w:tcW w:type="dxa" w:w="5814"/>
          </w:tcPr>
          <w:p>
            <w:pPr>
              <w:pStyle w:val="null3"/>
              <w:jc w:val="both"/>
            </w:pPr>
            <w:r>
              <w:rPr>
                <w:rFonts w:ascii="仿宋_GB2312" w:hAnsi="仿宋_GB2312" w:cs="仿宋_GB2312" w:eastAsia="仿宋_GB2312"/>
                <w:sz w:val="21"/>
                <w:b/>
              </w:rPr>
              <w:t>一、主要用途：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用于医院口腔科</w:t>
            </w:r>
            <w:r>
              <w:rPr>
                <w:rFonts w:ascii="仿宋_GB2312" w:hAnsi="仿宋_GB2312" w:cs="仿宋_GB2312" w:eastAsia="仿宋_GB2312"/>
                <w:sz w:val="21"/>
              </w:rPr>
              <w:t>X</w:t>
            </w:r>
            <w:r>
              <w:rPr>
                <w:rFonts w:ascii="仿宋_GB2312" w:hAnsi="仿宋_GB2312" w:cs="仿宋_GB2312" w:eastAsia="仿宋_GB2312"/>
                <w:sz w:val="21"/>
              </w:rPr>
              <w:t>射线拍摄及诊断，要求全景、头颅侧位和</w:t>
            </w:r>
            <w:r>
              <w:rPr>
                <w:rFonts w:ascii="仿宋_GB2312" w:hAnsi="仿宋_GB2312" w:cs="仿宋_GB2312" w:eastAsia="仿宋_GB2312"/>
                <w:sz w:val="21"/>
              </w:rPr>
              <w:t>CBCT</w:t>
            </w:r>
            <w:r>
              <w:rPr>
                <w:rFonts w:ascii="仿宋_GB2312" w:hAnsi="仿宋_GB2312" w:cs="仿宋_GB2312" w:eastAsia="仿宋_GB2312"/>
                <w:sz w:val="21"/>
              </w:rPr>
              <w:t>独立拍摄，非</w:t>
            </w:r>
            <w:r>
              <w:rPr>
                <w:rFonts w:ascii="仿宋_GB2312" w:hAnsi="仿宋_GB2312" w:cs="仿宋_GB2312" w:eastAsia="仿宋_GB2312"/>
                <w:sz w:val="21"/>
              </w:rPr>
              <w:t>CBCT</w:t>
            </w:r>
            <w:r>
              <w:rPr>
                <w:rFonts w:ascii="仿宋_GB2312" w:hAnsi="仿宋_GB2312" w:cs="仿宋_GB2312" w:eastAsia="仿宋_GB2312"/>
                <w:sz w:val="21"/>
              </w:rPr>
              <w:t>的</w:t>
            </w:r>
            <w:r>
              <w:rPr>
                <w:rFonts w:ascii="仿宋_GB2312" w:hAnsi="仿宋_GB2312" w:cs="仿宋_GB2312" w:eastAsia="仿宋_GB2312"/>
                <w:sz w:val="21"/>
              </w:rPr>
              <w:t>3D</w:t>
            </w:r>
            <w:r>
              <w:rPr>
                <w:rFonts w:ascii="仿宋_GB2312" w:hAnsi="仿宋_GB2312" w:cs="仿宋_GB2312" w:eastAsia="仿宋_GB2312"/>
                <w:sz w:val="21"/>
              </w:rPr>
              <w:t>生成图像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性能</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CT/</w:t>
            </w:r>
            <w:r>
              <w:rPr>
                <w:rFonts w:ascii="仿宋_GB2312" w:hAnsi="仿宋_GB2312" w:cs="仿宋_GB2312" w:eastAsia="仿宋_GB2312"/>
                <w:sz w:val="21"/>
              </w:rPr>
              <w:t>全景位探测器</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、探测器类型：碘化铯平板探测器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、成像视野：≥</w:t>
            </w:r>
            <w:r>
              <w:rPr>
                <w:rFonts w:ascii="仿宋_GB2312" w:hAnsi="仿宋_GB2312" w:cs="仿宋_GB2312" w:eastAsia="仿宋_GB2312"/>
                <w:sz w:val="21"/>
              </w:rPr>
              <w:t>18cm</w:t>
            </w:r>
            <w:r>
              <w:rPr>
                <w:rFonts w:ascii="仿宋_GB2312" w:hAnsi="仿宋_GB2312" w:cs="仿宋_GB2312" w:eastAsia="仿宋_GB2312"/>
                <w:sz w:val="21"/>
              </w:rPr>
              <w:t>×</w:t>
            </w:r>
            <w:r>
              <w:rPr>
                <w:rFonts w:ascii="仿宋_GB2312" w:hAnsi="仿宋_GB2312" w:cs="仿宋_GB2312" w:eastAsia="仿宋_GB2312"/>
                <w:sz w:val="21"/>
              </w:rPr>
              <w:t>14cm(</w:t>
            </w:r>
            <w:r>
              <w:rPr>
                <w:rFonts w:ascii="仿宋_GB2312" w:hAnsi="仿宋_GB2312" w:cs="仿宋_GB2312" w:eastAsia="仿宋_GB2312"/>
                <w:sz w:val="21"/>
              </w:rPr>
              <w:t>宽×高</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探测器有效视野尺寸：≥</w:t>
            </w:r>
            <w:r>
              <w:rPr>
                <w:rFonts w:ascii="仿宋_GB2312" w:hAnsi="仿宋_GB2312" w:cs="仿宋_GB2312" w:eastAsia="仿宋_GB2312"/>
                <w:sz w:val="21"/>
              </w:rPr>
              <w:t>15cm</w:t>
            </w:r>
            <w:r>
              <w:rPr>
                <w:rFonts w:ascii="仿宋_GB2312" w:hAnsi="仿宋_GB2312" w:cs="仿宋_GB2312" w:eastAsia="仿宋_GB2312"/>
                <w:sz w:val="21"/>
              </w:rPr>
              <w:t>×</w:t>
            </w:r>
            <w:r>
              <w:rPr>
                <w:rFonts w:ascii="仿宋_GB2312" w:hAnsi="仿宋_GB2312" w:cs="仿宋_GB2312" w:eastAsia="仿宋_GB2312"/>
                <w:sz w:val="21"/>
              </w:rPr>
              <w:t>20cm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、图像像素：</w:t>
            </w:r>
            <w:r>
              <w:rPr>
                <w:rFonts w:ascii="仿宋_GB2312" w:hAnsi="仿宋_GB2312" w:cs="仿宋_GB2312" w:eastAsia="仿宋_GB2312"/>
                <w:sz w:val="21"/>
              </w:rPr>
              <w:t>≤</w:t>
            </w:r>
            <w:r>
              <w:rPr>
                <w:rFonts w:ascii="仿宋_GB2312" w:hAnsi="仿宋_GB2312" w:cs="仿宋_GB2312" w:eastAsia="仿宋_GB2312"/>
                <w:sz w:val="21"/>
              </w:rPr>
              <w:t>98</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1.5CBCT</w:t>
            </w:r>
            <w:r>
              <w:rPr>
                <w:rFonts w:ascii="仿宋_GB2312" w:hAnsi="仿宋_GB2312" w:cs="仿宋_GB2312" w:eastAsia="仿宋_GB2312"/>
                <w:sz w:val="21"/>
              </w:rPr>
              <w:t>最小体素：≤</w:t>
            </w: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可提供不少于</w:t>
            </w:r>
            <w:r>
              <w:rPr>
                <w:rFonts w:ascii="仿宋_GB2312" w:hAnsi="仿宋_GB2312" w:cs="仿宋_GB2312" w:eastAsia="仿宋_GB2312"/>
                <w:sz w:val="21"/>
              </w:rPr>
              <w:t>5</w:t>
            </w:r>
            <w:r>
              <w:rPr>
                <w:rFonts w:ascii="仿宋_GB2312" w:hAnsi="仿宋_GB2312" w:cs="仿宋_GB2312" w:eastAsia="仿宋_GB2312"/>
                <w:sz w:val="21"/>
              </w:rPr>
              <w:t>种分辨率成像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CBCT</w:t>
            </w:r>
            <w:r>
              <w:rPr>
                <w:rFonts w:ascii="仿宋_GB2312" w:hAnsi="仿宋_GB2312" w:cs="仿宋_GB2312" w:eastAsia="仿宋_GB2312"/>
                <w:sz w:val="21"/>
              </w:rPr>
              <w:t>模式下扫描视野≥</w:t>
            </w:r>
            <w:r>
              <w:rPr>
                <w:rFonts w:ascii="仿宋_GB2312" w:hAnsi="仿宋_GB2312" w:cs="仿宋_GB2312" w:eastAsia="仿宋_GB2312"/>
                <w:sz w:val="21"/>
              </w:rPr>
              <w:t>5</w:t>
            </w:r>
            <w:r>
              <w:rPr>
                <w:rFonts w:ascii="仿宋_GB2312" w:hAnsi="仿宋_GB2312" w:cs="仿宋_GB2312" w:eastAsia="仿宋_GB2312"/>
                <w:sz w:val="21"/>
              </w:rPr>
              <w:t>档可调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头影测量摄影探测器</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、探测器类型：</w:t>
            </w:r>
            <w:r>
              <w:rPr>
                <w:rFonts w:ascii="仿宋_GB2312" w:hAnsi="仿宋_GB2312" w:cs="仿宋_GB2312" w:eastAsia="仿宋_GB2312"/>
                <w:sz w:val="21"/>
              </w:rPr>
              <w:t>CsI+CMOS</w:t>
            </w:r>
            <w:r>
              <w:rPr>
                <w:rFonts w:ascii="仿宋_GB2312" w:hAnsi="仿宋_GB2312" w:cs="仿宋_GB2312" w:eastAsia="仿宋_GB2312"/>
                <w:sz w:val="21"/>
              </w:rPr>
              <w:t>阵列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、探测器有效视野尺寸：≥</w:t>
            </w:r>
            <w:r>
              <w:rPr>
                <w:rFonts w:ascii="仿宋_GB2312" w:hAnsi="仿宋_GB2312" w:cs="仿宋_GB2312" w:eastAsia="仿宋_GB2312"/>
                <w:sz w:val="21"/>
              </w:rPr>
              <w:t>230mm</w:t>
            </w:r>
            <w:r>
              <w:rPr>
                <w:rFonts w:ascii="仿宋_GB2312" w:hAnsi="仿宋_GB2312" w:cs="仿宋_GB2312" w:eastAsia="仿宋_GB2312"/>
                <w:sz w:val="21"/>
              </w:rPr>
              <w:t>×</w:t>
            </w:r>
            <w:r>
              <w:rPr>
                <w:rFonts w:ascii="仿宋_GB2312" w:hAnsi="仿宋_GB2312" w:cs="仿宋_GB2312" w:eastAsia="仿宋_GB2312"/>
                <w:sz w:val="21"/>
              </w:rPr>
              <w:t>7mm.</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、传输形式：有线传输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、曝光时间：≤</w:t>
            </w:r>
            <w:r>
              <w:rPr>
                <w:rFonts w:ascii="仿宋_GB2312" w:hAnsi="仿宋_GB2312" w:cs="仿宋_GB2312" w:eastAsia="仿宋_GB2312"/>
                <w:sz w:val="21"/>
              </w:rPr>
              <w:t>2s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高压发生器</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w:t>
            </w:r>
            <w:r>
              <w:rPr>
                <w:rFonts w:ascii="仿宋_GB2312" w:hAnsi="仿宋_GB2312" w:cs="仿宋_GB2312" w:eastAsia="仿宋_GB2312"/>
                <w:sz w:val="21"/>
              </w:rPr>
              <w:t>X</w:t>
            </w:r>
            <w:r>
              <w:rPr>
                <w:rFonts w:ascii="仿宋_GB2312" w:hAnsi="仿宋_GB2312" w:cs="仿宋_GB2312" w:eastAsia="仿宋_GB2312"/>
                <w:sz w:val="21"/>
              </w:rPr>
              <w:t>射线发生器功率：≥</w:t>
            </w:r>
            <w:r>
              <w:rPr>
                <w:rFonts w:ascii="仿宋_GB2312" w:hAnsi="仿宋_GB2312" w:cs="仿宋_GB2312" w:eastAsia="仿宋_GB2312"/>
                <w:sz w:val="21"/>
              </w:rPr>
              <w:t>1200W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、高压模式：连续</w:t>
            </w:r>
            <w:r>
              <w:rPr>
                <w:rFonts w:ascii="仿宋_GB2312" w:hAnsi="仿宋_GB2312" w:cs="仿宋_GB2312" w:eastAsia="仿宋_GB2312"/>
                <w:sz w:val="21"/>
              </w:rPr>
              <w:t>/</w:t>
            </w:r>
            <w:r>
              <w:rPr>
                <w:rFonts w:ascii="仿宋_GB2312" w:hAnsi="仿宋_GB2312" w:cs="仿宋_GB2312" w:eastAsia="仿宋_GB2312"/>
                <w:sz w:val="21"/>
              </w:rPr>
              <w:t>脉冲可选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w:t>
            </w:r>
            <w:r>
              <w:rPr>
                <w:rFonts w:ascii="仿宋_GB2312" w:hAnsi="仿宋_GB2312" w:cs="仿宋_GB2312" w:eastAsia="仿宋_GB2312"/>
                <w:sz w:val="21"/>
              </w:rPr>
              <w:t>管电压：最小管电压≤</w:t>
            </w:r>
            <w:r>
              <w:rPr>
                <w:rFonts w:ascii="仿宋_GB2312" w:hAnsi="仿宋_GB2312" w:cs="仿宋_GB2312" w:eastAsia="仿宋_GB2312"/>
                <w:sz w:val="21"/>
              </w:rPr>
              <w:t>60kV,</w:t>
            </w:r>
            <w:r>
              <w:rPr>
                <w:rFonts w:ascii="仿宋_GB2312" w:hAnsi="仿宋_GB2312" w:cs="仿宋_GB2312" w:eastAsia="仿宋_GB2312"/>
                <w:sz w:val="21"/>
              </w:rPr>
              <w:t>最大管电压≥</w:t>
            </w:r>
            <w:r>
              <w:rPr>
                <w:rFonts w:ascii="仿宋_GB2312" w:hAnsi="仿宋_GB2312" w:cs="仿宋_GB2312" w:eastAsia="仿宋_GB2312"/>
                <w:sz w:val="21"/>
              </w:rPr>
              <w:t>100kV</w:t>
            </w:r>
            <w:r>
              <w:rPr>
                <w:rFonts w:ascii="仿宋_GB2312" w:hAnsi="仿宋_GB2312" w:cs="仿宋_GB2312" w:eastAsia="仿宋_GB2312"/>
                <w:sz w:val="21"/>
              </w:rPr>
              <w:t>；管电流：最小管电流≤2mA,最大管电流≥12mA。</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、逆变频率：≥</w:t>
            </w:r>
            <w:r>
              <w:rPr>
                <w:rFonts w:ascii="仿宋_GB2312" w:hAnsi="仿宋_GB2312" w:cs="仿宋_GB2312" w:eastAsia="仿宋_GB2312"/>
                <w:sz w:val="21"/>
              </w:rPr>
              <w:t>380kHZ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、球管可满足平均两分钟曝光</w:t>
            </w:r>
            <w:r>
              <w:rPr>
                <w:rFonts w:ascii="仿宋_GB2312" w:hAnsi="仿宋_GB2312" w:cs="仿宋_GB2312" w:eastAsia="仿宋_GB2312"/>
                <w:sz w:val="21"/>
              </w:rPr>
              <w:t>不少于</w:t>
            </w:r>
            <w:r>
              <w:rPr>
                <w:rFonts w:ascii="仿宋_GB2312" w:hAnsi="仿宋_GB2312" w:cs="仿宋_GB2312" w:eastAsia="仿宋_GB2312"/>
                <w:sz w:val="21"/>
              </w:rPr>
              <w:t>1</w:t>
            </w:r>
            <w:r>
              <w:rPr>
                <w:rFonts w:ascii="仿宋_GB2312" w:hAnsi="仿宋_GB2312" w:cs="仿宋_GB2312" w:eastAsia="仿宋_GB2312"/>
                <w:sz w:val="21"/>
              </w:rPr>
              <w:t>次，连续拍片</w:t>
            </w:r>
            <w:r>
              <w:rPr>
                <w:rFonts w:ascii="仿宋_GB2312" w:hAnsi="仿宋_GB2312" w:cs="仿宋_GB2312" w:eastAsia="仿宋_GB2312"/>
                <w:sz w:val="21"/>
              </w:rPr>
              <w:t>不少于</w:t>
            </w:r>
            <w:r>
              <w:rPr>
                <w:rFonts w:ascii="仿宋_GB2312" w:hAnsi="仿宋_GB2312" w:cs="仿宋_GB2312" w:eastAsia="仿宋_GB2312"/>
                <w:sz w:val="21"/>
              </w:rPr>
              <w:t>200</w:t>
            </w:r>
            <w:r>
              <w:rPr>
                <w:rFonts w:ascii="仿宋_GB2312" w:hAnsi="仿宋_GB2312" w:cs="仿宋_GB2312" w:eastAsia="仿宋_GB2312"/>
                <w:sz w:val="21"/>
              </w:rPr>
              <w:t>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w:t>
            </w:r>
            <w:r>
              <w:rPr>
                <w:rFonts w:ascii="仿宋_GB2312" w:hAnsi="仿宋_GB2312" w:cs="仿宋_GB2312" w:eastAsia="仿宋_GB2312"/>
                <w:sz w:val="21"/>
              </w:rPr>
              <w:t>管芯焦点值：</w:t>
            </w:r>
            <w:r>
              <w:rPr>
                <w:rFonts w:ascii="仿宋_GB2312" w:hAnsi="仿宋_GB2312" w:cs="仿宋_GB2312" w:eastAsia="仿宋_GB2312"/>
                <w:sz w:val="21"/>
              </w:rPr>
              <w:t>≤</w:t>
            </w:r>
            <w:r>
              <w:rPr>
                <w:rFonts w:ascii="仿宋_GB2312" w:hAnsi="仿宋_GB2312" w:cs="仿宋_GB2312" w:eastAsia="仿宋_GB2312"/>
                <w:sz w:val="21"/>
              </w:rPr>
              <w:t>0.5mm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、球管靶角</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机架及定位装置</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w:t>
            </w:r>
            <w:r>
              <w:rPr>
                <w:rFonts w:ascii="仿宋_GB2312" w:hAnsi="仿宋_GB2312" w:cs="仿宋_GB2312" w:eastAsia="仿宋_GB2312"/>
                <w:sz w:val="21"/>
              </w:rPr>
              <w:t>头侧机架具有按钮功能，可控制升降。立柱上下可移动范围：</w:t>
            </w:r>
            <w:r>
              <w:rPr>
                <w:rFonts w:ascii="仿宋_GB2312" w:hAnsi="仿宋_GB2312" w:cs="仿宋_GB2312" w:eastAsia="仿宋_GB2312"/>
                <w:sz w:val="21"/>
              </w:rPr>
              <w:t>≥</w:t>
            </w:r>
            <w:r>
              <w:rPr>
                <w:rFonts w:ascii="仿宋_GB2312" w:hAnsi="仿宋_GB2312" w:cs="仿宋_GB2312" w:eastAsia="仿宋_GB2312"/>
                <w:sz w:val="21"/>
              </w:rPr>
              <w:t>690mm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w:t>
            </w:r>
            <w:r>
              <w:rPr>
                <w:rFonts w:ascii="仿宋_GB2312" w:hAnsi="仿宋_GB2312" w:cs="仿宋_GB2312" w:eastAsia="仿宋_GB2312"/>
                <w:sz w:val="21"/>
              </w:rPr>
              <w:t>旋转臂可进行旋转运动，旋转范围偏差±</w:t>
            </w:r>
            <w:r>
              <w:rPr>
                <w:rFonts w:ascii="仿宋_GB2312" w:hAnsi="仿宋_GB2312" w:cs="仿宋_GB2312" w:eastAsia="仿宋_GB2312"/>
                <w:sz w:val="21"/>
              </w:rPr>
              <w:t>1</w:t>
            </w:r>
            <w:r>
              <w:rPr>
                <w:rFonts w:ascii="仿宋_GB2312" w:hAnsi="仿宋_GB2312" w:cs="仿宋_GB2312" w:eastAsia="仿宋_GB2312"/>
                <w:sz w:val="21"/>
              </w:rPr>
              <w:t>°旋转轴平移距离</w:t>
            </w:r>
            <w:r>
              <w:rPr>
                <w:rFonts w:ascii="仿宋_GB2312" w:hAnsi="仿宋_GB2312" w:cs="仿宋_GB2312" w:eastAsia="仿宋_GB2312"/>
                <w:sz w:val="21"/>
              </w:rPr>
              <w:t>0-86mm,</w:t>
            </w:r>
            <w:r>
              <w:rPr>
                <w:rFonts w:ascii="仿宋_GB2312" w:hAnsi="仿宋_GB2312" w:cs="仿宋_GB2312" w:eastAsia="仿宋_GB2312"/>
                <w:sz w:val="21"/>
              </w:rPr>
              <w:t>偏差±</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、具备一体式座椅功能，座椅可推拉滑动，自转角度不小于</w:t>
            </w:r>
            <w:r>
              <w:rPr>
                <w:rFonts w:ascii="仿宋_GB2312" w:hAnsi="仿宋_GB2312" w:cs="仿宋_GB2312" w:eastAsia="仿宋_GB2312"/>
                <w:sz w:val="21"/>
              </w:rPr>
              <w:t>360</w:t>
            </w:r>
            <w:r>
              <w:rPr>
                <w:rFonts w:ascii="仿宋_GB2312" w:hAnsi="仿宋_GB2312" w:cs="仿宋_GB2312" w:eastAsia="仿宋_GB2312"/>
                <w:sz w:val="21"/>
              </w:rPr>
              <w:t>°。患者在</w:t>
            </w:r>
            <w:r>
              <w:rPr>
                <w:rFonts w:ascii="仿宋_GB2312" w:hAnsi="仿宋_GB2312" w:cs="仿宋_GB2312" w:eastAsia="仿宋_GB2312"/>
                <w:sz w:val="21"/>
              </w:rPr>
              <w:t>CBCT/</w:t>
            </w:r>
            <w:r>
              <w:rPr>
                <w:rFonts w:ascii="仿宋_GB2312" w:hAnsi="仿宋_GB2312" w:cs="仿宋_GB2312" w:eastAsia="仿宋_GB2312"/>
                <w:sz w:val="21"/>
              </w:rPr>
              <w:t>曲面体层与牙科摄影模式时均可使用同一座椅坐姿拍摄。</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CBCT/</w:t>
            </w:r>
            <w:r>
              <w:rPr>
                <w:rFonts w:ascii="仿宋_GB2312" w:hAnsi="仿宋_GB2312" w:cs="仿宋_GB2312" w:eastAsia="仿宋_GB2312"/>
                <w:sz w:val="21"/>
              </w:rPr>
              <w:t>曲面体层颌托、</w:t>
            </w:r>
            <w:r>
              <w:rPr>
                <w:rFonts w:ascii="仿宋_GB2312" w:hAnsi="仿宋_GB2312" w:cs="仿宋_GB2312" w:eastAsia="仿宋_GB2312"/>
                <w:sz w:val="21"/>
              </w:rPr>
              <w:t>TMJ</w:t>
            </w:r>
            <w:r>
              <w:rPr>
                <w:rFonts w:ascii="仿宋_GB2312" w:hAnsi="仿宋_GB2312" w:cs="仿宋_GB2312" w:eastAsia="仿宋_GB2312"/>
                <w:sz w:val="21"/>
              </w:rPr>
              <w:t>颌托、无牙颌托、太阳穴定位支架、头部支架及绑带、咬牙棒。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、颌托具有升降移动功能，上下升降范围不低于</w:t>
            </w:r>
            <w:r>
              <w:rPr>
                <w:rFonts w:ascii="仿宋_GB2312" w:hAnsi="仿宋_GB2312" w:cs="仿宋_GB2312" w:eastAsia="仿宋_GB2312"/>
                <w:sz w:val="21"/>
              </w:rPr>
              <w:t>20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、具备电动耳夹功能：通过触控屏按钮自动打开关闭太阳穴支架，并带有传感装置，接触到患者固定位置后自动停止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4.7</w:t>
            </w:r>
            <w:r>
              <w:rPr>
                <w:rFonts w:ascii="仿宋_GB2312" w:hAnsi="仿宋_GB2312" w:cs="仿宋_GB2312" w:eastAsia="仿宋_GB2312"/>
                <w:sz w:val="21"/>
              </w:rPr>
              <w:t>具备语音指令功能，可通过语音指令唤醒设备，控制立柱升降，可通过扫描指令进行拍摄</w:t>
            </w:r>
            <w:r>
              <w:rPr>
                <w:rFonts w:ascii="仿宋_GB2312" w:hAnsi="仿宋_GB2312" w:cs="仿宋_GB2312" w:eastAsia="仿宋_GB2312"/>
                <w:sz w:val="21"/>
              </w:rPr>
              <w:t>(</w:t>
            </w:r>
            <w:r>
              <w:rPr>
                <w:rFonts w:ascii="仿宋_GB2312" w:hAnsi="仿宋_GB2312" w:cs="仿宋_GB2312" w:eastAsia="仿宋_GB2312"/>
                <w:sz w:val="21"/>
              </w:rPr>
              <w:t>至少包括</w:t>
            </w:r>
            <w:r>
              <w:rPr>
                <w:rFonts w:ascii="仿宋_GB2312" w:hAnsi="仿宋_GB2312" w:cs="仿宋_GB2312" w:eastAsia="仿宋_GB2312"/>
                <w:sz w:val="21"/>
              </w:rPr>
              <w:t>CT</w:t>
            </w:r>
            <w:r>
              <w:rPr>
                <w:rFonts w:ascii="仿宋_GB2312" w:hAnsi="仿宋_GB2312" w:cs="仿宋_GB2312" w:eastAsia="仿宋_GB2312"/>
                <w:sz w:val="21"/>
              </w:rPr>
              <w:t>扫描、</w:t>
            </w:r>
            <w:r>
              <w:rPr>
                <w:rFonts w:ascii="仿宋_GB2312" w:hAnsi="仿宋_GB2312" w:cs="仿宋_GB2312" w:eastAsia="仿宋_GB2312"/>
                <w:sz w:val="21"/>
              </w:rPr>
              <w:t>TMJ</w:t>
            </w:r>
            <w:r>
              <w:rPr>
                <w:rFonts w:ascii="仿宋_GB2312" w:hAnsi="仿宋_GB2312" w:cs="仿宋_GB2312" w:eastAsia="仿宋_GB2312"/>
                <w:sz w:val="21"/>
              </w:rPr>
              <w:t>扫描，侧位扫描，曲面体层扫描指令</w:t>
            </w:r>
            <w:r>
              <w:rPr>
                <w:rFonts w:ascii="仿宋_GB2312" w:hAnsi="仿宋_GB2312" w:cs="仿宋_GB2312" w:eastAsia="仿宋_GB2312"/>
                <w:sz w:val="21"/>
              </w:rPr>
              <w:t>),</w:t>
            </w:r>
            <w:r>
              <w:rPr>
                <w:rFonts w:ascii="仿宋_GB2312" w:hAnsi="仿宋_GB2312" w:cs="仿宋_GB2312" w:eastAsia="仿宋_GB2312"/>
                <w:sz w:val="21"/>
              </w:rPr>
              <w:t>控制激光定位灯和脚印灯定位，同时可通过语音指令进行复位和关闭设备。</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、辅助定位装置，激光定位灯≥</w:t>
            </w:r>
            <w:r>
              <w:rPr>
                <w:rFonts w:ascii="仿宋_GB2312" w:hAnsi="仿宋_GB2312" w:cs="仿宋_GB2312" w:eastAsia="仿宋_GB2312"/>
                <w:sz w:val="21"/>
              </w:rPr>
              <w:t>5</w:t>
            </w:r>
            <w:r>
              <w:rPr>
                <w:rFonts w:ascii="仿宋_GB2312" w:hAnsi="仿宋_GB2312" w:cs="仿宋_GB2312" w:eastAsia="仿宋_GB2312"/>
                <w:sz w:val="21"/>
              </w:rPr>
              <w:t>个，激光波长</w:t>
            </w:r>
            <w:r>
              <w:rPr>
                <w:rFonts w:ascii="仿宋_GB2312" w:hAnsi="仿宋_GB2312" w:cs="仿宋_GB2312" w:eastAsia="仿宋_GB2312"/>
                <w:sz w:val="21"/>
              </w:rPr>
              <w:t>650nm,</w:t>
            </w:r>
            <w:r>
              <w:rPr>
                <w:rFonts w:ascii="仿宋_GB2312" w:hAnsi="仿宋_GB2312" w:cs="仿宋_GB2312" w:eastAsia="仿宋_GB2312"/>
                <w:sz w:val="21"/>
              </w:rPr>
              <w:t>激光灯输出功率≤</w:t>
            </w:r>
            <w:r>
              <w:rPr>
                <w:rFonts w:ascii="仿宋_GB2312" w:hAnsi="仿宋_GB2312" w:cs="仿宋_GB2312" w:eastAsia="仿宋_GB2312"/>
                <w:sz w:val="21"/>
              </w:rPr>
              <w:t>1mW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4.9</w:t>
            </w:r>
            <w:r>
              <w:rPr>
                <w:rFonts w:ascii="仿宋_GB2312" w:hAnsi="仿宋_GB2312" w:cs="仿宋_GB2312" w:eastAsia="仿宋_GB2312"/>
                <w:sz w:val="21"/>
              </w:rPr>
              <w:t>、具有脚印投影定位灯功能，脚印定位灯≥</w:t>
            </w:r>
            <w:r>
              <w:rPr>
                <w:rFonts w:ascii="仿宋_GB2312" w:hAnsi="仿宋_GB2312" w:cs="仿宋_GB2312" w:eastAsia="仿宋_GB2312"/>
                <w:sz w:val="21"/>
              </w:rPr>
              <w:t>2</w:t>
            </w:r>
            <w:r>
              <w:rPr>
                <w:rFonts w:ascii="仿宋_GB2312" w:hAnsi="仿宋_GB2312" w:cs="仿宋_GB2312" w:eastAsia="仿宋_GB2312"/>
                <w:sz w:val="21"/>
              </w:rPr>
              <w:t>个，可通过语音指令控制定位灯出现或消失功能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4.10</w:t>
            </w:r>
            <w:r>
              <w:rPr>
                <w:rFonts w:ascii="仿宋_GB2312" w:hAnsi="仿宋_GB2312" w:cs="仿宋_GB2312" w:eastAsia="仿宋_GB2312"/>
                <w:sz w:val="21"/>
              </w:rPr>
              <w:t>可通过触控屏进行定位操作，触控屏为可插拔式移动版。</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应用软件</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w:t>
            </w:r>
            <w:r>
              <w:rPr>
                <w:rFonts w:ascii="仿宋_GB2312" w:hAnsi="仿宋_GB2312" w:cs="仿宋_GB2312" w:eastAsia="仿宋_GB2312"/>
                <w:sz w:val="21"/>
              </w:rPr>
              <w:t>含常规图像采集及诊断分析软件</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CT</w:t>
            </w:r>
            <w:r>
              <w:rPr>
                <w:rFonts w:ascii="仿宋_GB2312" w:hAnsi="仿宋_GB2312" w:cs="仿宋_GB2312" w:eastAsia="仿宋_GB2312"/>
                <w:sz w:val="21"/>
              </w:rPr>
              <w:t>、全景、侧位图像</w:t>
            </w:r>
            <w:r>
              <w:rPr>
                <w:rFonts w:ascii="仿宋_GB2312" w:hAnsi="仿宋_GB2312" w:cs="仿宋_GB2312" w:eastAsia="仿宋_GB2312"/>
                <w:sz w:val="21"/>
              </w:rPr>
              <w:t>),</w:t>
            </w:r>
            <w:r>
              <w:rPr>
                <w:rFonts w:ascii="仿宋_GB2312" w:hAnsi="仿宋_GB2312" w:cs="仿宋_GB2312" w:eastAsia="仿宋_GB2312"/>
                <w:sz w:val="21"/>
              </w:rPr>
              <w:t>软件不限端口使用。可进行对比度</w:t>
            </w:r>
            <w:r>
              <w:rPr>
                <w:rFonts w:ascii="仿宋_GB2312" w:hAnsi="仿宋_GB2312" w:cs="仿宋_GB2312" w:eastAsia="仿宋_GB2312"/>
                <w:sz w:val="21"/>
              </w:rPr>
              <w:t>/</w:t>
            </w:r>
            <w:r>
              <w:rPr>
                <w:rFonts w:ascii="仿宋_GB2312" w:hAnsi="仿宋_GB2312" w:cs="仿宋_GB2312" w:eastAsia="仿宋_GB2312"/>
                <w:sz w:val="21"/>
              </w:rPr>
              <w:t>明亮度调节、锐化、影像缩放、影像移动、多种形式标注处理</w:t>
            </w:r>
            <w:r>
              <w:rPr>
                <w:rFonts w:ascii="仿宋_GB2312" w:hAnsi="仿宋_GB2312" w:cs="仿宋_GB2312" w:eastAsia="仿宋_GB2312"/>
                <w:sz w:val="21"/>
              </w:rPr>
              <w:t>的</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5.2</w:t>
            </w:r>
            <w:r>
              <w:rPr>
                <w:rFonts w:ascii="仿宋_GB2312" w:hAnsi="仿宋_GB2312" w:cs="仿宋_GB2312" w:eastAsia="仿宋_GB2312"/>
                <w:sz w:val="21"/>
              </w:rPr>
              <w:t>、</w:t>
            </w:r>
            <w:r>
              <w:rPr>
                <w:rFonts w:ascii="仿宋_GB2312" w:hAnsi="仿宋_GB2312" w:cs="仿宋_GB2312" w:eastAsia="仿宋_GB2312"/>
                <w:sz w:val="21"/>
              </w:rPr>
              <w:t>可实现自动神经管绘制功能，可根据颌骨宽度和高度，进行种植规划模拟设计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5.3</w:t>
            </w:r>
            <w:r>
              <w:rPr>
                <w:rFonts w:ascii="仿宋_GB2312" w:hAnsi="仿宋_GB2312" w:cs="仿宋_GB2312" w:eastAsia="仿宋_GB2312"/>
                <w:sz w:val="21"/>
              </w:rPr>
              <w:t>、</w:t>
            </w:r>
            <w:r>
              <w:rPr>
                <w:rFonts w:ascii="仿宋_GB2312" w:hAnsi="仿宋_GB2312" w:cs="仿宋_GB2312" w:eastAsia="仿宋_GB2312"/>
                <w:sz w:val="21"/>
              </w:rPr>
              <w:t>具备单机版正畸自动头影测量分析软件及测量报告分析，不限端口使用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5.4</w:t>
            </w:r>
            <w:r>
              <w:rPr>
                <w:rFonts w:ascii="仿宋_GB2312" w:hAnsi="仿宋_GB2312" w:cs="仿宋_GB2312" w:eastAsia="仿宋_GB2312"/>
                <w:sz w:val="21"/>
              </w:rPr>
              <w:t>、</w:t>
            </w:r>
            <w:r>
              <w:rPr>
                <w:rFonts w:ascii="仿宋_GB2312" w:hAnsi="仿宋_GB2312" w:cs="仿宋_GB2312" w:eastAsia="仿宋_GB2312"/>
                <w:sz w:val="21"/>
              </w:rPr>
              <w:t>具备单机版全景自动诊断分析及报告功能，不限端口使用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后处理算法具有去除金属伪影功能，可以选择打开或关闭去金属伪影功能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5.6</w:t>
            </w:r>
            <w:r>
              <w:rPr>
                <w:rFonts w:ascii="仿宋_GB2312" w:hAnsi="仿宋_GB2312" w:cs="仿宋_GB2312" w:eastAsia="仿宋_GB2312"/>
                <w:sz w:val="21"/>
              </w:rPr>
              <w:t>、</w:t>
            </w:r>
            <w:r>
              <w:rPr>
                <w:rFonts w:ascii="仿宋_GB2312" w:hAnsi="仿宋_GB2312" w:cs="仿宋_GB2312" w:eastAsia="仿宋_GB2312"/>
                <w:sz w:val="21"/>
              </w:rPr>
              <w:t>可对气道进行三维重建，气道仿真内镜，上呼吸道彩色柱状图显示气道狭窄程度，可单独显示三维气道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5.7</w:t>
            </w:r>
            <w:r>
              <w:rPr>
                <w:rFonts w:ascii="仿宋_GB2312" w:hAnsi="仿宋_GB2312" w:cs="仿宋_GB2312" w:eastAsia="仿宋_GB2312"/>
                <w:sz w:val="21"/>
              </w:rPr>
              <w:t>、</w:t>
            </w:r>
            <w:r>
              <w:rPr>
                <w:rFonts w:ascii="仿宋_GB2312" w:hAnsi="仿宋_GB2312" w:cs="仿宋_GB2312" w:eastAsia="仿宋_GB2312"/>
                <w:sz w:val="21"/>
              </w:rPr>
              <w:t>含仿真动态三维根管内窥镜功能，可进行三维根管重建及内部形态模拟展示。</w:t>
            </w:r>
          </w:p>
          <w:p>
            <w:pPr>
              <w:pStyle w:val="null3"/>
              <w:jc w:val="both"/>
            </w:pPr>
            <w:r>
              <w:rPr>
                <w:rFonts w:ascii="仿宋_GB2312" w:hAnsi="仿宋_GB2312" w:cs="仿宋_GB2312" w:eastAsia="仿宋_GB2312"/>
                <w:sz w:val="21"/>
              </w:rPr>
              <w:t>5.8</w:t>
            </w:r>
            <w:r>
              <w:rPr>
                <w:rFonts w:ascii="仿宋_GB2312" w:hAnsi="仿宋_GB2312" w:cs="仿宋_GB2312" w:eastAsia="仿宋_GB2312"/>
                <w:sz w:val="21"/>
              </w:rPr>
              <w:t>、</w:t>
            </w:r>
            <w:r>
              <w:rPr>
                <w:rFonts w:ascii="仿宋_GB2312" w:hAnsi="仿宋_GB2312" w:cs="仿宋_GB2312" w:eastAsia="仿宋_GB2312"/>
                <w:sz w:val="21"/>
              </w:rPr>
              <w:t>分段全景：用户可以自定义勾选需要查看的病灶位置，只取需要诊断的部分图像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5.9</w:t>
            </w:r>
            <w:r>
              <w:rPr>
                <w:rFonts w:ascii="仿宋_GB2312" w:hAnsi="仿宋_GB2312" w:cs="仿宋_GB2312" w:eastAsia="仿宋_GB2312"/>
                <w:sz w:val="21"/>
              </w:rPr>
              <w:t>、</w:t>
            </w:r>
            <w:r>
              <w:rPr>
                <w:rFonts w:ascii="仿宋_GB2312" w:hAnsi="仿宋_GB2312" w:cs="仿宋_GB2312" w:eastAsia="仿宋_GB2312"/>
                <w:sz w:val="21"/>
              </w:rPr>
              <w:t>二维码导出功能：患者可以通过扫描二维码获取自己拍摄的全景和头颅侧位影像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三、配置清单</w:t>
            </w:r>
          </w:p>
          <w:tbl>
            <w:tblPr>
              <w:tblBorders>
                <w:top w:val="none" w:color="000000" w:sz="4"/>
                <w:left w:val="none" w:color="000000" w:sz="4"/>
                <w:bottom w:val="none" w:color="000000" w:sz="4"/>
                <w:right w:val="none" w:color="000000" w:sz="4"/>
                <w:insideH w:val="none"/>
                <w:insideV w:val="none"/>
              </w:tblBorders>
            </w:tblPr>
            <w:tblGrid>
              <w:gridCol w:w="653"/>
              <w:gridCol w:w="3113"/>
              <w:gridCol w:w="1155"/>
            </w:tblGrid>
            <w:tr>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31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名称</w:t>
                  </w:r>
                </w:p>
              </w:tc>
              <w:tc>
                <w:tcPr>
                  <w:tcW w:type="dxa" w:w="11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数量</w:t>
                  </w:r>
                </w:p>
              </w:tc>
            </w:tr>
            <w:tr>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主机</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球管</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探测器</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p>
              </w:tc>
            </w:tr>
            <w:tr>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牙科专用软件</w:t>
                  </w:r>
                </w:p>
              </w:tc>
              <w:tc>
                <w:tcPr>
                  <w:tcW w:type="dxa" w:w="1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bl>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付款进度安排（以此为准）</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因系统固化原因，</w:t>
            </w:r>
            <w:r>
              <w:rPr>
                <w:rFonts w:ascii="仿宋_GB2312" w:hAnsi="仿宋_GB2312" w:cs="仿宋_GB2312" w:eastAsia="仿宋_GB2312"/>
                <w:sz w:val="20"/>
              </w:rPr>
              <w:t>3.3.2.</w:t>
            </w:r>
            <w:r>
              <w:rPr>
                <w:rFonts w:ascii="仿宋_GB2312" w:hAnsi="仿宋_GB2312" w:cs="仿宋_GB2312" w:eastAsia="仿宋_GB2312"/>
                <w:sz w:val="20"/>
              </w:rPr>
              <w:t>商务要求中“付款进度安排”不适用于本项目，本项目“付款进度安排”以此为准（供应商应答“付款进度安排”时仅需应答此条要求即可，无需再应答</w:t>
            </w:r>
            <w:r>
              <w:rPr>
                <w:rFonts w:ascii="仿宋_GB2312" w:hAnsi="仿宋_GB2312" w:cs="仿宋_GB2312" w:eastAsia="仿宋_GB2312"/>
                <w:sz w:val="20"/>
              </w:rPr>
              <w:t>3.3.2.</w:t>
            </w:r>
            <w:r>
              <w:rPr>
                <w:rFonts w:ascii="仿宋_GB2312" w:hAnsi="仿宋_GB2312" w:cs="仿宋_GB2312" w:eastAsia="仿宋_GB2312"/>
                <w:sz w:val="20"/>
              </w:rPr>
              <w:t>商务要求中“付款进度安排”）】</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、预付款，验收合格之日起</w:t>
            </w:r>
            <w:r>
              <w:rPr>
                <w:rFonts w:ascii="仿宋_GB2312" w:hAnsi="仿宋_GB2312" w:cs="仿宋_GB2312" w:eastAsia="仿宋_GB2312"/>
                <w:sz w:val="20"/>
              </w:rPr>
              <w:t>6</w:t>
            </w:r>
            <w:r>
              <w:rPr>
                <w:rFonts w:ascii="仿宋_GB2312" w:hAnsi="仿宋_GB2312" w:cs="仿宋_GB2312" w:eastAsia="仿宋_GB2312"/>
                <w:sz w:val="20"/>
              </w:rPr>
              <w:t>个月到期，达到付款条件起</w:t>
            </w:r>
            <w:r>
              <w:rPr>
                <w:rFonts w:ascii="仿宋_GB2312" w:hAnsi="仿宋_GB2312" w:cs="仿宋_GB2312" w:eastAsia="仿宋_GB2312"/>
                <w:sz w:val="20"/>
              </w:rPr>
              <w:t>15</w:t>
            </w:r>
            <w:r>
              <w:rPr>
                <w:rFonts w:ascii="仿宋_GB2312" w:hAnsi="仿宋_GB2312" w:cs="仿宋_GB2312" w:eastAsia="仿宋_GB2312"/>
                <w:sz w:val="20"/>
              </w:rPr>
              <w:t>日内，支付合同总金额的</w:t>
            </w:r>
            <w:r>
              <w:rPr>
                <w:rFonts w:ascii="仿宋_GB2312" w:hAnsi="仿宋_GB2312" w:cs="仿宋_GB2312" w:eastAsia="仿宋_GB2312"/>
                <w:sz w:val="20"/>
              </w:rPr>
              <w:t>40.00%；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、进度款，验收合格之日起</w:t>
            </w:r>
            <w:r>
              <w:rPr>
                <w:rFonts w:ascii="仿宋_GB2312" w:hAnsi="仿宋_GB2312" w:cs="仿宋_GB2312" w:eastAsia="仿宋_GB2312"/>
                <w:sz w:val="20"/>
              </w:rPr>
              <w:t>12</w:t>
            </w:r>
            <w:r>
              <w:rPr>
                <w:rFonts w:ascii="仿宋_GB2312" w:hAnsi="仿宋_GB2312" w:cs="仿宋_GB2312" w:eastAsia="仿宋_GB2312"/>
                <w:sz w:val="20"/>
              </w:rPr>
              <w:t>个月到期，达到付款条件起</w:t>
            </w:r>
            <w:r>
              <w:rPr>
                <w:rFonts w:ascii="仿宋_GB2312" w:hAnsi="仿宋_GB2312" w:cs="仿宋_GB2312" w:eastAsia="仿宋_GB2312"/>
                <w:sz w:val="20"/>
              </w:rPr>
              <w:t>15</w:t>
            </w:r>
            <w:r>
              <w:rPr>
                <w:rFonts w:ascii="仿宋_GB2312" w:hAnsi="仿宋_GB2312" w:cs="仿宋_GB2312" w:eastAsia="仿宋_GB2312"/>
                <w:sz w:val="20"/>
              </w:rPr>
              <w:t>日内，支付合同总金额的</w:t>
            </w:r>
            <w:r>
              <w:rPr>
                <w:rFonts w:ascii="仿宋_GB2312" w:hAnsi="仿宋_GB2312" w:cs="仿宋_GB2312" w:eastAsia="仿宋_GB2312"/>
                <w:sz w:val="20"/>
              </w:rPr>
              <w:t>50.00%；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、尾款，验收合格1年到期后，60个工作日后（中标人填写设备尾款支付审批表，经使用科室、设备工程师、职能科室主任及分管领导审核同意后），达到付款条件起15日内，支付合同总金额的10.00%。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、中标人负责CBCT设备的安装、调试（本项目允许投标人将“CBCT设备的安装、调试”分包）。</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、货物到达采购人现场后，中标人（或承担</w:t>
            </w:r>
            <w:r>
              <w:rPr>
                <w:rFonts w:ascii="仿宋_GB2312" w:hAnsi="仿宋_GB2312" w:cs="仿宋_GB2312" w:eastAsia="仿宋_GB2312"/>
                <w:sz w:val="20"/>
              </w:rPr>
              <w:t>“CBCT设备的安装、调试”</w:t>
            </w:r>
            <w:r>
              <w:rPr>
                <w:rFonts w:ascii="仿宋_GB2312" w:hAnsi="仿宋_GB2312" w:cs="仿宋_GB2312" w:eastAsia="仿宋_GB2312"/>
                <w:sz w:val="20"/>
              </w:rPr>
              <w:t>的分包供应商）接到采购人通知后</w:t>
            </w:r>
            <w:r>
              <w:rPr>
                <w:rFonts w:ascii="仿宋_GB2312" w:hAnsi="仿宋_GB2312" w:cs="仿宋_GB2312" w:eastAsia="仿宋_GB2312"/>
                <w:sz w:val="20"/>
              </w:rPr>
              <w:t>7</w:t>
            </w:r>
            <w:r>
              <w:rPr>
                <w:rFonts w:ascii="仿宋_GB2312" w:hAnsi="仿宋_GB2312" w:cs="仿宋_GB2312" w:eastAsia="仿宋_GB2312"/>
                <w:sz w:val="20"/>
              </w:rPr>
              <w:t>日内到达现场组织安装、调试，达到正常运行要求，保证采购人正常使用。所需的费用包括在投标报价中，采购人不再另行付费。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中标人应就设备的安装、调试、操作、维修、保养等对采购人的维修技术人员进行培训。设备安装调试完毕后，中标人应对采购人的操作人员进行现场培训，直至采购人的技术人员能独立操作，同时能完成一般常见故障的维修工作。所需的费用包括在供应商投标报价中。</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、投标人提供的</w:t>
            </w:r>
            <w:r>
              <w:rPr>
                <w:rFonts w:ascii="仿宋_GB2312" w:hAnsi="仿宋_GB2312" w:cs="仿宋_GB2312" w:eastAsia="仿宋_GB2312"/>
                <w:sz w:val="20"/>
              </w:rPr>
              <w:t>CBCT</w:t>
            </w:r>
            <w:r>
              <w:rPr>
                <w:rFonts w:ascii="仿宋_GB2312" w:hAnsi="仿宋_GB2312" w:cs="仿宋_GB2312" w:eastAsia="仿宋_GB2312"/>
                <w:sz w:val="20"/>
              </w:rPr>
              <w:t>设备</w:t>
            </w:r>
            <w:r>
              <w:rPr>
                <w:rFonts w:ascii="仿宋_GB2312" w:hAnsi="仿宋_GB2312" w:cs="仿宋_GB2312" w:eastAsia="仿宋_GB2312"/>
                <w:sz w:val="20"/>
              </w:rPr>
              <w:t>使用年限：≥</w:t>
            </w:r>
            <w:r>
              <w:rPr>
                <w:rFonts w:ascii="仿宋_GB2312" w:hAnsi="仿宋_GB2312" w:cs="仿宋_GB2312" w:eastAsia="仿宋_GB2312"/>
                <w:sz w:val="20"/>
              </w:rPr>
              <w:t>15</w:t>
            </w:r>
            <w:r>
              <w:rPr>
                <w:rFonts w:ascii="仿宋_GB2312" w:hAnsi="仿宋_GB2312" w:cs="仿宋_GB2312" w:eastAsia="仿宋_GB2312"/>
                <w:sz w:val="20"/>
              </w:rPr>
              <w:t>年。</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、投标人提供的</w:t>
            </w:r>
            <w:r>
              <w:rPr>
                <w:rFonts w:ascii="仿宋_GB2312" w:hAnsi="仿宋_GB2312" w:cs="仿宋_GB2312" w:eastAsia="仿宋_GB2312"/>
                <w:sz w:val="20"/>
              </w:rPr>
              <w:t>CBCT</w:t>
            </w:r>
            <w:r>
              <w:rPr>
                <w:rFonts w:ascii="仿宋_GB2312" w:hAnsi="仿宋_GB2312" w:cs="仿宋_GB2312" w:eastAsia="仿宋_GB2312"/>
                <w:sz w:val="20"/>
              </w:rPr>
              <w:t>设备须</w:t>
            </w:r>
            <w:r>
              <w:rPr>
                <w:rFonts w:ascii="仿宋_GB2312" w:hAnsi="仿宋_GB2312" w:cs="仿宋_GB2312" w:eastAsia="仿宋_GB2312"/>
                <w:sz w:val="20"/>
              </w:rPr>
              <w:t>符合</w:t>
            </w:r>
            <w:r>
              <w:rPr>
                <w:rFonts w:ascii="仿宋_GB2312" w:hAnsi="仿宋_GB2312" w:cs="仿宋_GB2312" w:eastAsia="仿宋_GB2312"/>
                <w:sz w:val="20"/>
              </w:rPr>
              <w:t>DICOM3.0</w:t>
            </w:r>
            <w:r>
              <w:rPr>
                <w:rFonts w:ascii="仿宋_GB2312" w:hAnsi="仿宋_GB2312" w:cs="仿宋_GB2312" w:eastAsia="仿宋_GB2312"/>
                <w:sz w:val="20"/>
              </w:rPr>
              <w:t>格式协议，并且</w:t>
            </w:r>
            <w:r>
              <w:rPr>
                <w:rFonts w:ascii="仿宋_GB2312" w:hAnsi="仿宋_GB2312" w:cs="仿宋_GB2312" w:eastAsia="仿宋_GB2312"/>
                <w:sz w:val="20"/>
              </w:rPr>
              <w:t>CBCT</w:t>
            </w:r>
            <w:r>
              <w:rPr>
                <w:rFonts w:ascii="仿宋_GB2312" w:hAnsi="仿宋_GB2312" w:cs="仿宋_GB2312" w:eastAsia="仿宋_GB2312"/>
                <w:sz w:val="20"/>
              </w:rPr>
              <w:t>端开放端口</w:t>
            </w:r>
            <w:r>
              <w:rPr>
                <w:rFonts w:ascii="仿宋_GB2312" w:hAnsi="仿宋_GB2312" w:cs="仿宋_GB2312" w:eastAsia="仿宋_GB2312"/>
                <w:sz w:val="20"/>
              </w:rPr>
              <w:t>（费用包含在投标报价中）</w:t>
            </w:r>
            <w:r>
              <w:rPr>
                <w:rFonts w:ascii="仿宋_GB2312" w:hAnsi="仿宋_GB2312" w:cs="仿宋_GB2312" w:eastAsia="仿宋_GB2312"/>
                <w:sz w:val="20"/>
              </w:rPr>
              <w:t>，可以连接到</w:t>
            </w:r>
            <w:r>
              <w:rPr>
                <w:rFonts w:ascii="仿宋_GB2312" w:hAnsi="仿宋_GB2312" w:cs="仿宋_GB2312" w:eastAsia="仿宋_GB2312"/>
                <w:sz w:val="20"/>
              </w:rPr>
              <w:t>采购人现有</w:t>
            </w:r>
            <w:r>
              <w:rPr>
                <w:rFonts w:ascii="仿宋_GB2312" w:hAnsi="仿宋_GB2312" w:cs="仿宋_GB2312" w:eastAsia="仿宋_GB2312"/>
                <w:sz w:val="20"/>
              </w:rPr>
              <w:t>的</w:t>
            </w:r>
            <w:r>
              <w:rPr>
                <w:rFonts w:ascii="仿宋_GB2312" w:hAnsi="仿宋_GB2312" w:cs="仿宋_GB2312" w:eastAsia="仿宋_GB2312"/>
                <w:sz w:val="20"/>
              </w:rPr>
              <w:t>PACS</w:t>
            </w:r>
            <w:r>
              <w:rPr>
                <w:rFonts w:ascii="仿宋_GB2312" w:hAnsi="仿宋_GB2312" w:cs="仿宋_GB2312" w:eastAsia="仿宋_GB2312"/>
                <w:sz w:val="20"/>
              </w:rPr>
              <w:t>数据</w:t>
            </w:r>
            <w:r>
              <w:rPr>
                <w:rFonts w:ascii="仿宋_GB2312" w:hAnsi="仿宋_GB2312" w:cs="仿宋_GB2312" w:eastAsia="仿宋_GB2312"/>
                <w:sz w:val="20"/>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、投标人须负责CBCT机房环境改造，满足CBCT设备安装需要，所需的费用包括在投标人投标报价中。</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售后服务方案</w:t>
            </w:r>
          </w:p>
        </w:tc>
        <w:tc>
          <w:tcPr>
            <w:tcW w:type="dxa" w:w="5814"/>
          </w:tcPr>
          <w:p>
            <w:pPr>
              <w:pStyle w:val="null3"/>
              <w:jc w:val="left"/>
            </w:pPr>
            <w:r>
              <w:rPr>
                <w:rFonts w:ascii="仿宋_GB2312" w:hAnsi="仿宋_GB2312" w:cs="仿宋_GB2312" w:eastAsia="仿宋_GB2312"/>
                <w:sz w:val="21"/>
              </w:rPr>
              <w:t>投标人针对本项目拟定售后服务方案，内容应当至少包含①售后响应保障；②售后服务人员安排；③售后服务程序；④售后培训计划。所提供的内容将作为本项目评审依据，也将作为中标后履约过程中的监督及验收依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遂宁市第一人民医院（采购人指定地点）。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1、预付款，预付款，验收合格之日起6个月到期，达到付款条件起15日内，支付合同总金额的40.00%</w:t>
            </w:r>
          </w:p>
          <w:p>
            <w:pPr>
              <w:pStyle w:val="null3"/>
              <w:jc w:val="left"/>
            </w:pPr>
            <w:r>
              <w:rPr>
                <w:rFonts w:ascii="仿宋_GB2312" w:hAnsi="仿宋_GB2312" w:cs="仿宋_GB2312" w:eastAsia="仿宋_GB2312"/>
              </w:rPr>
              <w:t>2、进度款，进度款，验收合格之日起12个月到期，达到付款条件起15日内，支付合同总金额的50.00%</w:t>
            </w:r>
          </w:p>
          <w:p>
            <w:pPr>
              <w:pStyle w:val="null3"/>
              <w:jc w:val="left"/>
            </w:pPr>
            <w:r>
              <w:rPr>
                <w:rFonts w:ascii="仿宋_GB2312" w:hAnsi="仿宋_GB2312" w:cs="仿宋_GB2312" w:eastAsia="仿宋_GB2312"/>
              </w:rPr>
              <w:t>3、尾款，尾款，验收合格1年到期后，60个工作日后（中标人填写设备尾款支付审批表，经使用科室、设备工程师、职能科室主任及分管领导审核同意后），达到付款条件起15日内，支付合同总金额的10.00%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【注：由于系统固化，若与2.6.6履约验收方案有冲突的，以此处为准】 1）验收组织方式：自行验收；2）是否邀请本项目的其他供应商：否；3）是否邀请专家：否；4）是否邀请服务对象：否；5）是否邀请第三方检测机构：否；6）履约验收程序：一次性验收；7）履约验收时间：供应商提出验收申请之日起10日内组织验收；8）验收组织的其他事项：无；9）技术履约验收内容：按照本项目招标文件中“技术要求”及中标人的投标文件进行验收；10）商务履约验收内容：按照本项目招标文件中“服务要求”、“其他要求”及中标人的投标文件进行验收；11）履约验收标准：严格按照《财政部关于进一步加强政府采购需求和履约验收管理的指导意见》（财库〔2016〕205号）的要求进行验收；12）履约验收其他事项：无。</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（1）质保期：产品自验收合格之日起提供不少于5年的整机质保服务。 （2）质保期内中标人应负责设备售后维修维护工作。接到故障通知后2小时内作出维修方案决定，如4小时内无法电话解决问题，中标人维修工程师必须在接到故障报告后48小时内到达采购人现场修理和更换零件，若连续3次现场维修无法恢复设备正常使用的，则须对设备进行更换，费用（包括材料及零配件）由中标人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2、争议解决办法： （1）在执行本合同中发生的或与本合同有关的争端，双方应通过友好协商解决，经协商不能达成协议时，应提交项目所在地仲裁委员会仲裁或向当地人民法院提起诉讼解决。 （2）仲裁裁决或法院判决应为最终决定，并对双方具有约束力。 （3）除另有裁决外，仲裁费或诉讼费应由败诉方负担。 （4）在仲裁或诉讼期间，除正在进行仲裁或诉讼部分外，合同其他部分继续执行。 （以上内容中的“甲方”和“乙方”分别指的是“采购人”和“中标供应商”）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3.4.1未载明或者载明的标的名称、数量、计量单位及其他政府采购合同实质性内容与采购文件要求不一致，且采购单位无法接受的，属于无效响应。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所采购的产品为医疗器械，投标人须符合《医疗器械监督管理条例》要求并提供投标人经营该产品的经营许可/经营备案证明材料；投标产品须符合《医疗器械注册与备案管理办法》要求并提供产品的注册/备案证明材料。</w:t>
            </w:r>
          </w:p>
        </w:tc>
        <w:tc>
          <w:tcPr>
            <w:tcW w:type="dxa" w:w="3322"/>
          </w:tcPr>
          <w:p>
            <w:pPr>
              <w:pStyle w:val="null3"/>
              <w:jc w:val="left"/>
            </w:pPr>
            <w:r>
              <w:rPr>
                <w:rFonts w:ascii="仿宋_GB2312" w:hAnsi="仿宋_GB2312" w:cs="仿宋_GB2312" w:eastAsia="仿宋_GB2312"/>
              </w:rPr>
              <w:t>本项目所采购的产品为医疗器械，投标人须符合《医疗器械监督管理条例》要求并提供投标人经营该产品的经营许可/经营备案证明材料；投标产品须符合《医疗器械注册与备案管理办法》要求并提供产品的注册/备案证明材料。</w:t>
            </w:r>
          </w:p>
        </w:tc>
        <w:tc>
          <w:tcPr>
            <w:tcW w:type="dxa" w:w="1661"/>
          </w:tcPr>
          <w:p>
            <w:pPr>
              <w:pStyle w:val="null3"/>
              <w:jc w:val="left"/>
            </w:pPr>
            <w:r>
              <w:rPr>
                <w:rFonts w:ascii="仿宋_GB2312" w:hAnsi="仿宋_GB2312" w:cs="仿宋_GB2312" w:eastAsia="仿宋_GB2312"/>
              </w:rPr>
              <w:t>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本项目采购产品为医用射线装置，投标人须具有有效的《辐射安全许可证》（种类和范围需包含：销售III类射线装置或者更高类别射线装置）。</w:t>
            </w:r>
          </w:p>
        </w:tc>
        <w:tc>
          <w:tcPr>
            <w:tcW w:type="dxa" w:w="3322"/>
          </w:tcPr>
          <w:p>
            <w:pPr>
              <w:pStyle w:val="null3"/>
              <w:jc w:val="left"/>
            </w:pPr>
            <w:r>
              <w:rPr>
                <w:rFonts w:ascii="仿宋_GB2312" w:hAnsi="仿宋_GB2312" w:cs="仿宋_GB2312" w:eastAsia="仿宋_GB2312"/>
              </w:rPr>
              <w:t>本项目采购产品为医用射线装置，投标人须具有有效的《辐射安全许可证》（种类和范围需包含：销售III类射线装置或者更高类别射线装置）。</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需要投标人进行承诺的实质性要求。（以此为准）</w:t>
            </w:r>
          </w:p>
        </w:tc>
        <w:tc>
          <w:tcPr>
            <w:tcW w:type="dxa" w:w="3322"/>
          </w:tcPr>
          <w:p>
            <w:pPr>
              <w:pStyle w:val="null3"/>
              <w:jc w:val="left"/>
            </w:pPr>
            <w:r>
              <w:rPr>
                <w:rFonts w:ascii="仿宋_GB2312" w:hAnsi="仿宋_GB2312" w:cs="仿宋_GB2312" w:eastAsia="仿宋_GB2312"/>
              </w:rPr>
              <w:t>因系统固化原因，“需要投标人进行承诺的实质性要求”审查具体标准和要求以此为准： 招标文件中明确要求单独提供承诺函的，投标人需按照招标文件要求上传承诺函。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供应商认为需要提供的其他证明材料.docx,投标（响应）函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分包意向协议.docx,供应商认为需要提供的其他证明材料.docx,服务要求应答表.docx,报价明细表,报价表,投标（响应）函,技术要求应答表.docx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分包意向协议.docx,供应商认为需要提供的其他证明材料.docx,服务要求应答表.docx,报价明细表,报价表,投标（响应）函,技术要求应答表.docx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1、供应商针对采购文件第三章“3.2.技术要求”中一般技术参数条款（一般技术参数条款指未标注“★”或“▲”的条款）的响应得分规则如下： 一般技术参数条款响应得分=（供应商满足一般技术参数条款的数量÷一般技术参数条款的总数量）×10分。 2、供应商针对采购文件第三章“3.2.技术要求”中“▲”技术参数条款的响应得分规则如下： “▲”技术参数条款响应得分=（供应商满足“▲”技术参数条款的数量÷“▲”技术参数条款的总数量）×54分。 注：①针对“▲”号技术参数条款的响应，供应商应提供技术支持资料，技术支持资料指：提供投标产品厂家公开发布的产品彩页（或说明书）或者提供厂家认可的技术资料或者提供国家认可的第三方检测机构出具的检测报告等资料，否则认为不满足。（如果第三章“3.2.技术要求”对“▲”号技术参数条款的技术支撑材料另有要求，应按要求提供，否则对应技术参数条款将视为不满足。）。②针对一般条款的技术响应，如果第三章“3.2.技术要求”中对一般技术参数条款有技术支撑材料要求，应按要求提供，否则对应技术参数条款将视为不满足。③以“3.2.技术要求”中一级序号数字（如“1.”“2.”“3.”……）为一项（标题除外）；数字序号下有多级序号的，以最小级数字序号为一项。④“★”号条款为实质性要求，不参与本项评分。</w:t>
            </w:r>
          </w:p>
        </w:tc>
        <w:tc>
          <w:tcPr>
            <w:tcW w:type="dxa" w:w="831"/>
          </w:tcPr>
          <w:p>
            <w:pPr>
              <w:pStyle w:val="null3"/>
              <w:jc w:val="center"/>
            </w:pPr>
            <w:r>
              <w:rPr>
                <w:rFonts w:ascii="仿宋_GB2312" w:hAnsi="仿宋_GB2312" w:cs="仿宋_GB2312" w:eastAsia="仿宋_GB2312"/>
              </w:rPr>
              <w:t>64.0000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2023年1月1日（含）至递交投标文件截止日）具有与本项目相关的类似项目（同类设备销售）业绩，供应商每提供一个同类设备销售业绩得1分，最多得2分。需提供合同扫描件或中标（成交）通知书扫描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评审，该方案应包含：①售后响应保障；②售后服务人员安排；③售后服务程序；④售后培训计划。完整提供上述4项内容的得4分；每有一项未提供扣1分，扣完为止；每有一处有缺陷扣0.5分，扣完为止。（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满足招标文件要求且投标价格最低的报价为评标基准价，其价格分为满分。其他投标人的价格分统一按照下列公式计算：投标报价得分=（评标基准价／投标报价）×30%×100。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详见附件：分包意向协议.docx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