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版本号：N510118202600003320260324001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成都市新津区2026年度测绘服务项目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N5101182026000033</w:t>
      </w:r>
    </w:p>
    <w:p>
      <w:pPr>
        <w:pStyle w:val="null3"/>
        <w:jc w:val="left"/>
        <w:outlineLvl w:val="2"/>
      </w:pPr>
      <w:r>
        <w:rPr>
          <w:rFonts w:ascii="仿宋_GB2312" w:hAnsi="仿宋_GB2312" w:cs="仿宋_GB2312" w:eastAsia="仿宋_GB2312"/>
          <w:sz w:val="28"/>
          <w:b/>
        </w:rPr>
        <w:t>成都市新津区规划和自然资源局（本级）</w:t>
      </w:r>
    </w:p>
    <w:p>
      <w:pPr>
        <w:pStyle w:val="null3"/>
        <w:jc w:val="center"/>
        <w:outlineLvl w:val="2"/>
      </w:pPr>
      <w:r>
        <w:rPr>
          <w:rFonts w:ascii="仿宋_GB2312" w:hAnsi="仿宋_GB2312" w:cs="仿宋_GB2312" w:eastAsia="仿宋_GB2312"/>
          <w:sz w:val="28"/>
          <w:b/>
        </w:rPr>
        <w:t>四川广众信工程咨询有限公司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四川广众信工程咨询有限公司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成都市新津区规划和自然资源局（本级）</w:t>
      </w:r>
      <w:r>
        <w:rPr>
          <w:rFonts w:ascii="仿宋_GB2312" w:hAnsi="仿宋_GB2312" w:cs="仿宋_GB2312" w:eastAsia="仿宋_GB2312"/>
        </w:rPr>
        <w:t xml:space="preserve"> 委托，拟对 </w:t>
      </w:r>
      <w:r>
        <w:rPr>
          <w:rFonts w:ascii="仿宋_GB2312" w:hAnsi="仿宋_GB2312" w:cs="仿宋_GB2312" w:eastAsia="仿宋_GB2312"/>
        </w:rPr>
        <w:t>成都市新津区2026年度测绘服务项目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成都市新津区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N5101182026000033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成都市新津区2026年度测绘服务项目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成都市新津区2026年度测绘服务项目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若供应商合同分包的，分包意向协议中中小企业承担的合同份额占到合同总金额的比例不低于30%。接受分包合同的中小企业与分包企业之间不得存在直接控股、管理关系。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1、供应商具有国家行政主管部门颁发的有效的乙级或以上测绘资质，提供证书扫描件（描述：供应商具有国家行政主管部门颁发的有效的乙级或以上测绘资质，提供证书扫描件）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成都市新津区规划和自然资源局（本级）</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四川省成都市新津区五津街道瑞通路123号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028-82431011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四川广众信工程咨询有限公司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成都市金牛区蜀西路52号2栋B座4楼409</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028-89993553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代理服务费收费标准：遵循以成本支出加合理利润为原则，以预算金额为基础，采用差额定率累计法，按照以下标准进行计取: 代理服务费=各阶段金额×计取费率，最终合计后下浮30%收取。各阶段费率标准为：【服务类】：金额100万元（含）以下：1.5%，100万元（不含）-500万元（含）：0.8%。</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成都市新津区规划和自然资源局（本级）</w:t>
      </w:r>
      <w:r>
        <w:rPr>
          <w:rFonts w:ascii="仿宋_GB2312" w:hAnsi="仿宋_GB2312" w:cs="仿宋_GB2312" w:eastAsia="仿宋_GB2312"/>
        </w:rPr>
        <w:t xml:space="preserve"> 和 </w:t>
      </w:r>
      <w:r>
        <w:rPr>
          <w:rFonts w:ascii="仿宋_GB2312" w:hAnsi="仿宋_GB2312" w:cs="仿宋_GB2312" w:eastAsia="仿宋_GB2312"/>
        </w:rPr>
        <w:t>四川广众信工程咨询有限公司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成都市新津区规划和自然资源局（本级）</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四川广众信工程咨询有限公司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比例</w:t>
            </w:r>
          </w:p>
        </w:tc>
        <w:tc>
          <w:tcPr>
            <w:tcW w:type="dxa" w:w="2076"/>
          </w:tcPr>
          <w:p>
            <w:pPr>
              <w:pStyle w:val="null3"/>
              <w:jc w:val="left"/>
            </w:pPr>
            <w:r>
              <w:rPr>
                <w:rFonts w:ascii="仿宋_GB2312" w:hAnsi="仿宋_GB2312" w:cs="仿宋_GB2312" w:eastAsia="仿宋_GB2312"/>
              </w:rPr>
              <w:t>分包比例：30%，根据《政府采购促进中小企业发展管理办法》（财库〔2020〕46号）的规定，本项目预留预算总额的30%专门面向中小企业采购，预留份额通过下列措施进行：要求获得采购合同的供应商将合同金额的30%分包给一家或者多家中小企业或本项目全部由中小企业承接。</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按照国家、行业相关标准、本项目采购文件第三章的技术要求、政府采购相关法律法规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按照采购文件、响应文件技术部分，合同条款及国家、行业法律法规要求执行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按照采购文件、响应文件商务部分，合同条款及国家、行业法律法规要求执行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按照国家、行业相关标准、本项目采购文件第三章的技术要求、政府采购相关法律法规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按照国家、行业相关标准、本项目采购文件第三章的技术要求、政府采购相关法律法规以及《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成都市新津区规划和自然资源局（本级）</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四川广众信工程咨询有限公司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四川广众信工程咨询有限公司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联系电话：028-82431011</w:t>
      </w:r>
    </w:p>
    <w:p>
      <w:pPr>
        <w:pStyle w:val="null3"/>
        <w:jc w:val="left"/>
      </w:pPr>
      <w:r>
        <w:rPr>
          <w:rFonts w:ascii="仿宋_GB2312" w:hAnsi="仿宋_GB2312" w:cs="仿宋_GB2312" w:eastAsia="仿宋_GB2312"/>
        </w:rPr>
        <w:t>地址：四川省成都市新津区五津街道瑞通路123号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联系电话：028-89993553</w:t>
      </w:r>
    </w:p>
    <w:p>
      <w:pPr>
        <w:pStyle w:val="null3"/>
        <w:jc w:val="left"/>
      </w:pPr>
      <w:r>
        <w:rPr>
          <w:rFonts w:ascii="仿宋_GB2312" w:hAnsi="仿宋_GB2312" w:cs="仿宋_GB2312" w:eastAsia="仿宋_GB2312"/>
        </w:rPr>
        <w:t>地址：成都市金牛区蜀西路52号2栋B座4楼409</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C19040000 测绘服务</w:t>
            </w:r>
          </w:p>
        </w:tc>
        <w:tc>
          <w:tcPr>
            <w:tcW w:type="dxa" w:w="821"/>
          </w:tcPr>
          <w:p>
            <w:pPr>
              <w:pStyle w:val="null3"/>
              <w:jc w:val="left"/>
            </w:pPr>
            <w:r>
              <w:rPr>
                <w:rFonts w:ascii="仿宋_GB2312" w:hAnsi="仿宋_GB2312" w:cs="仿宋_GB2312" w:eastAsia="仿宋_GB2312"/>
              </w:rPr>
              <w:t>地籍测绘及勘测定界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地籍测绘</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80.00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最高单价限价为80元/亩。本项目为单价合同，最终根据实际工作量*各项成交单价据实结算，结算金额不超过本项目预算金额。报价应是最终采购人验收合格后的价格，采购人不再额外支付其他费用</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勘测定界</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80.00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最高单价限价为80元/亩。本项目为单价合同，最终根据实际工作量*各项成交单价据实结算，结算金额不超过本项目预算金额。报价应是最终采购人验收合格后的价格，采购人不再额外支付其他费用</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标的名称：地籍测绘及勘测定界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一、地籍测量技术规程</w:t>
            </w:r>
          </w:p>
          <w:p>
            <w:pPr>
              <w:pStyle w:val="null3"/>
              <w:ind w:firstLine="480"/>
              <w:jc w:val="both"/>
            </w:pPr>
            <w:r>
              <w:rPr>
                <w:rFonts w:ascii="仿宋_GB2312" w:hAnsi="仿宋_GB2312" w:cs="仿宋_GB2312" w:eastAsia="仿宋_GB2312"/>
                <w:sz w:val="24"/>
              </w:rPr>
              <w:t>1、 前言</w:t>
            </w:r>
          </w:p>
          <w:p>
            <w:pPr>
              <w:pStyle w:val="null3"/>
              <w:ind w:firstLine="480"/>
              <w:jc w:val="both"/>
            </w:pPr>
            <w:r>
              <w:rPr>
                <w:rFonts w:ascii="仿宋_GB2312" w:hAnsi="仿宋_GB2312" w:cs="仿宋_GB2312" w:eastAsia="仿宋_GB2312"/>
                <w:sz w:val="24"/>
              </w:rPr>
              <w:t>1.1本规定是针对我单位日常地籍测量项目具体生产情况，对地方标准、国家规范、行业规范的细化与补充，凡本技术规定未涉及的，按地方标准、国家规范、行业规范执行。</w:t>
            </w:r>
          </w:p>
          <w:p>
            <w:pPr>
              <w:pStyle w:val="null3"/>
              <w:ind w:firstLine="480"/>
              <w:jc w:val="both"/>
            </w:pPr>
            <w:r>
              <w:rPr>
                <w:rFonts w:ascii="仿宋_GB2312" w:hAnsi="仿宋_GB2312" w:cs="仿宋_GB2312" w:eastAsia="仿宋_GB2312"/>
                <w:sz w:val="24"/>
              </w:rPr>
              <w:t>1.2调查单元和内容调查单元是宗地。凡被权属界址线所封闭的地块称为一宗地。地籍测量是测量每宗土地的界址点、界址线、位置、形状等，计算面积，测绘地籍图和宗地图。</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规程适用范围、</w:t>
            </w:r>
            <w:r>
              <w:rPr>
                <w:rFonts w:ascii="仿宋_GB2312" w:hAnsi="仿宋_GB2312" w:cs="仿宋_GB2312" w:eastAsia="仿宋_GB2312"/>
                <w:sz w:val="24"/>
              </w:rPr>
              <w:t>本规程适用于全市城镇、独立工矿区和乡政府所在地。原则上也适用于村庄。</w:t>
            </w:r>
          </w:p>
          <w:p>
            <w:pPr>
              <w:pStyle w:val="null3"/>
              <w:ind w:firstLine="480"/>
              <w:jc w:val="both"/>
            </w:pPr>
            <w:r>
              <w:rPr>
                <w:rFonts w:ascii="仿宋_GB2312" w:hAnsi="仿宋_GB2312" w:cs="仿宋_GB2312" w:eastAsia="仿宋_GB2312"/>
                <w:sz w:val="24"/>
              </w:rPr>
              <w:t>2、地籍控制测量</w:t>
            </w:r>
          </w:p>
          <w:p>
            <w:pPr>
              <w:pStyle w:val="null3"/>
              <w:ind w:firstLine="480"/>
              <w:jc w:val="both"/>
            </w:pPr>
            <w:r>
              <w:rPr>
                <w:rFonts w:ascii="仿宋_GB2312" w:hAnsi="仿宋_GB2312" w:cs="仿宋_GB2312" w:eastAsia="仿宋_GB2312"/>
                <w:sz w:val="24"/>
              </w:rPr>
              <w:t>2.1地籍平面控制网的基本精度和布设方法</w:t>
            </w:r>
          </w:p>
          <w:p>
            <w:pPr>
              <w:pStyle w:val="null3"/>
              <w:ind w:firstLine="480"/>
              <w:jc w:val="both"/>
            </w:pPr>
            <w:r>
              <w:rPr>
                <w:rFonts w:ascii="仿宋_GB2312" w:hAnsi="仿宋_GB2312" w:cs="仿宋_GB2312" w:eastAsia="仿宋_GB2312"/>
                <w:sz w:val="24"/>
              </w:rPr>
              <w:t>城镇地籍首级平面控制网原则上在国家</w:t>
            </w:r>
            <w:r>
              <w:rPr>
                <w:rFonts w:ascii="仿宋_GB2312" w:hAnsi="仿宋_GB2312" w:cs="仿宋_GB2312" w:eastAsia="仿宋_GB2312"/>
                <w:sz w:val="24"/>
              </w:rPr>
              <w:t>A、B、C 高等级GPS大地控制基础上布设，施测适当密度的D级或E级GPS网。 加密控制点可在D、E级GPS控制网基础上，采用一、二级光电测距导线施测，其最弱点（相对于起算点）的点位中误差不得超过5cm。加密的控制点也可采用GPS快速静态测量方法施测。</w:t>
            </w:r>
          </w:p>
          <w:p>
            <w:pPr>
              <w:pStyle w:val="null3"/>
              <w:ind w:firstLine="480"/>
              <w:jc w:val="both"/>
            </w:pPr>
            <w:r>
              <w:rPr>
                <w:rFonts w:ascii="仿宋_GB2312" w:hAnsi="仿宋_GB2312" w:cs="仿宋_GB2312" w:eastAsia="仿宋_GB2312"/>
                <w:sz w:val="24"/>
              </w:rPr>
              <w:t>2.2地籍平面控制点的密度</w:t>
            </w:r>
          </w:p>
          <w:p>
            <w:pPr>
              <w:pStyle w:val="null3"/>
              <w:ind w:firstLine="480"/>
              <w:jc w:val="both"/>
            </w:pPr>
            <w:r>
              <w:rPr>
                <w:rFonts w:ascii="仿宋_GB2312" w:hAnsi="仿宋_GB2312" w:cs="仿宋_GB2312" w:eastAsia="仿宋_GB2312"/>
                <w:sz w:val="24"/>
              </w:rPr>
              <w:t>2.2.1一般情况下，地籍平面控制点（基本控制与加密控制）的埋石点密度为：1:500地籍图每幅不少于3个，1:1000地籍图每幅不少于6个。</w:t>
            </w:r>
          </w:p>
          <w:p>
            <w:pPr>
              <w:pStyle w:val="null3"/>
              <w:ind w:firstLine="480"/>
              <w:jc w:val="both"/>
            </w:pPr>
            <w:r>
              <w:rPr>
                <w:rFonts w:ascii="仿宋_GB2312" w:hAnsi="仿宋_GB2312" w:cs="仿宋_GB2312" w:eastAsia="仿宋_GB2312"/>
                <w:sz w:val="24"/>
              </w:rPr>
              <w:t>2.2.2地籍图根点（含各等级控制点）的密度，通常每平方公里应布设100—400个。</w:t>
            </w:r>
          </w:p>
          <w:p>
            <w:pPr>
              <w:pStyle w:val="null3"/>
              <w:ind w:firstLine="480"/>
              <w:jc w:val="both"/>
            </w:pPr>
            <w:r>
              <w:rPr>
                <w:rFonts w:ascii="仿宋_GB2312" w:hAnsi="仿宋_GB2312" w:cs="仿宋_GB2312" w:eastAsia="仿宋_GB2312"/>
                <w:sz w:val="24"/>
              </w:rPr>
              <w:t>2.2.3各等级地籍基本控制点和加密控制点均应埋设永久性标志，地籍图根点可根 据要求埋设永久性标志。</w:t>
            </w:r>
          </w:p>
          <w:p>
            <w:pPr>
              <w:pStyle w:val="null3"/>
              <w:ind w:firstLine="480"/>
              <w:jc w:val="both"/>
            </w:pPr>
            <w:r>
              <w:rPr>
                <w:rFonts w:ascii="仿宋_GB2312" w:hAnsi="仿宋_GB2312" w:cs="仿宋_GB2312" w:eastAsia="仿宋_GB2312"/>
                <w:sz w:val="24"/>
              </w:rPr>
              <w:t>2.3 高程控制测量</w:t>
            </w:r>
          </w:p>
          <w:p>
            <w:pPr>
              <w:pStyle w:val="null3"/>
              <w:ind w:firstLine="480"/>
              <w:jc w:val="both"/>
            </w:pPr>
            <w:r>
              <w:rPr>
                <w:rFonts w:ascii="仿宋_GB2312" w:hAnsi="仿宋_GB2312" w:cs="仿宋_GB2312" w:eastAsia="仿宋_GB2312"/>
                <w:sz w:val="24"/>
              </w:rPr>
              <w:t>2.3.1地籍首级平面控制网的等级根据城镇地籍调查区域面积大小，按表3选择。</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3调查区范围与地籍平面控制网布设</w:t>
            </w:r>
          </w:p>
          <w:tbl>
            <w:tblPr>
              <w:tblInd w:type="dxa" w:w="120"/>
              <w:tblBorders>
                <w:top w:val="none" w:color="000000" w:sz="4"/>
                <w:left w:val="none" w:color="000000" w:sz="4"/>
                <w:bottom w:val="none" w:color="000000" w:sz="4"/>
                <w:right w:val="none" w:color="000000" w:sz="4"/>
                <w:insideH w:val="none"/>
                <w:insideV w:val="none"/>
              </w:tblBorders>
            </w:tblPr>
            <w:tblGrid>
              <w:gridCol w:w="1173"/>
              <w:gridCol w:w="1003"/>
              <w:gridCol w:w="890"/>
              <w:gridCol w:w="1102"/>
              <w:gridCol w:w="1427"/>
            </w:tblGrid>
            <w:tr>
              <w:tc>
                <w:tcPr>
                  <w:tcW w:type="dxa" w:w="1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调查区面积</w:t>
                  </w:r>
                </w:p>
              </w:tc>
              <w:tc>
                <w:tcPr>
                  <w:tcW w:type="dxa" w:w="189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首级控制网</w:t>
                  </w:r>
                </w:p>
              </w:tc>
              <w:tc>
                <w:tcPr>
                  <w:tcW w:type="dxa" w:w="2529"/>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加密控制网</w:t>
                  </w:r>
                </w:p>
              </w:tc>
            </w:tr>
            <w:tr>
              <w:tc>
                <w:tcPr>
                  <w:tcW w:type="dxa" w:w="1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km²）</w:t>
                  </w:r>
                </w:p>
              </w:tc>
              <w:tc>
                <w:tcPr>
                  <w:tcW w:type="dxa" w:w="1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布设形式</w:t>
                  </w:r>
                </w:p>
              </w:tc>
              <w:tc>
                <w:tcPr>
                  <w:tcW w:type="dxa" w:w="8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等级</w:t>
                  </w:r>
                </w:p>
              </w:tc>
              <w:tc>
                <w:tcPr>
                  <w:tcW w:type="dxa" w:w="11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布设形式</w:t>
                  </w:r>
                </w:p>
              </w:tc>
              <w:tc>
                <w:tcPr>
                  <w:tcW w:type="dxa" w:w="14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等级</w:t>
                  </w:r>
                </w:p>
              </w:tc>
            </w:tr>
            <w:tr>
              <w:tc>
                <w:tcPr>
                  <w:tcW w:type="dxa" w:w="1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60</w:t>
                  </w:r>
                </w:p>
              </w:tc>
              <w:tc>
                <w:tcPr>
                  <w:tcW w:type="dxa" w:w="10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GPS(导线)</w:t>
                  </w:r>
                </w:p>
              </w:tc>
              <w:tc>
                <w:tcPr>
                  <w:tcW w:type="dxa" w:w="8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E 级 ( 一级)</w:t>
                  </w:r>
                </w:p>
              </w:tc>
              <w:tc>
                <w:tcPr>
                  <w:tcW w:type="dxa" w:w="1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GPS 或导线</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一、二级</w:t>
                  </w:r>
                </w:p>
              </w:tc>
            </w:tr>
          </w:tbl>
          <w:p>
            <w:pPr>
              <w:pStyle w:val="null3"/>
              <w:ind w:firstLine="480"/>
              <w:jc w:val="both"/>
            </w:pPr>
            <w:r>
              <w:rPr>
                <w:rFonts w:ascii="仿宋_GB2312" w:hAnsi="仿宋_GB2312" w:cs="仿宋_GB2312" w:eastAsia="仿宋_GB2312"/>
                <w:sz w:val="24"/>
              </w:rPr>
              <w:t>2.3.2</w:t>
            </w:r>
            <w:r>
              <w:rPr>
                <w:rFonts w:ascii="仿宋_GB2312" w:hAnsi="仿宋_GB2312" w:cs="仿宋_GB2312" w:eastAsia="仿宋_GB2312"/>
                <w:sz w:val="24"/>
              </w:rPr>
              <w:t>首级高程控制网应以国家各等级水准点为起始数据，采用等外水准施测。</w:t>
            </w:r>
          </w:p>
          <w:p>
            <w:pPr>
              <w:pStyle w:val="null3"/>
              <w:ind w:firstLine="480"/>
              <w:jc w:val="both"/>
            </w:pPr>
            <w:r>
              <w:rPr>
                <w:rFonts w:ascii="仿宋_GB2312" w:hAnsi="仿宋_GB2312" w:cs="仿宋_GB2312" w:eastAsia="仿宋_GB2312"/>
                <w:sz w:val="24"/>
              </w:rPr>
              <w:t>2.4 各类导线网的主要技术指标与测量要求</w:t>
            </w:r>
          </w:p>
          <w:p>
            <w:pPr>
              <w:pStyle w:val="null3"/>
              <w:ind w:firstLine="480"/>
              <w:jc w:val="both"/>
            </w:pPr>
            <w:r>
              <w:rPr>
                <w:rFonts w:ascii="仿宋_GB2312" w:hAnsi="仿宋_GB2312" w:cs="仿宋_GB2312" w:eastAsia="仿宋_GB2312"/>
                <w:sz w:val="24"/>
              </w:rPr>
              <w:t>2.4.1 二级导线和图根导线可布设成附合导线、结点导线，导线作为首级控制时，宜布设成多边形格网，其技术要求见下列各表（表4－表9）。</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4一、二级光电测距导线主要技术要求</w:t>
            </w:r>
          </w:p>
          <w:tbl>
            <w:tblPr>
              <w:tblInd w:type="dxa" w:w="315"/>
              <w:tblBorders>
                <w:top w:val="none" w:color="000000" w:sz="4"/>
                <w:left w:val="none" w:color="000000" w:sz="4"/>
                <w:bottom w:val="none" w:color="000000" w:sz="4"/>
                <w:right w:val="none" w:color="000000" w:sz="4"/>
                <w:insideH w:val="none"/>
                <w:insideV w:val="none"/>
              </w:tblBorders>
            </w:tblPr>
            <w:tblGrid>
              <w:gridCol w:w="483"/>
              <w:gridCol w:w="671"/>
              <w:gridCol w:w="686"/>
              <w:gridCol w:w="717"/>
              <w:gridCol w:w="421"/>
              <w:gridCol w:w="437"/>
              <w:gridCol w:w="733"/>
              <w:gridCol w:w="748"/>
              <w:gridCol w:w="702"/>
            </w:tblGrid>
            <w:tr>
              <w:tc>
                <w:tcPr>
                  <w:tcW w:type="dxa" w:w="48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等级</w:t>
                  </w:r>
                </w:p>
              </w:tc>
              <w:tc>
                <w:tcPr>
                  <w:tcW w:type="dxa" w:w="67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附合导线</w:t>
                  </w:r>
                  <w:r>
                    <w:rPr>
                      <w:rFonts w:ascii="仿宋_GB2312" w:hAnsi="仿宋_GB2312" w:cs="仿宋_GB2312" w:eastAsia="仿宋_GB2312"/>
                      <w:sz w:val="24"/>
                    </w:rPr>
                    <w:t>长度（</w:t>
                  </w:r>
                  <w:r>
                    <w:rPr>
                      <w:rFonts w:ascii="仿宋_GB2312" w:hAnsi="仿宋_GB2312" w:cs="仿宋_GB2312" w:eastAsia="仿宋_GB2312"/>
                      <w:sz w:val="24"/>
                    </w:rPr>
                    <w:t>km</w:t>
                  </w:r>
                </w:p>
              </w:tc>
              <w:tc>
                <w:tcPr>
                  <w:tcW w:type="dxa" w:w="68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平均边长</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m）</w:t>
                  </w:r>
                </w:p>
              </w:tc>
              <w:tc>
                <w:tcPr>
                  <w:tcW w:type="dxa" w:w="71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每边测距</w:t>
                  </w:r>
                  <w:r>
                    <w:rPr>
                      <w:rFonts w:ascii="仿宋_GB2312" w:hAnsi="仿宋_GB2312" w:cs="仿宋_GB2312" w:eastAsia="仿宋_GB2312"/>
                      <w:sz w:val="24"/>
                    </w:rPr>
                    <w:t>中误差</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mm）</w:t>
                  </w:r>
                </w:p>
              </w:tc>
              <w:tc>
                <w:tcPr>
                  <w:tcW w:type="dxa" w:w="85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测回数</w:t>
                  </w:r>
                </w:p>
              </w:tc>
              <w:tc>
                <w:tcPr>
                  <w:tcW w:type="dxa" w:w="73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方位角闭</w:t>
                  </w:r>
                  <w:r>
                    <w:rPr>
                      <w:rFonts w:ascii="仿宋_GB2312" w:hAnsi="仿宋_GB2312" w:cs="仿宋_GB2312" w:eastAsia="仿宋_GB2312"/>
                      <w:sz w:val="24"/>
                    </w:rPr>
                    <w:t>合差（</w:t>
                  </w:r>
                  <w:r>
                    <w:rPr>
                      <w:rFonts w:ascii="仿宋_GB2312" w:hAnsi="仿宋_GB2312" w:cs="仿宋_GB2312" w:eastAsia="仿宋_GB2312"/>
                      <w:sz w:val="24"/>
                    </w:rPr>
                    <w:t>"）</w:t>
                  </w:r>
                </w:p>
              </w:tc>
              <w:tc>
                <w:tcPr>
                  <w:tcW w:type="dxa" w:w="748"/>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导线全长</w:t>
                  </w:r>
                  <w:r>
                    <w:rPr>
                      <w:rFonts w:ascii="仿宋_GB2312" w:hAnsi="仿宋_GB2312" w:cs="仿宋_GB2312" w:eastAsia="仿宋_GB2312"/>
                      <w:sz w:val="24"/>
                    </w:rPr>
                    <w:t>相对闭合</w:t>
                  </w:r>
                </w:p>
                <w:p>
                  <w:pPr>
                    <w:pStyle w:val="null3"/>
                    <w:jc w:val="center"/>
                  </w:pPr>
                  <w:r>
                    <w:rPr>
                      <w:rFonts w:ascii="仿宋_GB2312" w:hAnsi="仿宋_GB2312" w:cs="仿宋_GB2312" w:eastAsia="仿宋_GB2312"/>
                      <w:sz w:val="24"/>
                    </w:rPr>
                    <w:t>差</w:t>
                  </w:r>
                </w:p>
              </w:tc>
              <w:tc>
                <w:tcPr>
                  <w:tcW w:type="dxa" w:w="70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测角中误</w:t>
                  </w:r>
                  <w:r>
                    <w:rPr>
                      <w:rFonts w:ascii="仿宋_GB2312" w:hAnsi="仿宋_GB2312" w:cs="仿宋_GB2312" w:eastAsia="仿宋_GB2312"/>
                      <w:sz w:val="24"/>
                    </w:rPr>
                    <w:t>差（</w:t>
                  </w:r>
                  <w:r>
                    <w:rPr>
                      <w:rFonts w:ascii="仿宋_GB2312" w:hAnsi="仿宋_GB2312" w:cs="仿宋_GB2312" w:eastAsia="仿宋_GB2312"/>
                      <w:sz w:val="24"/>
                    </w:rPr>
                    <w:t>"）</w:t>
                  </w:r>
                </w:p>
              </w:tc>
            </w:tr>
            <w:tr>
              <w:tc>
                <w:tcPr>
                  <w:tcW w:type="dxa" w:w="483"/>
                  <w:vMerge/>
                  <w:tcBorders>
                    <w:top w:val="single" w:color="000000" w:sz="4"/>
                    <w:left w:val="single" w:color="000000" w:sz="4"/>
                    <w:bottom w:val="single" w:color="000000" w:sz="4"/>
                    <w:right w:val="single" w:color="000000" w:sz="4"/>
                  </w:tcBorders>
                </w:tcPr>
                <w:p/>
              </w:tc>
              <w:tc>
                <w:tcPr>
                  <w:tcW w:type="dxa" w:w="671"/>
                  <w:vMerge/>
                  <w:tcBorders>
                    <w:top w:val="single" w:color="000000" w:sz="4"/>
                    <w:left w:val="single" w:color="000000" w:sz="4"/>
                    <w:bottom w:val="single" w:color="000000" w:sz="4"/>
                    <w:right w:val="single" w:color="000000" w:sz="4"/>
                  </w:tcBorders>
                </w:tcPr>
                <w:p/>
              </w:tc>
              <w:tc>
                <w:tcPr>
                  <w:tcW w:type="dxa" w:w="686"/>
                  <w:vMerge/>
                  <w:tcBorders>
                    <w:top w:val="single" w:color="000000" w:sz="4"/>
                    <w:left w:val="single" w:color="000000" w:sz="4"/>
                    <w:bottom w:val="single" w:color="000000" w:sz="4"/>
                    <w:right w:val="single" w:color="000000" w:sz="4"/>
                  </w:tcBorders>
                </w:tcPr>
                <w:p/>
              </w:tc>
              <w:tc>
                <w:tcPr>
                  <w:tcW w:type="dxa" w:w="717"/>
                  <w:vMerge/>
                  <w:tcBorders>
                    <w:top w:val="single" w:color="000000" w:sz="4"/>
                    <w:left w:val="single" w:color="000000" w:sz="4"/>
                    <w:bottom w:val="single" w:color="000000" w:sz="4"/>
                    <w:right w:val="single" w:color="000000" w:sz="4"/>
                  </w:tcBorders>
                </w:tcP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DJ2</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DJ6</w:t>
                  </w:r>
                </w:p>
              </w:tc>
              <w:tc>
                <w:tcPr>
                  <w:tcW w:type="dxa" w:w="733"/>
                  <w:vMerge/>
                  <w:tcBorders>
                    <w:top w:val="single" w:color="000000" w:sz="4"/>
                    <w:left w:val="single" w:color="000000" w:sz="4"/>
                    <w:bottom w:val="single" w:color="000000" w:sz="4"/>
                    <w:right w:val="single" w:color="000000" w:sz="4"/>
                  </w:tcBorders>
                </w:tcPr>
                <w:p/>
              </w:tc>
              <w:tc>
                <w:tcPr>
                  <w:tcW w:type="dxa" w:w="748"/>
                  <w:vMerge/>
                  <w:tcBorders>
                    <w:top w:val="single" w:color="000000" w:sz="4"/>
                    <w:left w:val="single" w:color="000000" w:sz="4"/>
                    <w:bottom w:val="single" w:color="000000" w:sz="4"/>
                    <w:right w:val="single" w:color="000000" w:sz="4"/>
                  </w:tcBorders>
                </w:tcPr>
                <w:p/>
              </w:tc>
              <w:tc>
                <w:tcPr>
                  <w:tcW w:type="dxa" w:w="702"/>
                  <w:vMerge/>
                  <w:tcBorders>
                    <w:top w:val="single" w:color="000000" w:sz="4"/>
                    <w:left w:val="single" w:color="000000" w:sz="4"/>
                    <w:bottom w:val="single" w:color="000000" w:sz="4"/>
                    <w:right w:val="single" w:color="000000" w:sz="4"/>
                  </w:tcBorders>
                </w:tcP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一级</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300</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7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1/14000</w:t>
                  </w:r>
                </w:p>
              </w:tc>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二级</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200</w:t>
                  </w:r>
                </w:p>
              </w:tc>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7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1/10000</w:t>
                  </w:r>
                </w:p>
              </w:tc>
              <w:tc>
                <w:tcPr>
                  <w:tcW w:type="dxa" w:w="7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r>
          </w:tbl>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5图根导线测量技术要求</w:t>
            </w:r>
          </w:p>
          <w:tbl>
            <w:tblPr>
              <w:tblInd w:type="dxa" w:w="315"/>
              <w:tblBorders>
                <w:top w:val="none" w:color="000000" w:sz="4"/>
                <w:left w:val="none" w:color="000000" w:sz="4"/>
                <w:bottom w:val="none" w:color="000000" w:sz="4"/>
                <w:right w:val="none" w:color="000000" w:sz="4"/>
                <w:insideH w:val="none"/>
                <w:insideV w:val="none"/>
              </w:tblBorders>
            </w:tblPr>
            <w:tblGrid>
              <w:gridCol w:w="540"/>
              <w:gridCol w:w="660"/>
              <w:gridCol w:w="630"/>
              <w:gridCol w:w="360"/>
              <w:gridCol w:w="360"/>
              <w:gridCol w:w="735"/>
              <w:gridCol w:w="705"/>
              <w:gridCol w:w="915"/>
              <w:gridCol w:w="690"/>
            </w:tblGrid>
            <w:tr>
              <w:tc>
                <w:tcPr>
                  <w:tcW w:type="dxa" w:w="54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级别</w:t>
                  </w:r>
                </w:p>
              </w:tc>
              <w:tc>
                <w:tcPr>
                  <w:tcW w:type="dxa" w:w="66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导线长度</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km）</w:t>
                  </w:r>
                </w:p>
              </w:tc>
              <w:tc>
                <w:tcPr>
                  <w:tcW w:type="dxa" w:w="63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平均边</w:t>
                  </w:r>
                  <w:r>
                    <w:rPr>
                      <w:rFonts w:ascii="仿宋_GB2312" w:hAnsi="仿宋_GB2312" w:cs="仿宋_GB2312" w:eastAsia="仿宋_GB2312"/>
                      <w:sz w:val="24"/>
                    </w:rPr>
                    <w:t>长（</w:t>
                  </w:r>
                  <w:r>
                    <w:rPr>
                      <w:rFonts w:ascii="仿宋_GB2312" w:hAnsi="仿宋_GB2312" w:cs="仿宋_GB2312" w:eastAsia="仿宋_GB2312"/>
                      <w:sz w:val="24"/>
                    </w:rPr>
                    <w:t>m）</w:t>
                  </w:r>
                </w:p>
              </w:tc>
              <w:tc>
                <w:tcPr>
                  <w:tcW w:type="dxa" w:w="720"/>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测回数</w:t>
                  </w:r>
                </w:p>
              </w:tc>
              <w:tc>
                <w:tcPr>
                  <w:tcW w:type="dxa" w:w="735"/>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测回差</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p>
              </w:tc>
              <w:tc>
                <w:tcPr>
                  <w:tcW w:type="dxa" w:w="705"/>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方位角闭</w:t>
                  </w:r>
                  <w:r>
                    <w:rPr>
                      <w:rFonts w:ascii="仿宋_GB2312" w:hAnsi="仿宋_GB2312" w:cs="仿宋_GB2312" w:eastAsia="仿宋_GB2312"/>
                      <w:sz w:val="24"/>
                    </w:rPr>
                    <w:t>合差（</w:t>
                  </w:r>
                  <w:r>
                    <w:rPr>
                      <w:rFonts w:ascii="仿宋_GB2312" w:hAnsi="仿宋_GB2312" w:cs="仿宋_GB2312" w:eastAsia="仿宋_GB2312"/>
                      <w:sz w:val="24"/>
                    </w:rPr>
                    <w:t>"）</w:t>
                  </w:r>
                </w:p>
              </w:tc>
              <w:tc>
                <w:tcPr>
                  <w:tcW w:type="dxa" w:w="915"/>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导线全长相对</w:t>
                  </w:r>
                  <w:r>
                    <w:rPr>
                      <w:rFonts w:ascii="仿宋_GB2312" w:hAnsi="仿宋_GB2312" w:cs="仿宋_GB2312" w:eastAsia="仿宋_GB2312"/>
                      <w:sz w:val="24"/>
                    </w:rPr>
                    <w:t>闭合差</w:t>
                  </w:r>
                </w:p>
              </w:tc>
              <w:tc>
                <w:tcPr>
                  <w:tcW w:type="dxa" w:w="69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坐标闭合</w:t>
                  </w:r>
                  <w:r>
                    <w:rPr>
                      <w:rFonts w:ascii="仿宋_GB2312" w:hAnsi="仿宋_GB2312" w:cs="仿宋_GB2312" w:eastAsia="仿宋_GB2312"/>
                      <w:sz w:val="24"/>
                    </w:rPr>
                    <w:t>差（</w:t>
                  </w:r>
                  <w:r>
                    <w:rPr>
                      <w:rFonts w:ascii="仿宋_GB2312" w:hAnsi="仿宋_GB2312" w:cs="仿宋_GB2312" w:eastAsia="仿宋_GB2312"/>
                      <w:sz w:val="24"/>
                    </w:rPr>
                    <w:t>m）</w:t>
                  </w:r>
                </w:p>
              </w:tc>
            </w:tr>
            <w:tr>
              <w:tc>
                <w:tcPr>
                  <w:tcW w:type="dxa" w:w="540"/>
                  <w:vMerge/>
                  <w:tcBorders>
                    <w:top w:val="single" w:color="000000" w:sz="4"/>
                    <w:left w:val="single" w:color="000000" w:sz="4"/>
                    <w:bottom w:val="single" w:color="000000" w:sz="4"/>
                    <w:right w:val="single" w:color="000000" w:sz="4"/>
                  </w:tcBorders>
                </w:tcPr>
                <w:p/>
              </w:tc>
              <w:tc>
                <w:tcPr>
                  <w:tcW w:type="dxa" w:w="660"/>
                  <w:vMerge/>
                  <w:tcBorders>
                    <w:top w:val="single" w:color="000000" w:sz="4"/>
                    <w:left w:val="single" w:color="000000" w:sz="4"/>
                    <w:bottom w:val="single" w:color="000000" w:sz="4"/>
                    <w:right w:val="single" w:color="000000" w:sz="4"/>
                  </w:tcBorders>
                </w:tcPr>
                <w:p/>
              </w:tc>
              <w:tc>
                <w:tcPr>
                  <w:tcW w:type="dxa" w:w="630"/>
                  <w:vMerge/>
                  <w:tcBorders>
                    <w:top w:val="single" w:color="000000" w:sz="4"/>
                    <w:left w:val="single" w:color="000000" w:sz="4"/>
                    <w:bottom w:val="single" w:color="000000" w:sz="4"/>
                    <w:right w:val="single" w:color="000000" w:sz="4"/>
                  </w:tcBorders>
                </w:tcP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DJ2</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DJ6</w:t>
                  </w:r>
                </w:p>
              </w:tc>
              <w:tc>
                <w:tcPr>
                  <w:tcW w:type="dxa" w:w="735"/>
                  <w:vMerge/>
                  <w:tcBorders>
                    <w:top w:val="single" w:color="000000" w:sz="4"/>
                    <w:left w:val="single" w:color="000000" w:sz="4"/>
                    <w:bottom w:val="single" w:color="000000" w:sz="4"/>
                    <w:right w:val="single" w:color="000000" w:sz="4"/>
                  </w:tcBorders>
                </w:tcPr>
                <w:p/>
              </w:tc>
              <w:tc>
                <w:tcPr>
                  <w:tcW w:type="dxa" w:w="705"/>
                  <w:vMerge/>
                  <w:tcBorders>
                    <w:top w:val="single" w:color="000000" w:sz="4"/>
                    <w:left w:val="single" w:color="000000" w:sz="4"/>
                    <w:bottom w:val="single" w:color="000000" w:sz="4"/>
                    <w:right w:val="single" w:color="000000" w:sz="4"/>
                  </w:tcBorders>
                </w:tcPr>
                <w:p/>
              </w:tc>
              <w:tc>
                <w:tcPr>
                  <w:tcW w:type="dxa" w:w="915"/>
                  <w:vMerge/>
                  <w:tcBorders>
                    <w:top w:val="single" w:color="000000" w:sz="4"/>
                    <w:left w:val="single" w:color="000000" w:sz="4"/>
                    <w:bottom w:val="single" w:color="000000" w:sz="4"/>
                    <w:right w:val="single" w:color="000000" w:sz="4"/>
                  </w:tcBorders>
                </w:tcPr>
                <w:p/>
              </w:tc>
              <w:tc>
                <w:tcPr>
                  <w:tcW w:type="dxa" w:w="690"/>
                  <w:vMerge/>
                  <w:tcBorders>
                    <w:top w:val="single" w:color="000000" w:sz="4"/>
                    <w:left w:val="single" w:color="000000" w:sz="4"/>
                    <w:bottom w:val="single" w:color="000000" w:sz="4"/>
                    <w:right w:val="single" w:color="000000" w:sz="4"/>
                  </w:tcBorders>
                </w:tcPr>
                <w:p/>
              </w:tc>
            </w:tr>
            <w:tr>
              <w:tc>
                <w:tcPr>
                  <w:tcW w:type="dxa" w:w="5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一级</w:t>
                  </w:r>
                </w:p>
              </w:tc>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120</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1/5000</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0.22</w:t>
                  </w:r>
                </w:p>
              </w:tc>
            </w:tr>
            <w:tr>
              <w:tc>
                <w:tcPr>
                  <w:tcW w:type="dxa" w:w="5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二级</w:t>
                  </w:r>
                </w:p>
              </w:tc>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0.7</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70</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w:t>
                  </w:r>
                </w:p>
              </w:tc>
              <w:tc>
                <w:tcPr>
                  <w:tcW w:type="dxa" w:w="9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1/3000</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0.22</w:t>
                  </w:r>
                </w:p>
              </w:tc>
            </w:tr>
          </w:tbl>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6水平角方向观测法的各项限差</w:t>
            </w:r>
          </w:p>
          <w:tbl>
            <w:tblPr>
              <w:tblInd w:type="dxa" w:w="315"/>
              <w:tblBorders>
                <w:top w:val="none" w:color="000000" w:sz="4"/>
                <w:left w:val="none" w:color="000000" w:sz="4"/>
                <w:bottom w:val="none" w:color="000000" w:sz="4"/>
                <w:right w:val="none" w:color="000000" w:sz="4"/>
                <w:insideH w:val="none"/>
                <w:insideV w:val="none"/>
              </w:tblBorders>
            </w:tblPr>
            <w:tblGrid>
              <w:gridCol w:w="3747"/>
              <w:gridCol w:w="612"/>
              <w:gridCol w:w="597"/>
              <w:gridCol w:w="642"/>
            </w:tblGrid>
            <w:tr>
              <w:tc>
                <w:tcPr>
                  <w:tcW w:type="dxa" w:w="374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项</w:t>
                  </w:r>
                  <w:r>
                    <w:rPr>
                      <w:rFonts w:ascii="仿宋_GB2312" w:hAnsi="仿宋_GB2312" w:cs="仿宋_GB2312" w:eastAsia="仿宋_GB2312"/>
                      <w:sz w:val="24"/>
                    </w:rPr>
                    <w:t>目</w:t>
                  </w:r>
                </w:p>
              </w:tc>
              <w:tc>
                <w:tcPr>
                  <w:tcW w:type="dxa" w:w="185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经纬仪型号</w:t>
                  </w:r>
                </w:p>
              </w:tc>
            </w:tr>
            <w:tr>
              <w:tc>
                <w:tcPr>
                  <w:tcW w:type="dxa" w:w="3747"/>
                  <w:vMerge/>
                  <w:tcBorders>
                    <w:top w:val="single" w:color="000000" w:sz="4"/>
                    <w:left w:val="single" w:color="000000" w:sz="4"/>
                    <w:bottom w:val="single" w:color="000000" w:sz="4"/>
                    <w:right w:val="single" w:color="000000" w:sz="4"/>
                  </w:tcBorders>
                </w:tcPr>
                <w:p/>
              </w:tc>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DJ1</w:t>
                  </w:r>
                </w:p>
              </w:tc>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DJ2</w:t>
                  </w:r>
                </w:p>
              </w:tc>
              <w:tc>
                <w:tcPr>
                  <w:tcW w:type="dxa" w:w="6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DJ6</w:t>
                  </w:r>
                </w:p>
              </w:tc>
            </w:tr>
            <w:tr>
              <w:tc>
                <w:tcPr>
                  <w:tcW w:type="dxa" w:w="3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光学测微器两次重合读数差（</w:t>
                  </w:r>
                  <w:r>
                    <w:rPr>
                      <w:rFonts w:ascii="仿宋_GB2312" w:hAnsi="仿宋_GB2312" w:cs="仿宋_GB2312" w:eastAsia="仿宋_GB2312"/>
                      <w:sz w:val="24"/>
                    </w:rPr>
                    <w:t>"）</w:t>
                  </w:r>
                </w:p>
              </w:tc>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6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半测回归零差（</w:t>
                  </w:r>
                  <w:r>
                    <w:rPr>
                      <w:rFonts w:ascii="仿宋_GB2312" w:hAnsi="仿宋_GB2312" w:cs="仿宋_GB2312" w:eastAsia="仿宋_GB2312"/>
                      <w:sz w:val="24"/>
                    </w:rPr>
                    <w:t>"）</w:t>
                  </w:r>
                </w:p>
              </w:tc>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6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r>
            <w:tr>
              <w:tc>
                <w:tcPr>
                  <w:tcW w:type="dxa" w:w="3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两个半测回同一方向较差（</w:t>
                  </w:r>
                  <w:r>
                    <w:rPr>
                      <w:rFonts w:ascii="仿宋_GB2312" w:hAnsi="仿宋_GB2312" w:cs="仿宋_GB2312" w:eastAsia="仿宋_GB2312"/>
                      <w:sz w:val="24"/>
                    </w:rPr>
                    <w:t>"）</w:t>
                  </w:r>
                </w:p>
              </w:tc>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6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w:t>
                  </w:r>
                </w:p>
              </w:tc>
            </w:tr>
            <w:tr>
              <w:tc>
                <w:tcPr>
                  <w:tcW w:type="dxa" w:w="3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一测回内</w:t>
                  </w:r>
                  <w:r>
                    <w:rPr>
                      <w:rFonts w:ascii="仿宋_GB2312" w:hAnsi="仿宋_GB2312" w:cs="仿宋_GB2312" w:eastAsia="仿宋_GB2312"/>
                      <w:sz w:val="24"/>
                    </w:rPr>
                    <w:t>2C 互差（"）</w:t>
                  </w:r>
                </w:p>
              </w:tc>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6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同一方向值各测回互差（</w:t>
                  </w:r>
                  <w:r>
                    <w:rPr>
                      <w:rFonts w:ascii="仿宋_GB2312" w:hAnsi="仿宋_GB2312" w:cs="仿宋_GB2312" w:eastAsia="仿宋_GB2312"/>
                      <w:sz w:val="24"/>
                    </w:rPr>
                    <w:t>"）</w:t>
                  </w:r>
                </w:p>
              </w:tc>
              <w:tc>
                <w:tcPr>
                  <w:tcW w:type="dxa" w:w="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6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r>
          </w:tbl>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7导线测量水平角观测的技术要求</w:t>
            </w:r>
          </w:p>
          <w:tbl>
            <w:tblPr>
              <w:tblInd w:type="dxa" w:w="135"/>
              <w:tblBorders>
                <w:top w:val="none" w:color="000000" w:sz="4"/>
                <w:left w:val="none" w:color="000000" w:sz="4"/>
                <w:bottom w:val="none" w:color="000000" w:sz="4"/>
                <w:right w:val="none" w:color="000000" w:sz="4"/>
                <w:insideH w:val="none"/>
                <w:insideV w:val="none"/>
              </w:tblBorders>
            </w:tblPr>
            <w:tblGrid>
              <w:gridCol w:w="496"/>
              <w:gridCol w:w="992"/>
              <w:gridCol w:w="298"/>
              <w:gridCol w:w="298"/>
              <w:gridCol w:w="298"/>
              <w:gridCol w:w="1191"/>
              <w:gridCol w:w="1587"/>
            </w:tblGrid>
            <w:tr>
              <w:tc>
                <w:tcPr>
                  <w:tcW w:type="dxa" w:w="49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等</w:t>
                  </w:r>
                  <w:r>
                    <w:rPr>
                      <w:rFonts w:ascii="仿宋_GB2312" w:hAnsi="仿宋_GB2312" w:cs="仿宋_GB2312" w:eastAsia="仿宋_GB2312"/>
                      <w:sz w:val="24"/>
                    </w:rPr>
                    <w:t>级</w:t>
                  </w:r>
                </w:p>
              </w:tc>
              <w:tc>
                <w:tcPr>
                  <w:tcW w:type="dxa" w:w="99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测角中误差</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p>
              </w:tc>
              <w:tc>
                <w:tcPr>
                  <w:tcW w:type="dxa" w:w="89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测回数</w:t>
                  </w:r>
                </w:p>
              </w:tc>
              <w:tc>
                <w:tcPr>
                  <w:tcW w:type="dxa" w:w="119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方位角闭合差</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p>
              </w:tc>
              <w:tc>
                <w:tcPr>
                  <w:tcW w:type="dxa" w:w="158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测站圆周角闭合差</w:t>
                  </w:r>
                </w:p>
                <w:p>
                  <w:pPr>
                    <w:pStyle w:val="null3"/>
                    <w:jc w:val="center"/>
                  </w:pPr>
                  <w:r>
                    <w:rPr>
                      <w:rFonts w:ascii="仿宋_GB2312" w:hAnsi="仿宋_GB2312" w:cs="仿宋_GB2312" w:eastAsia="仿宋_GB2312"/>
                      <w:sz w:val="24"/>
                    </w:rPr>
                    <w:t>Δ（″）</w:t>
                  </w:r>
                </w:p>
              </w:tc>
            </w:tr>
            <w:tr>
              <w:tc>
                <w:tcPr>
                  <w:tcW w:type="dxa" w:w="496"/>
                  <w:vMerge/>
                  <w:tcBorders>
                    <w:top w:val="single" w:color="000000" w:sz="4"/>
                    <w:left w:val="single" w:color="000000" w:sz="4"/>
                    <w:bottom w:val="single" w:color="000000" w:sz="4"/>
                    <w:right w:val="single" w:color="000000" w:sz="4"/>
                  </w:tcBorders>
                </w:tcPr>
                <w:p/>
              </w:tc>
              <w:tc>
                <w:tcPr>
                  <w:tcW w:type="dxa" w:w="992"/>
                  <w:vMerge/>
                  <w:tcBorders>
                    <w:top w:val="singl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DJ1</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DJ2</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DJ6</w:t>
                  </w:r>
                </w:p>
              </w:tc>
              <w:tc>
                <w:tcPr>
                  <w:tcW w:type="dxa" w:w="1191"/>
                  <w:vMerge/>
                  <w:tcBorders>
                    <w:top w:val="single" w:color="000000" w:sz="4"/>
                    <w:left w:val="single" w:color="000000" w:sz="4"/>
                    <w:bottom w:val="single" w:color="000000" w:sz="4"/>
                    <w:right w:val="single" w:color="000000" w:sz="4"/>
                  </w:tcBorders>
                </w:tcPr>
                <w:p/>
              </w:tc>
              <w:tc>
                <w:tcPr>
                  <w:tcW w:type="dxa" w:w="1587"/>
                  <w:vMerge/>
                  <w:tcBorders>
                    <w:top w:val="single" w:color="000000" w:sz="4"/>
                    <w:left w:val="single" w:color="000000" w:sz="4"/>
                    <w:bottom w:val="single" w:color="000000" w:sz="4"/>
                    <w:right w:val="single" w:color="000000" w:sz="4"/>
                  </w:tcBorders>
                </w:tcP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w:t>
                  </w:r>
                  <w:r>
                    <w:rPr>
                      <w:rFonts w:ascii="仿宋_GB2312" w:hAnsi="仿宋_GB2312" w:cs="仿宋_GB2312" w:eastAsia="仿宋_GB2312"/>
                      <w:sz w:val="24"/>
                    </w:rPr>
                    <w:t>级</w:t>
                  </w:r>
                </w:p>
              </w:tc>
              <w:tc>
                <w:tcPr>
                  <w:tcW w:type="dxa" w:w="9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r>
            <w:tr>
              <w:tc>
                <w:tcPr>
                  <w:tcW w:type="dxa" w:w="4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二</w:t>
                  </w:r>
                  <w:r>
                    <w:rPr>
                      <w:rFonts w:ascii="仿宋_GB2312" w:hAnsi="仿宋_GB2312" w:cs="仿宋_GB2312" w:eastAsia="仿宋_GB2312"/>
                      <w:sz w:val="24"/>
                    </w:rPr>
                    <w:t>级</w:t>
                  </w:r>
                </w:p>
              </w:tc>
              <w:tc>
                <w:tcPr>
                  <w:tcW w:type="dxa" w:w="9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1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r>
          </w:tbl>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n—测站数；Δ=L+R-360</w:t>
            </w:r>
          </w:p>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8光电测距的各项限差</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项目等级仪器精度</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测回读数值较差限值</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mm）</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测回间较差限值（</w:t>
                  </w:r>
                  <w:r>
                    <w:rPr>
                      <w:rFonts w:ascii="仿宋_GB2312" w:hAnsi="仿宋_GB2312" w:cs="仿宋_GB2312" w:eastAsia="仿宋_GB2312"/>
                      <w:sz w:val="24"/>
                    </w:rPr>
                    <w:t>mm）</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bl>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1.往返较差必须将斜距化算到同一水平面上，方可进行比较。</w:t>
            </w:r>
          </w:p>
          <w:p>
            <w:pPr>
              <w:pStyle w:val="null3"/>
              <w:ind w:firstLine="480"/>
              <w:jc w:val="both"/>
            </w:pPr>
            <w:r>
              <w:rPr>
                <w:rFonts w:ascii="仿宋_GB2312" w:hAnsi="仿宋_GB2312" w:cs="仿宋_GB2312" w:eastAsia="仿宋_GB2312"/>
                <w:sz w:val="24"/>
              </w:rPr>
              <w:t>2. 为仪器标称精度。</w:t>
            </w:r>
          </w:p>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9垂直角观测技术要求</w:t>
            </w:r>
          </w:p>
          <w:tbl>
            <w:tblPr>
              <w:tblInd w:type="dxa" w:w="120"/>
              <w:tblBorders>
                <w:top w:val="none" w:color="000000" w:sz="4"/>
                <w:left w:val="none" w:color="000000" w:sz="4"/>
                <w:bottom w:val="none" w:color="000000" w:sz="4"/>
                <w:right w:val="none" w:color="000000" w:sz="4"/>
                <w:insideH w:val="none"/>
                <w:insideV w:val="none"/>
              </w:tblBorders>
            </w:tblPr>
            <w:tblGrid>
              <w:gridCol w:w="2044"/>
              <w:gridCol w:w="1635"/>
              <w:gridCol w:w="634"/>
              <w:gridCol w:w="649"/>
              <w:gridCol w:w="634"/>
            </w:tblGrid>
            <w:tr>
              <w:tc>
                <w:tcPr>
                  <w:tcW w:type="dxa" w:w="204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测角中误差</w:t>
                  </w:r>
                  <w:r>
                    <w:rPr>
                      <w:rFonts w:ascii="仿宋_GB2312" w:hAnsi="仿宋_GB2312" w:cs="仿宋_GB2312" w:eastAsia="仿宋_GB2312"/>
                      <w:sz w:val="24"/>
                    </w:rPr>
                    <w:t>仪器型号观测方法</w:t>
                  </w:r>
                  <w:r>
                    <w:rPr>
                      <w:rFonts w:ascii="仿宋_GB2312" w:hAnsi="仿宋_GB2312" w:cs="仿宋_GB2312" w:eastAsia="仿宋_GB2312"/>
                      <w:sz w:val="24"/>
                    </w:rPr>
                    <w:t>测回数</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w:t>
                  </w:r>
                </w:p>
              </w:tc>
              <w:tc>
                <w:tcPr>
                  <w:tcW w:type="dxa" w:w="128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10"～30"</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30"</w:t>
                  </w:r>
                </w:p>
              </w:tc>
            </w:tr>
            <w:tr>
              <w:tc>
                <w:tcPr>
                  <w:tcW w:type="dxa" w:w="2044"/>
                  <w:vMerge/>
                  <w:tcBorders>
                    <w:top w:val="single" w:color="000000" w:sz="4"/>
                    <w:left w:val="single" w:color="000000" w:sz="4"/>
                    <w:bottom w:val="single" w:color="000000" w:sz="4"/>
                    <w:right w:val="single" w:color="000000" w:sz="4"/>
                  </w:tcBorders>
                </w:tc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DJ2</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DJ2</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DJ6</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DJ6</w:t>
                  </w:r>
                </w:p>
              </w:tc>
            </w:tr>
            <w:tr>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中丝法</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三丝法</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rPr>
              <w:t>2.5各级GPS网的布设与施测</w:t>
            </w:r>
          </w:p>
          <w:p>
            <w:pPr>
              <w:pStyle w:val="null3"/>
              <w:jc w:val="both"/>
            </w:pPr>
            <w:r>
              <w:rPr>
                <w:rFonts w:ascii="仿宋_GB2312" w:hAnsi="仿宋_GB2312" w:cs="仿宋_GB2312" w:eastAsia="仿宋_GB2312"/>
                <w:sz w:val="24"/>
              </w:rPr>
              <w:t>2.5.1</w:t>
            </w:r>
            <w:r>
              <w:rPr>
                <w:rFonts w:ascii="仿宋_GB2312" w:hAnsi="仿宋_GB2312" w:cs="仿宋_GB2312" w:eastAsia="仿宋_GB2312"/>
                <w:sz w:val="32"/>
              </w:rPr>
              <w:t xml:space="preserve"> </w:t>
            </w:r>
            <w:r>
              <w:rPr>
                <w:rFonts w:ascii="仿宋_GB2312" w:hAnsi="仿宋_GB2312" w:cs="仿宋_GB2312" w:eastAsia="仿宋_GB2312"/>
                <w:sz w:val="24"/>
              </w:rPr>
              <w:t>D、E 级网可布设成多边形或附合路线。其技术要求见下列各表（表10－表13）。</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10</w:t>
            </w:r>
            <w:r>
              <w:rPr>
                <w:rFonts w:ascii="仿宋_GB2312" w:hAnsi="仿宋_GB2312" w:cs="仿宋_GB2312" w:eastAsia="仿宋_GB2312"/>
                <w:sz w:val="32"/>
              </w:rPr>
              <w:t xml:space="preserve"> </w:t>
            </w:r>
            <w:r>
              <w:rPr>
                <w:rFonts w:ascii="仿宋_GB2312" w:hAnsi="仿宋_GB2312" w:cs="仿宋_GB2312" w:eastAsia="仿宋_GB2312"/>
                <w:sz w:val="24"/>
              </w:rPr>
              <w:t>GPS 网中相邻点间平均距离及精度分级</w:t>
            </w:r>
          </w:p>
          <w:tbl>
            <w:tblPr>
              <w:tblInd w:type="dxa" w:w="435"/>
              <w:tblBorders>
                <w:top w:val="none" w:color="000000" w:sz="4"/>
                <w:left w:val="none" w:color="000000" w:sz="4"/>
                <w:bottom w:val="none" w:color="000000" w:sz="4"/>
                <w:right w:val="none" w:color="000000" w:sz="4"/>
                <w:insideH w:val="none"/>
                <w:insideV w:val="none"/>
              </w:tblBorders>
            </w:tblPr>
            <w:tblGrid>
              <w:gridCol w:w="711"/>
              <w:gridCol w:w="1921"/>
              <w:gridCol w:w="1619"/>
              <w:gridCol w:w="1347"/>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等级</w:t>
                  </w:r>
                </w:p>
              </w:tc>
              <w:tc>
                <w:tcPr>
                  <w:tcW w:type="dxa" w:w="1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相邻点间的平均距离（</w:t>
                  </w:r>
                  <w:r>
                    <w:rPr>
                      <w:rFonts w:ascii="仿宋_GB2312" w:hAnsi="仿宋_GB2312" w:cs="仿宋_GB2312" w:eastAsia="仿宋_GB2312"/>
                      <w:sz w:val="24"/>
                    </w:rPr>
                    <w:t>km）</w:t>
                  </w:r>
                </w:p>
              </w:tc>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固定误差</w:t>
                  </w:r>
                  <w:r>
                    <w:rPr>
                      <w:rFonts w:ascii="仿宋_GB2312" w:hAnsi="仿宋_GB2312" w:cs="仿宋_GB2312" w:eastAsia="仿宋_GB2312"/>
                      <w:sz w:val="24"/>
                    </w:rPr>
                    <w:t>a,mm</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比例误差系数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0．2--5</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bl>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1.相邻点最小距离可为平均距离的1/3—1/2；最大距离可为平均距离的2—3 倍。</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新布设的</w:t>
            </w:r>
            <w:r>
              <w:rPr>
                <w:rFonts w:ascii="仿宋_GB2312" w:hAnsi="仿宋_GB2312" w:cs="仿宋_GB2312" w:eastAsia="仿宋_GB2312"/>
                <w:sz w:val="24"/>
              </w:rPr>
              <w:t>GPS网应与附近已有的国家高等级 GPS 网点进行联测,联测点数不得少于2 点。</w:t>
            </w:r>
          </w:p>
          <w:p>
            <w:pPr>
              <w:pStyle w:val="null3"/>
              <w:ind w:firstLine="480"/>
              <w:jc w:val="both"/>
            </w:pPr>
            <w:r>
              <w:rPr>
                <w:rFonts w:ascii="仿宋_GB2312" w:hAnsi="仿宋_GB2312" w:cs="仿宋_GB2312" w:eastAsia="仿宋_GB2312"/>
                <w:sz w:val="24"/>
              </w:rPr>
              <w:t>3.为求定GPS点在某一参考坐标系中的坐标,应与该参考坐标系中的原有控制点联测,联测的总点数不得少于3点。</w:t>
            </w:r>
          </w:p>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11最简独立 GPS 闭合环或附合路线边数的规定</w:t>
            </w:r>
          </w:p>
          <w:tbl>
            <w:tblPr>
              <w:tblInd w:type="dxa" w:w="435"/>
              <w:tblBorders>
                <w:top w:val="none" w:color="000000" w:sz="4"/>
                <w:left w:val="none" w:color="000000" w:sz="4"/>
                <w:bottom w:val="none" w:color="000000" w:sz="4"/>
                <w:right w:val="none" w:color="000000" w:sz="4"/>
                <w:insideH w:val="none"/>
                <w:insideV w:val="none"/>
              </w:tblBorders>
            </w:tblPr>
            <w:tblGrid>
              <w:gridCol w:w="2325"/>
              <w:gridCol w:w="1575"/>
              <w:gridCol w:w="1698"/>
            </w:tblGrid>
            <w:tr>
              <w:tc>
                <w:tcPr>
                  <w:tcW w:type="dxa" w:w="2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等级</w:t>
                  </w:r>
                </w:p>
              </w:tc>
              <w:tc>
                <w:tcPr>
                  <w:tcW w:type="dxa" w:w="1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w:t>
                  </w:r>
                </w:p>
              </w:tc>
            </w:tr>
            <w:tr>
              <w:tc>
                <w:tcPr>
                  <w:tcW w:type="dxa" w:w="2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闭合环或符合路线边数</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bl>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12</w:t>
            </w:r>
            <w:r>
              <w:rPr>
                <w:rFonts w:ascii="仿宋_GB2312" w:hAnsi="仿宋_GB2312" w:cs="仿宋_GB2312" w:eastAsia="仿宋_GB2312"/>
                <w:sz w:val="32"/>
              </w:rPr>
              <w:t xml:space="preserve"> </w:t>
            </w:r>
            <w:r>
              <w:rPr>
                <w:rFonts w:ascii="仿宋_GB2312" w:hAnsi="仿宋_GB2312" w:cs="仿宋_GB2312" w:eastAsia="仿宋_GB2312"/>
                <w:sz w:val="24"/>
              </w:rPr>
              <w:t>GPS 接收机的选择</w:t>
            </w:r>
          </w:p>
          <w:tbl>
            <w:tblPr>
              <w:tblInd w:type="dxa" w:w="435"/>
              <w:tblBorders>
                <w:top w:val="none" w:color="000000" w:sz="4"/>
                <w:left w:val="none" w:color="000000" w:sz="4"/>
                <w:bottom w:val="none" w:color="000000" w:sz="4"/>
                <w:right w:val="none" w:color="000000" w:sz="4"/>
                <w:insideH w:val="none"/>
                <w:insideV w:val="none"/>
              </w:tblBorders>
            </w:tblPr>
            <w:tblGrid>
              <w:gridCol w:w="2862"/>
              <w:gridCol w:w="2736"/>
            </w:tblGrid>
            <w:tr>
              <w:tc>
                <w:tcPr>
                  <w:tcW w:type="dxa" w:w="2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级</w:t>
                  </w:r>
                  <w:r>
                    <w:rPr>
                      <w:rFonts w:ascii="仿宋_GB2312" w:hAnsi="仿宋_GB2312" w:cs="仿宋_GB2312" w:eastAsia="仿宋_GB2312"/>
                      <w:sz w:val="24"/>
                    </w:rPr>
                    <w:t>别</w:t>
                  </w:r>
                </w:p>
              </w:tc>
              <w:tc>
                <w:tcPr>
                  <w:tcW w:type="dxa" w:w="2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D、E</w:t>
                  </w:r>
                </w:p>
              </w:tc>
            </w:tr>
            <w:tr>
              <w:tc>
                <w:tcPr>
                  <w:tcW w:type="dxa" w:w="2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单频</w:t>
                  </w:r>
                  <w:r>
                    <w:rPr>
                      <w:rFonts w:ascii="仿宋_GB2312" w:hAnsi="仿宋_GB2312" w:cs="仿宋_GB2312" w:eastAsia="仿宋_GB2312"/>
                      <w:sz w:val="24"/>
                    </w:rPr>
                    <w:t>/双频</w:t>
                  </w:r>
                </w:p>
              </w:tc>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双频或单频</w:t>
                  </w:r>
                </w:p>
              </w:tc>
            </w:tr>
            <w:tr>
              <w:tc>
                <w:tcPr>
                  <w:tcW w:type="dxa" w:w="2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观测量至少有</w:t>
                  </w:r>
                </w:p>
              </w:tc>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载波相位</w:t>
                  </w:r>
                </w:p>
              </w:tc>
            </w:tr>
            <w:tr>
              <w:tc>
                <w:tcPr>
                  <w:tcW w:type="dxa" w:w="2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同步观测接收机数</w:t>
                  </w:r>
                </w:p>
              </w:tc>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bl>
          <w:p>
            <w:pPr>
              <w:pStyle w:val="null3"/>
              <w:jc w:val="both"/>
            </w:pPr>
            <w:r>
              <w:rPr>
                <w:rFonts w:ascii="仿宋_GB2312" w:hAnsi="仿宋_GB2312" w:cs="仿宋_GB2312" w:eastAsia="仿宋_GB2312"/>
                <w:sz w:val="24"/>
              </w:rPr>
              <w:t>表</w:t>
            </w:r>
            <w:r>
              <w:rPr>
                <w:rFonts w:ascii="仿宋_GB2312" w:hAnsi="仿宋_GB2312" w:cs="仿宋_GB2312" w:eastAsia="仿宋_GB2312"/>
                <w:sz w:val="24"/>
              </w:rPr>
              <w:t>13各等级 GPS 测量基本技术要求规定</w:t>
            </w:r>
          </w:p>
          <w:tbl>
            <w:tblPr>
              <w:tblInd w:type="dxa" w:w="120"/>
              <w:tblBorders>
                <w:top w:val="none" w:color="000000" w:sz="4"/>
                <w:left w:val="none" w:color="000000" w:sz="4"/>
                <w:bottom w:val="none" w:color="000000" w:sz="4"/>
                <w:right w:val="none" w:color="000000" w:sz="4"/>
                <w:insideH w:val="none"/>
                <w:insideV w:val="none"/>
              </w:tblBorders>
            </w:tblPr>
            <w:tblGrid>
              <w:gridCol w:w="1031"/>
              <w:gridCol w:w="1761"/>
              <w:gridCol w:w="1403"/>
              <w:gridCol w:w="1403"/>
            </w:tblGrid>
            <w:tr>
              <w:tc>
                <w:tcPr>
                  <w:tcW w:type="dxa" w:w="1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级</w:t>
                  </w:r>
                  <w:r>
                    <w:rPr>
                      <w:rFonts w:ascii="仿宋_GB2312" w:hAnsi="仿宋_GB2312" w:cs="仿宋_GB2312" w:eastAsia="仿宋_GB2312"/>
                      <w:sz w:val="24"/>
                    </w:rPr>
                    <w:t>别</w:t>
                  </w:r>
                </w:p>
              </w:tc>
              <w:tc>
                <w:tcPr>
                  <w:tcW w:type="dxa" w:w="1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r>
                    <w:rPr>
                      <w:rFonts w:ascii="仿宋_GB2312" w:hAnsi="仿宋_GB2312" w:cs="仿宋_GB2312" w:eastAsia="仿宋_GB2312"/>
                      <w:sz w:val="24"/>
                    </w:rPr>
                    <w:t>目</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w:t>
                  </w:r>
                </w:p>
              </w:tc>
            </w:tr>
            <w:tr>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卫星截止高度角（</w:t>
                  </w:r>
                  <w:r>
                    <w:rPr>
                      <w:rFonts w:ascii="仿宋_GB2312" w:hAnsi="仿宋_GB2312" w:cs="仿宋_GB2312" w:eastAsia="仿宋_GB2312"/>
                      <w:sz w:val="24"/>
                    </w:rPr>
                    <w:t>°）</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同时观测有效卫星数</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有效观测卫星总数</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观测时段数</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时段长度</w:t>
                  </w:r>
                  <w:r>
                    <w:rPr>
                      <w:rFonts w:ascii="仿宋_GB2312" w:hAnsi="仿宋_GB2312" w:cs="仿宋_GB2312" w:eastAsia="仿宋_GB2312"/>
                      <w:sz w:val="24"/>
                    </w:rPr>
                    <w:t>(min)</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静态</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10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采样间隔</w:t>
                  </w:r>
                  <w:r>
                    <w:rPr>
                      <w:rFonts w:ascii="仿宋_GB2312" w:hAnsi="仿宋_GB2312" w:cs="仿宋_GB2312" w:eastAsia="仿宋_GB2312"/>
                      <w:sz w:val="24"/>
                    </w:rPr>
                    <w:t>(s)</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静态</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10－30</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10－30</w:t>
                  </w:r>
                </w:p>
              </w:tc>
            </w:tr>
            <w:tr>
              <w:tc>
                <w:tcPr>
                  <w:tcW w:type="dxa" w:w="1031"/>
                  <w:vMerge/>
                  <w:tcBorders>
                    <w:top w:val="none" w:color="000000" w:sz="4"/>
                    <w:left w:val="single" w:color="000000" w:sz="4"/>
                    <w:bottom w:val="single" w:color="000000" w:sz="4"/>
                    <w:right w:val="single" w:color="000000" w:sz="4"/>
                  </w:tcBorders>
                </w:tcP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双频</w:t>
                  </w:r>
                  <w:r>
                    <w:rPr>
                      <w:rFonts w:ascii="仿宋_GB2312" w:hAnsi="仿宋_GB2312" w:cs="仿宋_GB2312" w:eastAsia="仿宋_GB2312"/>
                      <w:sz w:val="24"/>
                    </w:rPr>
                    <w:t>+P（Y）码</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031"/>
                  <w:vMerge/>
                  <w:tcBorders>
                    <w:top w:val="none" w:color="000000" w:sz="4"/>
                    <w:left w:val="single" w:color="000000" w:sz="4"/>
                    <w:bottom w:val="single" w:color="000000" w:sz="4"/>
                    <w:right w:val="single" w:color="000000" w:sz="4"/>
                  </w:tcBorders>
                </w:tcP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快速静态双频全波</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031"/>
                  <w:vMerge/>
                  <w:tcBorders>
                    <w:top w:val="none" w:color="000000" w:sz="4"/>
                    <w:left w:val="single" w:color="000000" w:sz="4"/>
                    <w:bottom w:val="single" w:color="000000" w:sz="4"/>
                    <w:right w:val="single" w:color="000000" w:sz="4"/>
                  </w:tcBorders>
                </w:tcP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快速静态单频或双频半波</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10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时</w:t>
                  </w:r>
                  <w:r>
                    <w:rPr>
                      <w:rFonts w:ascii="仿宋_GB2312" w:hAnsi="仿宋_GB2312" w:cs="仿宋_GB2312" w:eastAsia="仿宋_GB2312"/>
                      <w:sz w:val="24"/>
                    </w:rPr>
                    <w:t>段</w:t>
                  </w:r>
                  <w:r>
                    <w:rPr>
                      <w:rFonts w:ascii="仿宋_GB2312" w:hAnsi="仿宋_GB2312" w:cs="仿宋_GB2312" w:eastAsia="仿宋_GB2312"/>
                      <w:sz w:val="24"/>
                    </w:rPr>
                    <w:t>中</w:t>
                  </w:r>
                  <w:r>
                    <w:rPr>
                      <w:rFonts w:ascii="仿宋_GB2312" w:hAnsi="仿宋_GB2312" w:cs="仿宋_GB2312" w:eastAsia="仿宋_GB2312"/>
                      <w:sz w:val="24"/>
                    </w:rPr>
                    <w:t>任一卫星有效观测时段</w:t>
                  </w:r>
                  <w:r>
                    <w:rPr>
                      <w:rFonts w:ascii="仿宋_GB2312" w:hAnsi="仿宋_GB2312" w:cs="仿宋_GB2312" w:eastAsia="仿宋_GB2312"/>
                      <w:sz w:val="24"/>
                    </w:rPr>
                    <w:t>(min)</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静态</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1031"/>
                  <w:vMerge/>
                  <w:tcBorders>
                    <w:top w:val="none" w:color="000000" w:sz="4"/>
                    <w:left w:val="single" w:color="000000" w:sz="4"/>
                    <w:bottom w:val="single" w:color="000000" w:sz="4"/>
                    <w:right w:val="single" w:color="000000" w:sz="4"/>
                  </w:tcBorders>
                </w:tcP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双频</w:t>
                  </w:r>
                  <w:r>
                    <w:rPr>
                      <w:rFonts w:ascii="仿宋_GB2312" w:hAnsi="仿宋_GB2312" w:cs="仿宋_GB2312" w:eastAsia="仿宋_GB2312"/>
                      <w:sz w:val="24"/>
                    </w:rPr>
                    <w:t>+P（Y）码</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031"/>
                  <w:vMerge/>
                  <w:tcBorders>
                    <w:top w:val="none" w:color="000000" w:sz="4"/>
                    <w:left w:val="single" w:color="000000" w:sz="4"/>
                    <w:bottom w:val="single" w:color="000000" w:sz="4"/>
                    <w:right w:val="single" w:color="000000" w:sz="4"/>
                  </w:tcBorders>
                </w:tcP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快速静态双频全波</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031"/>
                  <w:vMerge/>
                  <w:tcBorders>
                    <w:top w:val="none" w:color="000000" w:sz="4"/>
                    <w:left w:val="single" w:color="000000" w:sz="4"/>
                    <w:bottom w:val="single" w:color="000000" w:sz="4"/>
                    <w:right w:val="single" w:color="000000" w:sz="4"/>
                  </w:tcBorders>
                </w:tcP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快速静态单频或双频半波</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bl>
          <w:p>
            <w:pPr>
              <w:pStyle w:val="null3"/>
              <w:ind w:firstLine="480"/>
              <w:jc w:val="both"/>
            </w:pPr>
            <w:r>
              <w:rPr>
                <w:rFonts w:ascii="仿宋_GB2312" w:hAnsi="仿宋_GB2312" w:cs="仿宋_GB2312" w:eastAsia="仿宋_GB2312"/>
                <w:sz w:val="24"/>
              </w:rPr>
              <w:t>注：</w:t>
            </w:r>
            <w:r>
              <w:rPr>
                <w:rFonts w:ascii="仿宋_GB2312" w:hAnsi="仿宋_GB2312" w:cs="仿宋_GB2312" w:eastAsia="仿宋_GB2312"/>
                <w:sz w:val="24"/>
              </w:rPr>
              <w:t>1.在时段中观测时间符合表14中第七项规定的卫星，为有效观测卫星；</w:t>
            </w:r>
          </w:p>
          <w:p>
            <w:pPr>
              <w:pStyle w:val="null3"/>
              <w:ind w:firstLine="480"/>
              <w:jc w:val="both"/>
            </w:pPr>
            <w:r>
              <w:rPr>
                <w:rFonts w:ascii="仿宋_GB2312" w:hAnsi="仿宋_GB2312" w:cs="仿宋_GB2312" w:eastAsia="仿宋_GB2312"/>
                <w:sz w:val="24"/>
              </w:rPr>
              <w:t>2.计算有效观测卫星总数时，应将各时段的有效观测卫星数扣除其间的重复卫星数；</w:t>
            </w:r>
          </w:p>
          <w:p>
            <w:pPr>
              <w:pStyle w:val="null3"/>
              <w:ind w:firstLine="480"/>
              <w:jc w:val="both"/>
            </w:pPr>
            <w:r>
              <w:rPr>
                <w:rFonts w:ascii="仿宋_GB2312" w:hAnsi="仿宋_GB2312" w:cs="仿宋_GB2312" w:eastAsia="仿宋_GB2312"/>
                <w:sz w:val="24"/>
              </w:rPr>
              <w:t>3.观测时段长度，应为开始记录数据到结束记录的时间段；</w:t>
            </w:r>
          </w:p>
          <w:p>
            <w:pPr>
              <w:pStyle w:val="null3"/>
              <w:ind w:firstLine="480"/>
              <w:jc w:val="both"/>
            </w:pPr>
            <w:r>
              <w:rPr>
                <w:rFonts w:ascii="仿宋_GB2312" w:hAnsi="仿宋_GB2312" w:cs="仿宋_GB2312" w:eastAsia="仿宋_GB2312"/>
                <w:sz w:val="24"/>
              </w:rPr>
              <w:t>4.观测时段数≥1.6，指每站观测一时段，至少60%测站再观测一时段；</w:t>
            </w:r>
          </w:p>
          <w:p>
            <w:pPr>
              <w:pStyle w:val="null3"/>
              <w:ind w:firstLine="480"/>
              <w:jc w:val="both"/>
            </w:pPr>
            <w:r>
              <w:rPr>
                <w:rFonts w:ascii="仿宋_GB2312" w:hAnsi="仿宋_GB2312" w:cs="仿宋_GB2312" w:eastAsia="仿宋_GB2312"/>
                <w:sz w:val="24"/>
              </w:rPr>
              <w:t>5.相邻点的距离大于20Km 时,应采用GPS静态定位法施测；</w:t>
            </w:r>
          </w:p>
          <w:p>
            <w:pPr>
              <w:pStyle w:val="null3"/>
              <w:ind w:firstLine="480"/>
              <w:jc w:val="both"/>
            </w:pPr>
            <w:r>
              <w:rPr>
                <w:rFonts w:ascii="仿宋_GB2312" w:hAnsi="仿宋_GB2312" w:cs="仿宋_GB2312" w:eastAsia="仿宋_GB2312"/>
                <w:sz w:val="24"/>
              </w:rPr>
              <w:t>6.快速静态定位时,相邻地区两个观测单元之间的流动站的重合点数:C、D 级不少于2点，E 级不少于1点；</w:t>
            </w:r>
          </w:p>
          <w:p>
            <w:pPr>
              <w:pStyle w:val="null3"/>
              <w:ind w:firstLine="480"/>
              <w:jc w:val="both"/>
            </w:pPr>
            <w:r>
              <w:rPr>
                <w:rFonts w:ascii="仿宋_GB2312" w:hAnsi="仿宋_GB2312" w:cs="仿宋_GB2312" w:eastAsia="仿宋_GB2312"/>
                <w:sz w:val="24"/>
              </w:rPr>
              <w:t>7.当D、E级GPS快速静态定位网采用单参考站作业方式时，对相邻观测单元的一些流动站必须进行二次设站观测。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界址点坐标测量</w:t>
            </w:r>
          </w:p>
          <w:p>
            <w:pPr>
              <w:pStyle w:val="null3"/>
              <w:ind w:firstLine="480"/>
              <w:jc w:val="both"/>
            </w:pPr>
            <w:r>
              <w:rPr>
                <w:rFonts w:ascii="仿宋_GB2312" w:hAnsi="仿宋_GB2312" w:cs="仿宋_GB2312" w:eastAsia="仿宋_GB2312"/>
                <w:sz w:val="24"/>
              </w:rPr>
              <w:t>3.1测定界址点坐标的方法有解析法、图解法两种。</w:t>
            </w:r>
          </w:p>
          <w:p>
            <w:pPr>
              <w:pStyle w:val="null3"/>
              <w:ind w:firstLine="480"/>
              <w:jc w:val="both"/>
            </w:pPr>
            <w:r>
              <w:rPr>
                <w:rFonts w:ascii="仿宋_GB2312" w:hAnsi="仿宋_GB2312" w:cs="仿宋_GB2312" w:eastAsia="仿宋_GB2312"/>
                <w:sz w:val="24"/>
              </w:rPr>
              <w:t>3.1.1解析法测定界址点坐标是利用地籍控制点起算数据及实测数据（距离和角度），按公式计算求得。解析法测定界址点坐标的方法有极坐标法、截距法、距离交会法、直角坐标法、前方交会法等，根据不同的条件使用不同的方法施测。</w:t>
            </w:r>
          </w:p>
          <w:p>
            <w:pPr>
              <w:pStyle w:val="null3"/>
              <w:ind w:firstLine="480"/>
              <w:jc w:val="both"/>
            </w:pPr>
            <w:r>
              <w:rPr>
                <w:rFonts w:ascii="仿宋_GB2312" w:hAnsi="仿宋_GB2312" w:cs="仿宋_GB2312" w:eastAsia="仿宋_GB2312"/>
                <w:sz w:val="24"/>
              </w:rPr>
              <w:t>3.1.2图解法是利用量取界址点之间、界址点与其邻近地物点的关系距离在图上确定界址点位置，界址点坐标可以在图上图解获得。图解法确定界址点位置的方法有平板仪法、图解交会法。</w:t>
            </w:r>
          </w:p>
          <w:p>
            <w:pPr>
              <w:pStyle w:val="null3"/>
              <w:ind w:firstLine="480"/>
              <w:jc w:val="both"/>
            </w:pPr>
            <w:r>
              <w:rPr>
                <w:rFonts w:ascii="仿宋_GB2312" w:hAnsi="仿宋_GB2312" w:cs="仿宋_GB2312" w:eastAsia="仿宋_GB2312"/>
                <w:sz w:val="24"/>
              </w:rPr>
              <w:t>3.2界址点平面位置精度见表14。</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14界址点精度指标及适用范围</w:t>
            </w:r>
          </w:p>
          <w:tbl>
            <w:tblPr>
              <w:tblInd w:type="dxa" w:w="345"/>
              <w:tblBorders>
                <w:top w:val="none" w:color="000000" w:sz="4"/>
                <w:left w:val="none" w:color="000000" w:sz="4"/>
                <w:bottom w:val="none" w:color="000000" w:sz="4"/>
                <w:right w:val="none" w:color="000000" w:sz="4"/>
                <w:insideH w:val="none"/>
                <w:insideV w:val="none"/>
              </w:tblBorders>
            </w:tblPr>
            <w:tblGrid>
              <w:gridCol w:w="456"/>
              <w:gridCol w:w="806"/>
              <w:gridCol w:w="745"/>
              <w:gridCol w:w="1019"/>
              <w:gridCol w:w="989"/>
              <w:gridCol w:w="1582"/>
            </w:tblGrid>
            <w:tr>
              <w:tc>
                <w:tcPr>
                  <w:tcW w:type="dxa" w:w="4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155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界址点对邻近图、</w:t>
                  </w:r>
                  <w:r>
                    <w:rPr>
                      <w:rFonts w:ascii="仿宋_GB2312" w:hAnsi="仿宋_GB2312" w:cs="仿宋_GB2312" w:eastAsia="仿宋_GB2312"/>
                      <w:sz w:val="24"/>
                    </w:rPr>
                    <w:t>根点点位误差（</w:t>
                  </w:r>
                  <w:r>
                    <w:rPr>
                      <w:rFonts w:ascii="仿宋_GB2312" w:hAnsi="仿宋_GB2312" w:cs="仿宋_GB2312" w:eastAsia="仿宋_GB2312"/>
                      <w:sz w:val="24"/>
                    </w:rPr>
                    <w:t>cm</w:t>
                  </w:r>
                </w:p>
              </w:tc>
              <w:tc>
                <w:tcPr>
                  <w:tcW w:type="dxa" w:w="10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界址点间距</w:t>
                  </w:r>
                </w:p>
                <w:p>
                  <w:pPr>
                    <w:pStyle w:val="null3"/>
                    <w:jc w:val="center"/>
                  </w:pPr>
                  <w:r>
                    <w:rPr>
                      <w:rFonts w:ascii="仿宋_GB2312" w:hAnsi="仿宋_GB2312" w:cs="仿宋_GB2312" w:eastAsia="仿宋_GB2312"/>
                      <w:sz w:val="24"/>
                    </w:rPr>
                    <w:t>）</w:t>
                  </w:r>
                </w:p>
                <w:p>
                  <w:pPr>
                    <w:pStyle w:val="null3"/>
                    <w:jc w:val="center"/>
                  </w:pPr>
                  <w:r>
                    <w:rPr>
                      <w:rFonts w:ascii="仿宋_GB2312" w:hAnsi="仿宋_GB2312" w:cs="仿宋_GB2312" w:eastAsia="仿宋_GB2312"/>
                      <w:sz w:val="24"/>
                    </w:rPr>
                    <w:t>允许误差</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cm）</w:t>
                  </w:r>
                </w:p>
              </w:tc>
              <w:tc>
                <w:tcPr>
                  <w:tcW w:type="dxa" w:w="9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界址点与邻近</w:t>
                  </w:r>
                  <w:r>
                    <w:rPr>
                      <w:rFonts w:ascii="仿宋_GB2312" w:hAnsi="仿宋_GB2312" w:cs="仿宋_GB2312" w:eastAsia="仿宋_GB2312"/>
                      <w:sz w:val="24"/>
                    </w:rPr>
                    <w:t>地</w:t>
                  </w:r>
                  <w:r>
                    <w:rPr>
                      <w:rFonts w:ascii="仿宋_GB2312" w:hAnsi="仿宋_GB2312" w:cs="仿宋_GB2312" w:eastAsia="仿宋_GB2312"/>
                      <w:sz w:val="24"/>
                    </w:rPr>
                    <w:t>物</w:t>
                  </w:r>
                  <w:r>
                    <w:rPr>
                      <w:rFonts w:ascii="仿宋_GB2312" w:hAnsi="仿宋_GB2312" w:cs="仿宋_GB2312" w:eastAsia="仿宋_GB2312"/>
                      <w:sz w:val="24"/>
                    </w:rPr>
                    <w:t>点</w:t>
                  </w:r>
                  <w:r>
                    <w:rPr>
                      <w:rFonts w:ascii="仿宋_GB2312" w:hAnsi="仿宋_GB2312" w:cs="仿宋_GB2312" w:eastAsia="仿宋_GB2312"/>
                      <w:sz w:val="24"/>
                    </w:rPr>
                    <w:t>关</w:t>
                  </w:r>
                  <w:r>
                    <w:rPr>
                      <w:rFonts w:ascii="仿宋_GB2312" w:hAnsi="仿宋_GB2312" w:cs="仿宋_GB2312" w:eastAsia="仿宋_GB2312"/>
                      <w:sz w:val="24"/>
                    </w:rPr>
                    <w:t>系</w:t>
                  </w:r>
                  <w:r>
                    <w:rPr>
                      <w:rFonts w:ascii="仿宋_GB2312" w:hAnsi="仿宋_GB2312" w:cs="仿宋_GB2312" w:eastAsia="仿宋_GB2312"/>
                      <w:sz w:val="24"/>
                    </w:rPr>
                    <w:t>距</w:t>
                  </w:r>
                  <w:r>
                    <w:rPr>
                      <w:rFonts w:ascii="仿宋_GB2312" w:hAnsi="仿宋_GB2312" w:cs="仿宋_GB2312" w:eastAsia="仿宋_GB2312"/>
                      <w:sz w:val="24"/>
                    </w:rPr>
                    <w:t>离</w:t>
                  </w:r>
                </w:p>
                <w:p>
                  <w:pPr>
                    <w:pStyle w:val="null3"/>
                    <w:jc w:val="center"/>
                  </w:pPr>
                  <w:r>
                    <w:rPr>
                      <w:rFonts w:ascii="仿宋_GB2312" w:hAnsi="仿宋_GB2312" w:cs="仿宋_GB2312" w:eastAsia="仿宋_GB2312"/>
                      <w:sz w:val="24"/>
                    </w:rPr>
                    <w:t>允许误差（</w:t>
                  </w:r>
                  <w:r>
                    <w:rPr>
                      <w:rFonts w:ascii="仿宋_GB2312" w:hAnsi="仿宋_GB2312" w:cs="仿宋_GB2312" w:eastAsia="仿宋_GB2312"/>
                      <w:sz w:val="24"/>
                    </w:rPr>
                    <w:t>cm</w:t>
                  </w:r>
                </w:p>
              </w:tc>
              <w:tc>
                <w:tcPr>
                  <w:tcW w:type="dxa" w:w="15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适用范围</w:t>
                  </w:r>
                </w:p>
                <w:p>
                  <w:pPr>
                    <w:pStyle w:val="null3"/>
                    <w:jc w:val="center"/>
                  </w:pPr>
                  <w:r>
                    <w:rPr>
                      <w:rFonts w:ascii="仿宋_GB2312" w:hAnsi="仿宋_GB2312" w:cs="仿宋_GB2312" w:eastAsia="仿宋_GB2312"/>
                      <w:sz w:val="24"/>
                    </w:rPr>
                    <w:t>）</w:t>
                  </w:r>
                </w:p>
              </w:tc>
            </w:tr>
            <w:tr>
              <w:tc>
                <w:tcPr>
                  <w:tcW w:type="dxa" w:w="456"/>
                  <w:vMerge/>
                  <w:tcBorders>
                    <w:top w:val="singl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中误差</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允许误差</w:t>
                  </w:r>
                </w:p>
              </w:tc>
              <w:tc>
                <w:tcPr>
                  <w:tcW w:type="dxa" w:w="1019"/>
                  <w:vMerge/>
                  <w:tcBorders>
                    <w:top w:val="single" w:color="000000" w:sz="4"/>
                    <w:left w:val="single" w:color="000000" w:sz="4"/>
                    <w:bottom w:val="single" w:color="000000" w:sz="4"/>
                    <w:right w:val="single" w:color="000000" w:sz="4"/>
                  </w:tcBorders>
                </w:tcPr>
                <w:p/>
              </w:tc>
              <w:tc>
                <w:tcPr>
                  <w:tcW w:type="dxa" w:w="989"/>
                  <w:vMerge/>
                  <w:tcBorders>
                    <w:top w:val="single" w:color="000000" w:sz="4"/>
                    <w:left w:val="single" w:color="000000" w:sz="4"/>
                    <w:bottom w:val="single" w:color="000000" w:sz="4"/>
                    <w:right w:val="single" w:color="000000" w:sz="4"/>
                  </w:tcBorders>
                </w:tcPr>
                <w:p/>
              </w:tc>
              <w:tc>
                <w:tcPr>
                  <w:tcW w:type="dxa" w:w="1582"/>
                  <w:vMerge/>
                  <w:tcBorders>
                    <w:top w:val="single" w:color="000000" w:sz="4"/>
                    <w:left w:val="single" w:color="000000" w:sz="4"/>
                    <w:bottom w:val="single" w:color="000000" w:sz="4"/>
                    <w:right w:val="single" w:color="000000" w:sz="4"/>
                  </w:tcBorders>
                </w:tc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城镇街坊外围界址点及</w:t>
                  </w:r>
                  <w:r>
                    <w:rPr>
                      <w:rFonts w:ascii="仿宋_GB2312" w:hAnsi="仿宋_GB2312" w:cs="仿宋_GB2312" w:eastAsia="仿宋_GB2312"/>
                      <w:sz w:val="24"/>
                    </w:rPr>
                    <w:t>街坊内明显的界址点</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城镇街坊内部隐蔽的界</w:t>
                  </w:r>
                  <w:r>
                    <w:rPr>
                      <w:rFonts w:ascii="仿宋_GB2312" w:hAnsi="仿宋_GB2312" w:cs="仿宋_GB2312" w:eastAsia="仿宋_GB2312"/>
                      <w:sz w:val="24"/>
                    </w:rPr>
                    <w:t>址点及村庄内部的界址</w:t>
                  </w:r>
                  <w:r>
                    <w:rPr>
                      <w:rFonts w:ascii="仿宋_GB2312" w:hAnsi="仿宋_GB2312" w:cs="仿宋_GB2312" w:eastAsia="仿宋_GB2312"/>
                      <w:sz w:val="24"/>
                    </w:rPr>
                    <w:t>点</w:t>
                  </w:r>
                </w:p>
              </w:tc>
            </w:tr>
          </w:tbl>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测绘地籍图</w:t>
            </w:r>
          </w:p>
          <w:p>
            <w:pPr>
              <w:pStyle w:val="null3"/>
              <w:ind w:firstLine="480"/>
              <w:jc w:val="both"/>
            </w:pPr>
            <w:r>
              <w:rPr>
                <w:rFonts w:ascii="仿宋_GB2312" w:hAnsi="仿宋_GB2312" w:cs="仿宋_GB2312" w:eastAsia="仿宋_GB2312"/>
                <w:sz w:val="24"/>
              </w:rPr>
              <w:t>4.1地籍图的内容 地籍图内容主要包括数学基础、地籍要素、地物要素和有关的土地利用要素等。</w:t>
            </w:r>
          </w:p>
          <w:p>
            <w:pPr>
              <w:pStyle w:val="null3"/>
              <w:ind w:firstLine="480"/>
              <w:jc w:val="both"/>
            </w:pPr>
            <w:r>
              <w:rPr>
                <w:rFonts w:ascii="仿宋_GB2312" w:hAnsi="仿宋_GB2312" w:cs="仿宋_GB2312" w:eastAsia="仿宋_GB2312"/>
                <w:sz w:val="24"/>
              </w:rPr>
              <w:t>4.1.1</w:t>
            </w:r>
            <w:r>
              <w:rPr>
                <w:rFonts w:ascii="仿宋_GB2312" w:hAnsi="仿宋_GB2312" w:cs="仿宋_GB2312" w:eastAsia="仿宋_GB2312"/>
                <w:sz w:val="24"/>
              </w:rPr>
              <w:t>数学基础数学基础包括平面坐标系、高程基准、内外图廓线、坐标格网及注记、控制点及注记、比例尺、图幅编号与注记等。</w:t>
            </w:r>
          </w:p>
          <w:p>
            <w:pPr>
              <w:pStyle w:val="null3"/>
              <w:ind w:firstLine="480"/>
              <w:jc w:val="both"/>
            </w:pPr>
            <w:r>
              <w:rPr>
                <w:rFonts w:ascii="仿宋_GB2312" w:hAnsi="仿宋_GB2312" w:cs="仿宋_GB2312" w:eastAsia="仿宋_GB2312"/>
                <w:sz w:val="24"/>
              </w:rPr>
              <w:t>4.1.2</w:t>
            </w:r>
            <w:r>
              <w:rPr>
                <w:rFonts w:ascii="仿宋_GB2312" w:hAnsi="仿宋_GB2312" w:cs="仿宋_GB2312" w:eastAsia="仿宋_GB2312"/>
                <w:sz w:val="24"/>
              </w:rPr>
              <w:t>地籍要素</w:t>
            </w:r>
          </w:p>
          <w:p>
            <w:pPr>
              <w:pStyle w:val="null3"/>
              <w:ind w:firstLine="480"/>
              <w:jc w:val="both"/>
            </w:pPr>
            <w:r>
              <w:rPr>
                <w:rFonts w:ascii="仿宋_GB2312" w:hAnsi="仿宋_GB2312" w:cs="仿宋_GB2312" w:eastAsia="仿宋_GB2312"/>
                <w:sz w:val="24"/>
              </w:rPr>
              <w:t>a、各级行政界线。省界、市界、县（市、区）界、乡（镇）界、街道界，当各级行政界线重合时，只表示高级界线。</w:t>
            </w:r>
          </w:p>
          <w:p>
            <w:pPr>
              <w:pStyle w:val="null3"/>
              <w:ind w:firstLine="480"/>
              <w:jc w:val="both"/>
            </w:pPr>
            <w:r>
              <w:rPr>
                <w:rFonts w:ascii="仿宋_GB2312" w:hAnsi="仿宋_GB2312" w:cs="仿宋_GB2312" w:eastAsia="仿宋_GB2312"/>
                <w:sz w:val="24"/>
              </w:rPr>
              <w:t>b、权属界线。宗地界址点、界址线、地籍街坊界线（村街坊）、城乡结合部国有土地使用权和集体土地所有权界。</w:t>
            </w:r>
          </w:p>
          <w:p>
            <w:pPr>
              <w:pStyle w:val="null3"/>
              <w:ind w:firstLine="480"/>
              <w:jc w:val="both"/>
            </w:pPr>
            <w:r>
              <w:rPr>
                <w:rFonts w:ascii="仿宋_GB2312" w:hAnsi="仿宋_GB2312" w:cs="仿宋_GB2312" w:eastAsia="仿宋_GB2312"/>
                <w:sz w:val="24"/>
              </w:rPr>
              <w:t>c、地籍号。区（县）编号、街道（乡、镇）号、街坊（村）号、宗地号。</w:t>
            </w:r>
          </w:p>
          <w:p>
            <w:pPr>
              <w:pStyle w:val="null3"/>
              <w:ind w:firstLine="480"/>
              <w:jc w:val="both"/>
            </w:pPr>
            <w:r>
              <w:rPr>
                <w:rFonts w:ascii="仿宋_GB2312" w:hAnsi="仿宋_GB2312" w:cs="仿宋_GB2312" w:eastAsia="仿宋_GB2312"/>
                <w:sz w:val="24"/>
              </w:rPr>
              <w:t>d、地类。按照《土地利用分类标准（报批稿）》规定土地利用类别码注记。</w:t>
            </w:r>
          </w:p>
          <w:p>
            <w:pPr>
              <w:pStyle w:val="null3"/>
              <w:ind w:firstLine="480"/>
              <w:jc w:val="both"/>
            </w:pPr>
            <w:r>
              <w:rPr>
                <w:rFonts w:ascii="仿宋_GB2312" w:hAnsi="仿宋_GB2312" w:cs="仿宋_GB2312" w:eastAsia="仿宋_GB2312"/>
                <w:sz w:val="24"/>
              </w:rPr>
              <w:t>e、宗地座落。包括行政区名、道路名（地名）、门牌号等。</w:t>
            </w:r>
          </w:p>
          <w:p>
            <w:pPr>
              <w:pStyle w:val="null3"/>
              <w:ind w:firstLine="480"/>
              <w:jc w:val="both"/>
            </w:pPr>
            <w:r>
              <w:rPr>
                <w:rFonts w:ascii="仿宋_GB2312" w:hAnsi="仿宋_GB2312" w:cs="仿宋_GB2312" w:eastAsia="仿宋_GB2312"/>
                <w:sz w:val="24"/>
              </w:rPr>
              <w:t>f、土地使用者或所有者。宗地内能注记得下的权属单位名称应注记，个人用地可不注记。</w:t>
            </w:r>
          </w:p>
          <w:p>
            <w:pPr>
              <w:pStyle w:val="null3"/>
              <w:ind w:left="480"/>
              <w:jc w:val="both"/>
            </w:pPr>
            <w:r>
              <w:rPr>
                <w:rFonts w:ascii="仿宋_GB2312" w:hAnsi="仿宋_GB2312" w:cs="仿宋_GB2312" w:eastAsia="仿宋_GB2312"/>
                <w:sz w:val="24"/>
              </w:rPr>
              <w:t>g、宗地面积。标准分幅地籍图上不注记宗地面积。 4.1.3地物要素</w:t>
            </w:r>
          </w:p>
          <w:p>
            <w:pPr>
              <w:pStyle w:val="null3"/>
              <w:ind w:firstLine="480"/>
              <w:jc w:val="both"/>
            </w:pPr>
            <w:r>
              <w:rPr>
                <w:rFonts w:ascii="仿宋_GB2312" w:hAnsi="仿宋_GB2312" w:cs="仿宋_GB2312" w:eastAsia="仿宋_GB2312"/>
                <w:sz w:val="24"/>
              </w:rPr>
              <w:t>4.1.3.1建筑物、构筑物</w:t>
            </w:r>
          </w:p>
          <w:p>
            <w:pPr>
              <w:pStyle w:val="null3"/>
              <w:ind w:firstLine="480"/>
              <w:jc w:val="both"/>
            </w:pPr>
            <w:r>
              <w:rPr>
                <w:rFonts w:ascii="仿宋_GB2312" w:hAnsi="仿宋_GB2312" w:cs="仿宋_GB2312" w:eastAsia="仿宋_GB2312"/>
                <w:sz w:val="24"/>
              </w:rPr>
              <w:t>a．实地面积大于等于6m</w:t>
            </w:r>
            <w:r>
              <w:rPr>
                <w:rFonts w:ascii="仿宋_GB2312" w:hAnsi="仿宋_GB2312" w:cs="仿宋_GB2312" w:eastAsia="仿宋_GB2312"/>
                <w:sz w:val="28"/>
              </w:rPr>
              <w:t>2</w:t>
            </w:r>
            <w:r>
              <w:rPr>
                <w:rFonts w:ascii="仿宋_GB2312" w:hAnsi="仿宋_GB2312" w:cs="仿宋_GB2312" w:eastAsia="仿宋_GB2312"/>
                <w:sz w:val="24"/>
              </w:rPr>
              <w:t xml:space="preserve"> </w:t>
            </w:r>
            <w:r>
              <w:rPr>
                <w:rFonts w:ascii="仿宋_GB2312" w:hAnsi="仿宋_GB2312" w:cs="仿宋_GB2312" w:eastAsia="仿宋_GB2312"/>
                <w:sz w:val="24"/>
              </w:rPr>
              <w:t>的固定建筑物、构筑物的位置和占地情况。</w:t>
            </w:r>
          </w:p>
          <w:p>
            <w:pPr>
              <w:pStyle w:val="null3"/>
              <w:ind w:firstLine="480"/>
              <w:jc w:val="both"/>
            </w:pPr>
            <w:r>
              <w:rPr>
                <w:rFonts w:ascii="仿宋_GB2312" w:hAnsi="仿宋_GB2312" w:cs="仿宋_GB2312" w:eastAsia="仿宋_GB2312"/>
                <w:sz w:val="24"/>
              </w:rPr>
              <w:t>b. 固定的永久性建筑物要测绘其占地状况，在建筑物右上角用分数形式标注层数和结构，即12/2，分子为层数，分母为建筑物结构代码，见表16，同一栋建筑物层数不同 的应分别标注。层高低于2.20m 的不作为一层。</w:t>
            </w:r>
          </w:p>
          <w:p>
            <w:pPr>
              <w:pStyle w:val="null3"/>
              <w:ind w:firstLine="480"/>
              <w:jc w:val="center"/>
            </w:pPr>
            <w:r>
              <w:rPr>
                <w:rFonts w:ascii="仿宋_GB2312" w:hAnsi="仿宋_GB2312" w:cs="仿宋_GB2312" w:eastAsia="仿宋_GB2312"/>
                <w:sz w:val="24"/>
              </w:rPr>
              <w:t>表</w:t>
            </w:r>
            <w:r>
              <w:rPr>
                <w:rFonts w:ascii="仿宋_GB2312" w:hAnsi="仿宋_GB2312" w:cs="仿宋_GB2312" w:eastAsia="仿宋_GB2312"/>
                <w:sz w:val="24"/>
              </w:rPr>
              <w:t>16建筑物结构分类及其代码</w:t>
            </w:r>
          </w:p>
          <w:tbl>
            <w:tblPr>
              <w:tblInd w:type="dxa" w:w="345"/>
              <w:tblBorders>
                <w:top w:val="none" w:color="000000" w:sz="4"/>
                <w:left w:val="none" w:color="000000" w:sz="4"/>
                <w:bottom w:val="none" w:color="000000" w:sz="4"/>
                <w:right w:val="none" w:color="000000" w:sz="4"/>
                <w:insideH w:val="none"/>
                <w:insideV w:val="none"/>
              </w:tblBorders>
            </w:tblPr>
            <w:tblGrid>
              <w:gridCol w:w="923"/>
              <w:gridCol w:w="744"/>
              <w:gridCol w:w="878"/>
              <w:gridCol w:w="818"/>
              <w:gridCol w:w="729"/>
              <w:gridCol w:w="759"/>
              <w:gridCol w:w="684"/>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结构分类</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钢结构</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钢和钢筋混</w:t>
                  </w:r>
                  <w:r>
                    <w:rPr>
                      <w:rFonts w:ascii="仿宋_GB2312" w:hAnsi="仿宋_GB2312" w:cs="仿宋_GB2312" w:eastAsia="仿宋_GB2312"/>
                      <w:sz w:val="24"/>
                    </w:rPr>
                    <w:t>凝土</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钢筋混凝土</w:t>
                  </w:r>
                </w:p>
              </w:tc>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混合结构</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砖木结构</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其他结构</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缩写</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钢、钢</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钢混</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混合</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砖木</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代码</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bl>
          <w:p>
            <w:pPr>
              <w:pStyle w:val="null3"/>
              <w:ind w:firstLine="480"/>
              <w:jc w:val="both"/>
            </w:pPr>
            <w:r>
              <w:rPr>
                <w:rFonts w:ascii="仿宋_GB2312" w:hAnsi="仿宋_GB2312" w:cs="仿宋_GB2312" w:eastAsia="仿宋_GB2312"/>
                <w:sz w:val="24"/>
              </w:rPr>
              <w:t>c．实地占地面积大于 6m2 的台阶、有柱雨蓬、花坛、花池等应表示，不落地的阳台、 雨蓬不表示；</w:t>
            </w:r>
          </w:p>
          <w:p>
            <w:pPr>
              <w:pStyle w:val="null3"/>
              <w:ind w:firstLine="480"/>
              <w:jc w:val="both"/>
            </w:pPr>
            <w:r>
              <w:rPr>
                <w:rFonts w:ascii="仿宋_GB2312" w:hAnsi="仿宋_GB2312" w:cs="仿宋_GB2312" w:eastAsia="仿宋_GB2312"/>
                <w:sz w:val="24"/>
              </w:rPr>
              <w:t>d．建筑物外围小于50cm×50cm 的装饰性细部（如墙面外砖柱）可舍去；</w:t>
            </w:r>
          </w:p>
          <w:p>
            <w:pPr>
              <w:pStyle w:val="null3"/>
              <w:ind w:firstLine="480"/>
              <w:jc w:val="both"/>
            </w:pPr>
            <w:r>
              <w:rPr>
                <w:rFonts w:ascii="仿宋_GB2312" w:hAnsi="仿宋_GB2312" w:cs="仿宋_GB2312" w:eastAsia="仿宋_GB2312"/>
                <w:sz w:val="24"/>
              </w:rPr>
              <w:t>e．室外扶梯、楼梯等允许包括在建筑内，不落地的可舍去；</w:t>
            </w:r>
          </w:p>
          <w:p>
            <w:pPr>
              <w:pStyle w:val="null3"/>
              <w:ind w:firstLine="480"/>
              <w:jc w:val="both"/>
            </w:pPr>
            <w:r>
              <w:rPr>
                <w:rFonts w:ascii="仿宋_GB2312" w:hAnsi="仿宋_GB2312" w:cs="仿宋_GB2312" w:eastAsia="仿宋_GB2312"/>
                <w:sz w:val="24"/>
              </w:rPr>
              <w:t>g．建筑群内井式建筑中大于 6m</w:t>
            </w:r>
            <w:r>
              <w:rPr>
                <w:rFonts w:ascii="仿宋_GB2312" w:hAnsi="仿宋_GB2312" w:cs="仿宋_GB2312" w:eastAsia="仿宋_GB2312"/>
                <w:sz w:val="28"/>
              </w:rPr>
              <w:t>2</w:t>
            </w:r>
            <w:r>
              <w:rPr>
                <w:rFonts w:ascii="仿宋_GB2312" w:hAnsi="仿宋_GB2312" w:cs="仿宋_GB2312" w:eastAsia="仿宋_GB2312"/>
                <w:sz w:val="24"/>
              </w:rPr>
              <w:t xml:space="preserve"> </w:t>
            </w:r>
            <w:r>
              <w:rPr>
                <w:rFonts w:ascii="仿宋_GB2312" w:hAnsi="仿宋_GB2312" w:cs="仿宋_GB2312" w:eastAsia="仿宋_GB2312"/>
                <w:sz w:val="24"/>
              </w:rPr>
              <w:t>的天井或院子须表示；</w:t>
            </w:r>
          </w:p>
          <w:p>
            <w:pPr>
              <w:pStyle w:val="null3"/>
              <w:ind w:firstLine="480"/>
              <w:jc w:val="both"/>
            </w:pPr>
            <w:r>
              <w:rPr>
                <w:rFonts w:ascii="仿宋_GB2312" w:hAnsi="仿宋_GB2312" w:cs="仿宋_GB2312" w:eastAsia="仿宋_GB2312"/>
                <w:sz w:val="24"/>
              </w:rPr>
              <w:t>h．非永久性建筑物、构筑物不表示；</w:t>
            </w:r>
          </w:p>
          <w:p>
            <w:pPr>
              <w:pStyle w:val="null3"/>
              <w:ind w:firstLine="480"/>
              <w:jc w:val="both"/>
            </w:pPr>
            <w:r>
              <w:rPr>
                <w:rFonts w:ascii="仿宋_GB2312" w:hAnsi="仿宋_GB2312" w:cs="仿宋_GB2312" w:eastAsia="仿宋_GB2312"/>
                <w:sz w:val="24"/>
              </w:rPr>
              <w:t>i．城墙及垣栅应表示；</w:t>
            </w:r>
          </w:p>
          <w:p>
            <w:pPr>
              <w:pStyle w:val="null3"/>
              <w:ind w:firstLine="480"/>
              <w:jc w:val="both"/>
            </w:pPr>
            <w:r>
              <w:rPr>
                <w:rFonts w:ascii="仿宋_GB2312" w:hAnsi="仿宋_GB2312" w:cs="仿宋_GB2312" w:eastAsia="仿宋_GB2312"/>
                <w:sz w:val="24"/>
              </w:rPr>
              <w:t>4.1.3.2道路</w:t>
            </w:r>
          </w:p>
          <w:p>
            <w:pPr>
              <w:pStyle w:val="null3"/>
              <w:ind w:firstLine="480"/>
              <w:jc w:val="both"/>
            </w:pPr>
            <w:r>
              <w:rPr>
                <w:rFonts w:ascii="仿宋_GB2312" w:hAnsi="仿宋_GB2312" w:cs="仿宋_GB2312" w:eastAsia="仿宋_GB2312"/>
                <w:sz w:val="24"/>
              </w:rPr>
              <w:t>a．道路以两旁宗地界址线为界。道牙石线是界址线的要表示，不是界址线的酌情表示；</w:t>
            </w:r>
          </w:p>
          <w:p>
            <w:pPr>
              <w:pStyle w:val="null3"/>
              <w:ind w:firstLine="480"/>
              <w:jc w:val="both"/>
            </w:pPr>
            <w:r>
              <w:rPr>
                <w:rFonts w:ascii="仿宋_GB2312" w:hAnsi="仿宋_GB2312" w:cs="仿宋_GB2312" w:eastAsia="仿宋_GB2312"/>
                <w:sz w:val="24"/>
              </w:rPr>
              <w:t>b．道路中间、两旁的小绿地、小花池、花坛、行树可不表示；</w:t>
            </w:r>
          </w:p>
          <w:p>
            <w:pPr>
              <w:pStyle w:val="null3"/>
              <w:ind w:firstLine="480"/>
              <w:jc w:val="both"/>
            </w:pPr>
            <w:r>
              <w:rPr>
                <w:rFonts w:ascii="仿宋_GB2312" w:hAnsi="仿宋_GB2312" w:cs="仿宋_GB2312" w:eastAsia="仿宋_GB2312"/>
                <w:sz w:val="24"/>
              </w:rPr>
              <w:t>c．道路附属物、里程碑、指路牌不表示；</w:t>
            </w:r>
          </w:p>
          <w:p>
            <w:pPr>
              <w:pStyle w:val="null3"/>
              <w:ind w:firstLine="480"/>
              <w:jc w:val="both"/>
            </w:pPr>
            <w:r>
              <w:rPr>
                <w:rFonts w:ascii="仿宋_GB2312" w:hAnsi="仿宋_GB2312" w:cs="仿宋_GB2312" w:eastAsia="仿宋_GB2312"/>
                <w:sz w:val="24"/>
              </w:rPr>
              <w:t>d．桥梁（立交桥）、大型涵洞、隧道用相应符号表示，且须符合投影原理；</w:t>
            </w:r>
          </w:p>
          <w:p>
            <w:pPr>
              <w:pStyle w:val="null3"/>
              <w:ind w:firstLine="480"/>
              <w:jc w:val="both"/>
            </w:pPr>
            <w:r>
              <w:rPr>
                <w:rFonts w:ascii="仿宋_GB2312" w:hAnsi="仿宋_GB2312" w:cs="仿宋_GB2312" w:eastAsia="仿宋_GB2312"/>
                <w:sz w:val="24"/>
              </w:rPr>
              <w:t>e．地下道路、架空道路用相应符号表示；</w:t>
            </w:r>
          </w:p>
          <w:p>
            <w:pPr>
              <w:pStyle w:val="null3"/>
              <w:ind w:firstLine="480"/>
              <w:jc w:val="both"/>
            </w:pPr>
            <w:r>
              <w:rPr>
                <w:rFonts w:ascii="仿宋_GB2312" w:hAnsi="仿宋_GB2312" w:cs="仿宋_GB2312" w:eastAsia="仿宋_GB2312"/>
                <w:sz w:val="24"/>
              </w:rPr>
              <w:t>f．郊区道路若有确切的界址线的，必须在图上标明，并表示出路肩线。</w:t>
            </w:r>
          </w:p>
          <w:p>
            <w:pPr>
              <w:pStyle w:val="null3"/>
              <w:ind w:firstLine="480"/>
              <w:jc w:val="both"/>
            </w:pPr>
            <w:r>
              <w:rPr>
                <w:rFonts w:ascii="仿宋_GB2312" w:hAnsi="仿宋_GB2312" w:cs="仿宋_GB2312" w:eastAsia="仿宋_GB2312"/>
                <w:sz w:val="24"/>
              </w:rPr>
              <w:t>4.1.3.3水系</w:t>
            </w:r>
          </w:p>
          <w:p>
            <w:pPr>
              <w:pStyle w:val="null3"/>
              <w:numPr>
                <w:ilvl w:val="0"/>
                <w:numId w:val="1"/>
              </w:numPr>
              <w:jc w:val="both"/>
            </w:pPr>
            <w:r>
              <w:rPr>
                <w:rFonts w:ascii="仿宋_GB2312" w:hAnsi="仿宋_GB2312" w:cs="仿宋_GB2312" w:eastAsia="仿宋_GB2312"/>
                <w:sz w:val="24"/>
              </w:rPr>
              <w:t>河流、湖泊、坑塘等水域以堤、岸为界绘出，有界址线的标明界址线和界址点；</w:t>
            </w:r>
          </w:p>
          <w:p>
            <w:pPr>
              <w:pStyle w:val="null3"/>
              <w:numPr>
                <w:ilvl w:val="0"/>
                <w:numId w:val="1"/>
              </w:numPr>
              <w:jc w:val="both"/>
            </w:pPr>
            <w:r>
              <w:rPr>
                <w:rFonts w:ascii="仿宋_GB2312" w:hAnsi="仿宋_GB2312" w:cs="仿宋_GB2312" w:eastAsia="仿宋_GB2312"/>
                <w:sz w:val="24"/>
              </w:rPr>
              <w:t>河流中线为界址线时，按实际河流中心标绘，当河道变迁时，界址线随之变迁；</w:t>
            </w:r>
          </w:p>
          <w:p>
            <w:pPr>
              <w:pStyle w:val="null3"/>
              <w:ind w:firstLine="480"/>
              <w:jc w:val="both"/>
            </w:pPr>
            <w:r>
              <w:rPr>
                <w:rFonts w:ascii="仿宋_GB2312" w:hAnsi="仿宋_GB2312" w:cs="仿宋_GB2312" w:eastAsia="仿宋_GB2312"/>
                <w:sz w:val="24"/>
              </w:rPr>
              <w:t>c．地下河流、地下排水沟不表示；</w:t>
            </w:r>
          </w:p>
          <w:p>
            <w:pPr>
              <w:pStyle w:val="null3"/>
              <w:ind w:firstLine="480"/>
              <w:jc w:val="both"/>
            </w:pPr>
            <w:r>
              <w:rPr>
                <w:rFonts w:ascii="仿宋_GB2312" w:hAnsi="仿宋_GB2312" w:cs="仿宋_GB2312" w:eastAsia="仿宋_GB2312"/>
                <w:sz w:val="24"/>
              </w:rPr>
              <w:t>4.1.3.4地貌</w:t>
            </w:r>
          </w:p>
          <w:p>
            <w:pPr>
              <w:pStyle w:val="null3"/>
              <w:ind w:firstLine="480"/>
              <w:jc w:val="both"/>
            </w:pPr>
            <w:r>
              <w:rPr>
                <w:rFonts w:ascii="仿宋_GB2312" w:hAnsi="仿宋_GB2312" w:cs="仿宋_GB2312" w:eastAsia="仿宋_GB2312"/>
                <w:sz w:val="24"/>
              </w:rPr>
              <w:t>a．地籍图上不用等高线表示地貌。</w:t>
            </w:r>
          </w:p>
          <w:p>
            <w:pPr>
              <w:pStyle w:val="null3"/>
              <w:ind w:firstLine="480"/>
              <w:jc w:val="both"/>
            </w:pPr>
            <w:r>
              <w:rPr>
                <w:rFonts w:ascii="仿宋_GB2312" w:hAnsi="仿宋_GB2312" w:cs="仿宋_GB2312" w:eastAsia="仿宋_GB2312"/>
                <w:sz w:val="24"/>
              </w:rPr>
              <w:t>b．山区、丘陵区须表示大面积斜坡、陡坎、路堑、路堤、台阶路时，可适当注记台 地、低地、道路交叉口、大面积农地等处的散点高程。</w:t>
            </w:r>
          </w:p>
          <w:p>
            <w:pPr>
              <w:pStyle w:val="null3"/>
              <w:ind w:firstLine="480"/>
              <w:jc w:val="both"/>
            </w:pPr>
            <w:r>
              <w:rPr>
                <w:rFonts w:ascii="仿宋_GB2312" w:hAnsi="仿宋_GB2312" w:cs="仿宋_GB2312" w:eastAsia="仿宋_GB2312"/>
                <w:sz w:val="24"/>
              </w:rPr>
              <w:t>4.1.3.5土壤植被 a．公园及各宗地外大面积绿化地、街心花园、城乡结合部的农田、园地等用土壤、植被符号表示；</w:t>
            </w:r>
          </w:p>
          <w:p>
            <w:pPr>
              <w:pStyle w:val="null3"/>
              <w:ind w:firstLine="480"/>
              <w:jc w:val="both"/>
            </w:pPr>
            <w:r>
              <w:rPr>
                <w:rFonts w:ascii="仿宋_GB2312" w:hAnsi="仿宋_GB2312" w:cs="仿宋_GB2312" w:eastAsia="仿宋_GB2312"/>
                <w:sz w:val="24"/>
              </w:rPr>
              <w:t>b．宗地内的绿地、花坛、零星植被可不表示。</w:t>
            </w:r>
          </w:p>
          <w:p>
            <w:pPr>
              <w:pStyle w:val="null3"/>
              <w:ind w:firstLine="480"/>
              <w:jc w:val="both"/>
            </w:pPr>
            <w:r>
              <w:rPr>
                <w:rFonts w:ascii="仿宋_GB2312" w:hAnsi="仿宋_GB2312" w:cs="仿宋_GB2312" w:eastAsia="仿宋_GB2312"/>
                <w:sz w:val="24"/>
              </w:rPr>
              <w:t>4.1.3.6其它</w:t>
            </w:r>
          </w:p>
          <w:p>
            <w:pPr>
              <w:pStyle w:val="null3"/>
              <w:numPr>
                <w:ilvl w:val="0"/>
                <w:numId w:val="1"/>
              </w:numPr>
              <w:jc w:val="both"/>
            </w:pPr>
            <w:r>
              <w:rPr>
                <w:rFonts w:ascii="仿宋_GB2312" w:hAnsi="仿宋_GB2312" w:cs="仿宋_GB2312" w:eastAsia="仿宋_GB2312"/>
                <w:sz w:val="24"/>
              </w:rPr>
              <w:t>一般电力线不表示，但</w:t>
            </w:r>
            <w:r>
              <w:rPr>
                <w:rFonts w:ascii="仿宋_GB2312" w:hAnsi="仿宋_GB2312" w:cs="仿宋_GB2312" w:eastAsia="仿宋_GB2312"/>
                <w:sz w:val="24"/>
              </w:rPr>
              <w:t>35KV 以上高压线及塔位应表示；</w:t>
            </w:r>
          </w:p>
          <w:p>
            <w:pPr>
              <w:pStyle w:val="null3"/>
              <w:numPr>
                <w:ilvl w:val="0"/>
                <w:numId w:val="1"/>
              </w:numPr>
              <w:jc w:val="both"/>
            </w:pPr>
            <w:r>
              <w:rPr>
                <w:rFonts w:ascii="仿宋_GB2312" w:hAnsi="仿宋_GB2312" w:cs="仿宋_GB2312" w:eastAsia="仿宋_GB2312"/>
                <w:sz w:val="24"/>
              </w:rPr>
              <w:t>通讯线、架空管线一般不表示，但与土地他项权利有关时应表示；</w:t>
            </w:r>
          </w:p>
          <w:p>
            <w:pPr>
              <w:pStyle w:val="null3"/>
              <w:ind w:firstLine="480"/>
              <w:jc w:val="both"/>
            </w:pPr>
            <w:r>
              <w:rPr>
                <w:rFonts w:ascii="仿宋_GB2312" w:hAnsi="仿宋_GB2312" w:cs="仿宋_GB2312" w:eastAsia="仿宋_GB2312"/>
                <w:sz w:val="24"/>
              </w:rPr>
              <w:t>c．地下室一般不表示，但与土地他项权利有关的大面积地下商场、地下停车场等应表示；</w:t>
            </w:r>
          </w:p>
          <w:p>
            <w:pPr>
              <w:pStyle w:val="null3"/>
              <w:ind w:firstLine="480"/>
              <w:jc w:val="both"/>
            </w:pPr>
            <w:r>
              <w:rPr>
                <w:rFonts w:ascii="仿宋_GB2312" w:hAnsi="仿宋_GB2312" w:cs="仿宋_GB2312" w:eastAsia="仿宋_GB2312"/>
                <w:sz w:val="24"/>
              </w:rPr>
              <w:t>d．宗地内部的次要道路、水塔、花坛、纪念碑及与权属界址无关的围墙可不表示，危险品仓库、保密车间应注记；</w:t>
            </w:r>
          </w:p>
          <w:p>
            <w:pPr>
              <w:pStyle w:val="null3"/>
              <w:ind w:firstLine="480"/>
              <w:jc w:val="both"/>
            </w:pPr>
            <w:r>
              <w:rPr>
                <w:rFonts w:ascii="仿宋_GB2312" w:hAnsi="仿宋_GB2312" w:cs="仿宋_GB2312" w:eastAsia="仿宋_GB2312"/>
                <w:sz w:val="24"/>
              </w:rPr>
              <w:t>e．农贸市场内的摊位、临时售货棚不表示。</w:t>
            </w:r>
          </w:p>
          <w:p>
            <w:pPr>
              <w:pStyle w:val="null3"/>
              <w:jc w:val="both"/>
            </w:pPr>
            <w:r>
              <w:rPr>
                <w:rFonts w:ascii="仿宋_GB2312" w:hAnsi="仿宋_GB2312" w:cs="仿宋_GB2312" w:eastAsia="仿宋_GB2312"/>
                <w:sz w:val="24"/>
              </w:rPr>
              <w:t>4.1.4土地利用情况</w:t>
            </w:r>
          </w:p>
          <w:p>
            <w:pPr>
              <w:pStyle w:val="null3"/>
              <w:ind w:firstLine="480"/>
              <w:jc w:val="both"/>
            </w:pPr>
            <w:r>
              <w:rPr>
                <w:rFonts w:ascii="仿宋_GB2312" w:hAnsi="仿宋_GB2312" w:cs="仿宋_GB2312" w:eastAsia="仿宋_GB2312"/>
                <w:sz w:val="24"/>
              </w:rPr>
              <w:t>闲置土地、空闲土地、低效使用土地、批而未供土地、供而未用土地按宗地调查，需要表示时，可分别用</w:t>
            </w:r>
            <w:r>
              <w:rPr>
                <w:rFonts w:ascii="仿宋_GB2312" w:hAnsi="仿宋_GB2312" w:cs="仿宋_GB2312" w:eastAsia="仿宋_GB2312"/>
                <w:sz w:val="24"/>
              </w:rPr>
              <w:t>x、k、d 、p、g 字母在图上标注在地类编码之后。</w:t>
            </w:r>
          </w:p>
          <w:p>
            <w:pPr>
              <w:pStyle w:val="null3"/>
              <w:ind w:firstLine="480"/>
              <w:jc w:val="both"/>
            </w:pPr>
            <w:r>
              <w:rPr>
                <w:rFonts w:ascii="仿宋_GB2312" w:hAnsi="仿宋_GB2312" w:cs="仿宋_GB2312" w:eastAsia="仿宋_GB2312"/>
                <w:sz w:val="24"/>
              </w:rPr>
              <w:t>4.1.5注记除地籍要素全部注记外，还应注记河流名称、地名、有特色的地物名称和有关的土地利用要素等。</w:t>
            </w:r>
          </w:p>
          <w:p>
            <w:pPr>
              <w:pStyle w:val="null3"/>
              <w:ind w:firstLine="480"/>
              <w:jc w:val="both"/>
            </w:pPr>
            <w:r>
              <w:rPr>
                <w:rFonts w:ascii="仿宋_GB2312" w:hAnsi="仿宋_GB2312" w:cs="仿宋_GB2312" w:eastAsia="仿宋_GB2312"/>
                <w:sz w:val="24"/>
              </w:rPr>
              <w:t>4.2城镇地籍图的平面位置精度指标（与图件比例尺相关的精度指标）见表17。</w:t>
            </w:r>
          </w:p>
          <w:p>
            <w:pPr>
              <w:pStyle w:val="null3"/>
              <w:ind w:firstLine="480"/>
              <w:jc w:val="center"/>
            </w:pPr>
            <w:r>
              <w:rPr>
                <w:rFonts w:ascii="仿宋_GB2312" w:hAnsi="仿宋_GB2312" w:cs="仿宋_GB2312" w:eastAsia="仿宋_GB2312"/>
                <w:sz w:val="24"/>
              </w:rPr>
              <w:t>表</w:t>
            </w:r>
            <w:r>
              <w:rPr>
                <w:rFonts w:ascii="仿宋_GB2312" w:hAnsi="仿宋_GB2312" w:cs="仿宋_GB2312" w:eastAsia="仿宋_GB2312"/>
                <w:sz w:val="24"/>
              </w:rPr>
              <w:t>17</w:t>
            </w:r>
            <w:r>
              <w:rPr>
                <w:rFonts w:ascii="仿宋_GB2312" w:hAnsi="仿宋_GB2312" w:cs="仿宋_GB2312" w:eastAsia="仿宋_GB2312"/>
                <w:sz w:val="24"/>
              </w:rPr>
              <w:t>地籍图平面位置精度指标</w:t>
            </w:r>
          </w:p>
          <w:tbl>
            <w:tblPr>
              <w:tblInd w:type="dxa" w:w="435"/>
              <w:tblBorders>
                <w:top w:val="none" w:color="000000" w:sz="4"/>
                <w:left w:val="none" w:color="000000" w:sz="4"/>
                <w:bottom w:val="none" w:color="000000" w:sz="4"/>
                <w:right w:val="none" w:color="000000" w:sz="4"/>
                <w:insideH w:val="none"/>
                <w:insideV w:val="none"/>
              </w:tblBorders>
            </w:tblPr>
            <w:tblGrid>
              <w:gridCol w:w="2973"/>
              <w:gridCol w:w="1077"/>
              <w:gridCol w:w="1032"/>
              <w:gridCol w:w="516"/>
            </w:tblGrid>
            <w:tr>
              <w:tc>
                <w:tcPr>
                  <w:tcW w:type="dxa" w:w="2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图上中误差</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mm）</w:t>
                  </w:r>
                </w:p>
              </w:tc>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图上允许误差</w:t>
                  </w:r>
                </w:p>
                <w:p>
                  <w:pPr>
                    <w:pStyle w:val="null3"/>
                    <w:jc w:val="center"/>
                  </w:pPr>
                  <w:r>
                    <w:rPr>
                      <w:rFonts w:ascii="仿宋_GB2312" w:hAnsi="仿宋_GB2312" w:cs="仿宋_GB2312" w:eastAsia="仿宋_GB2312"/>
                      <w:sz w:val="24"/>
                    </w:rPr>
                    <w:t>(mm)</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相邻界址点间距</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界址点与邻近地物点关系距离</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宗地内部与界址边不相邻地物点</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邻近地物点间距</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勘丈数据装绘界址点间距</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勘丈数据装绘界址点与邻近地物点关系距离</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内图廓边长误差</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内图廓对角线误差</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图廓点、控制点、坐标网点展点误差</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其它解析坐标点展点误差</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4.3地籍图的成图方法</w:t>
            </w:r>
          </w:p>
          <w:p>
            <w:pPr>
              <w:pStyle w:val="null3"/>
              <w:ind w:firstLine="480"/>
              <w:jc w:val="both"/>
            </w:pPr>
            <w:r>
              <w:rPr>
                <w:rFonts w:ascii="仿宋_GB2312" w:hAnsi="仿宋_GB2312" w:cs="仿宋_GB2312" w:eastAsia="仿宋_GB2312"/>
                <w:sz w:val="24"/>
              </w:rPr>
              <w:t>4.3.1解析法</w:t>
            </w:r>
            <w:r>
              <w:rPr>
                <w:rFonts w:ascii="仿宋_GB2312" w:hAnsi="仿宋_GB2312" w:cs="仿宋_GB2312" w:eastAsia="仿宋_GB2312"/>
                <w:sz w:val="24"/>
              </w:rPr>
              <w:t>：</w:t>
            </w:r>
            <w:r>
              <w:rPr>
                <w:rFonts w:ascii="仿宋_GB2312" w:hAnsi="仿宋_GB2312" w:cs="仿宋_GB2312" w:eastAsia="仿宋_GB2312"/>
                <w:sz w:val="24"/>
              </w:rPr>
              <w:t>以已知控制点为依据，根据野外测量的距离、角度等数据，解算出全部界址点坐标，并将解析界址点展绘在图上。以解析坐标和解析边长为基础，勘丈其它地籍要素的位置和几何图形，经宗地草图的勘丈数据检核后成地籍图。</w:t>
            </w:r>
          </w:p>
          <w:p>
            <w:pPr>
              <w:pStyle w:val="null3"/>
              <w:ind w:firstLine="480"/>
              <w:jc w:val="both"/>
            </w:pPr>
            <w:r>
              <w:rPr>
                <w:rFonts w:ascii="仿宋_GB2312" w:hAnsi="仿宋_GB2312" w:cs="仿宋_GB2312" w:eastAsia="仿宋_GB2312"/>
                <w:sz w:val="24"/>
              </w:rPr>
              <w:t>4.3.2部分解析法</w:t>
            </w:r>
            <w:r>
              <w:rPr>
                <w:rFonts w:ascii="仿宋_GB2312" w:hAnsi="仿宋_GB2312" w:cs="仿宋_GB2312" w:eastAsia="仿宋_GB2312"/>
                <w:sz w:val="24"/>
              </w:rPr>
              <w:t>:</w:t>
            </w:r>
            <w:r>
              <w:rPr>
                <w:rFonts w:ascii="仿宋_GB2312" w:hAnsi="仿宋_GB2312" w:cs="仿宋_GB2312" w:eastAsia="仿宋_GB2312"/>
                <w:sz w:val="24"/>
              </w:rPr>
              <w:t>采用解析法测定街坊外围及街坊内部明显的界址点的坐标；用图解法勘丈街坊内部的其它界址点及有关要素的平面位置。以解析法测定的界址点为基础展绘街坊图，再依据宗地草图勘丈数据装绘街坊内部成地籍图。</w:t>
            </w:r>
          </w:p>
          <w:p>
            <w:pPr>
              <w:pStyle w:val="null3"/>
              <w:ind w:firstLine="480"/>
              <w:jc w:val="both"/>
            </w:pPr>
            <w:r>
              <w:rPr>
                <w:rFonts w:ascii="仿宋_GB2312" w:hAnsi="仿宋_GB2312" w:cs="仿宋_GB2312" w:eastAsia="仿宋_GB2312"/>
                <w:sz w:val="24"/>
              </w:rPr>
              <w:t>4.3.3全野外数字法测绘地籍图</w:t>
            </w:r>
          </w:p>
          <w:p>
            <w:pPr>
              <w:pStyle w:val="null3"/>
              <w:ind w:firstLine="480"/>
              <w:jc w:val="both"/>
            </w:pPr>
            <w:r>
              <w:rPr>
                <w:rFonts w:ascii="仿宋_GB2312" w:hAnsi="仿宋_GB2312" w:cs="仿宋_GB2312" w:eastAsia="仿宋_GB2312"/>
                <w:sz w:val="24"/>
              </w:rPr>
              <w:t>利用全站仪或</w:t>
            </w:r>
            <w:r>
              <w:rPr>
                <w:rFonts w:ascii="仿宋_GB2312" w:hAnsi="仿宋_GB2312" w:cs="仿宋_GB2312" w:eastAsia="仿宋_GB2312"/>
                <w:sz w:val="24"/>
              </w:rPr>
              <w:t>GPS 实地采集界址点、地物点及其它有关数据，现场绘制草图，借助计算机及配套的数字测图软件，编辑生成数字地籍图和宗地图。</w:t>
            </w:r>
          </w:p>
          <w:p>
            <w:pPr>
              <w:pStyle w:val="null3"/>
              <w:ind w:firstLine="480"/>
              <w:jc w:val="both"/>
            </w:pPr>
            <w:r>
              <w:rPr>
                <w:rFonts w:ascii="仿宋_GB2312" w:hAnsi="仿宋_GB2312" w:cs="仿宋_GB2312" w:eastAsia="仿宋_GB2312"/>
                <w:sz w:val="24"/>
              </w:rPr>
              <w:t>二、土地勘测定界规程</w:t>
            </w:r>
          </w:p>
          <w:p>
            <w:pPr>
              <w:pStyle w:val="null3"/>
              <w:ind w:firstLine="480"/>
              <w:jc w:val="both"/>
            </w:pPr>
            <w:r>
              <w:rPr>
                <w:rFonts w:ascii="仿宋_GB2312" w:hAnsi="仿宋_GB2312" w:cs="仿宋_GB2312" w:eastAsia="仿宋_GB2312"/>
                <w:sz w:val="24"/>
              </w:rPr>
              <w:t>1、范围</w:t>
            </w:r>
            <w:r>
              <w:rPr>
                <w:rFonts w:ascii="仿宋_GB2312" w:hAnsi="仿宋_GB2312" w:cs="仿宋_GB2312" w:eastAsia="仿宋_GB2312"/>
                <w:sz w:val="24"/>
              </w:rPr>
              <w:t>：</w:t>
            </w:r>
            <w:r>
              <w:rPr>
                <w:rFonts w:ascii="仿宋_GB2312" w:hAnsi="仿宋_GB2312" w:cs="仿宋_GB2312" w:eastAsia="仿宋_GB2312"/>
                <w:sz w:val="24"/>
              </w:rPr>
              <w:t>本标准规定了各类项目用地勘测定界的工作内容、工作方法、技术程序等。适用于各类项目用地的勘测定界工作。</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2、规范性引用文件</w:t>
            </w:r>
          </w:p>
          <w:p>
            <w:pPr>
              <w:pStyle w:val="null3"/>
              <w:ind w:firstLine="480"/>
              <w:jc w:val="both"/>
            </w:pPr>
            <w:r>
              <w:rPr>
                <w:rFonts w:ascii="仿宋_GB2312" w:hAnsi="仿宋_GB2312" w:cs="仿宋_GB2312" w:eastAsia="仿宋_GB2312"/>
                <w:sz w:val="24"/>
              </w:rPr>
              <w:t>《城镇地籍调查规程》</w:t>
            </w:r>
            <w:r>
              <w:rPr>
                <w:rFonts w:ascii="仿宋_GB2312" w:hAnsi="仿宋_GB2312" w:cs="仿宋_GB2312" w:eastAsia="仿宋_GB2312"/>
                <w:sz w:val="24"/>
              </w:rPr>
              <w:t>TD1001—93</w:t>
            </w:r>
          </w:p>
          <w:p>
            <w:pPr>
              <w:pStyle w:val="null3"/>
              <w:ind w:firstLine="480"/>
              <w:jc w:val="both"/>
            </w:pPr>
            <w:r>
              <w:rPr>
                <w:rFonts w:ascii="仿宋_GB2312" w:hAnsi="仿宋_GB2312" w:cs="仿宋_GB2312" w:eastAsia="仿宋_GB2312"/>
                <w:sz w:val="24"/>
              </w:rPr>
              <w:t>《土地利用现状调查技术规程》全国农业区划委员会</w:t>
            </w:r>
            <w:r>
              <w:rPr>
                <w:rFonts w:ascii="仿宋_GB2312" w:hAnsi="仿宋_GB2312" w:cs="仿宋_GB2312" w:eastAsia="仿宋_GB2312"/>
                <w:sz w:val="24"/>
              </w:rPr>
              <w:t>1984年9月</w:t>
            </w:r>
          </w:p>
          <w:p>
            <w:pPr>
              <w:pStyle w:val="null3"/>
              <w:ind w:firstLine="480"/>
              <w:jc w:val="left"/>
            </w:pPr>
            <w:r>
              <w:rPr>
                <w:rFonts w:ascii="仿宋_GB2312" w:hAnsi="仿宋_GB2312" w:cs="仿宋_GB2312" w:eastAsia="仿宋_GB2312"/>
                <w:sz w:val="24"/>
              </w:rPr>
              <w:t>《土地基本术语》</w:t>
            </w:r>
            <w:r>
              <w:rPr>
                <w:rFonts w:ascii="仿宋_GB2312" w:hAnsi="仿宋_GB2312" w:cs="仿宋_GB2312" w:eastAsia="仿宋_GB2312"/>
                <w:sz w:val="24"/>
              </w:rPr>
              <w:t>GB/T19231-2003</w:t>
            </w:r>
          </w:p>
          <w:p>
            <w:pPr>
              <w:pStyle w:val="null3"/>
              <w:ind w:firstLine="480"/>
              <w:jc w:val="both"/>
            </w:pPr>
            <w:r>
              <w:rPr>
                <w:rFonts w:ascii="仿宋_GB2312" w:hAnsi="仿宋_GB2312" w:cs="仿宋_GB2312" w:eastAsia="仿宋_GB2312"/>
                <w:sz w:val="24"/>
              </w:rPr>
              <w:t>《测绘基本术语》</w:t>
            </w:r>
            <w:r>
              <w:rPr>
                <w:rFonts w:ascii="仿宋_GB2312" w:hAnsi="仿宋_GB2312" w:cs="仿宋_GB2312" w:eastAsia="仿宋_GB2312"/>
                <w:sz w:val="24"/>
              </w:rPr>
              <w:t>GB/T14911—1944</w:t>
            </w:r>
          </w:p>
          <w:p>
            <w:pPr>
              <w:pStyle w:val="null3"/>
              <w:ind w:firstLine="480"/>
              <w:jc w:val="both"/>
            </w:pPr>
            <w:r>
              <w:rPr>
                <w:rFonts w:ascii="仿宋_GB2312" w:hAnsi="仿宋_GB2312" w:cs="仿宋_GB2312" w:eastAsia="仿宋_GB2312"/>
                <w:sz w:val="24"/>
              </w:rPr>
              <w:t>3、术语和定义</w:t>
            </w:r>
          </w:p>
          <w:p>
            <w:pPr>
              <w:pStyle w:val="null3"/>
              <w:ind w:firstLine="480"/>
              <w:jc w:val="both"/>
            </w:pPr>
            <w:r>
              <w:rPr>
                <w:rFonts w:ascii="仿宋_GB2312" w:hAnsi="仿宋_GB2312" w:cs="仿宋_GB2312" w:eastAsia="仿宋_GB2312"/>
                <w:sz w:val="24"/>
              </w:rPr>
              <w:t>GB/T 19231—2003、GB/T 14911—1944 确立的以及下列术语和定义适用于本部分。</w:t>
            </w:r>
          </w:p>
          <w:p>
            <w:pPr>
              <w:pStyle w:val="null3"/>
              <w:ind w:firstLine="480"/>
              <w:jc w:val="both"/>
            </w:pPr>
            <w:r>
              <w:rPr>
                <w:rFonts w:ascii="仿宋_GB2312" w:hAnsi="仿宋_GB2312" w:cs="仿宋_GB2312" w:eastAsia="仿宋_GB2312"/>
                <w:sz w:val="24"/>
              </w:rPr>
              <w:t>3.1 调绘</w:t>
            </w:r>
            <w:r>
              <w:rPr>
                <w:rFonts w:ascii="仿宋_GB2312" w:hAnsi="仿宋_GB2312" w:cs="仿宋_GB2312" w:eastAsia="仿宋_GB2312"/>
                <w:sz w:val="24"/>
              </w:rPr>
              <w:t>：</w:t>
            </w:r>
            <w:r>
              <w:rPr>
                <w:rFonts w:ascii="仿宋_GB2312" w:hAnsi="仿宋_GB2312" w:cs="仿宋_GB2312" w:eastAsia="仿宋_GB2312"/>
                <w:sz w:val="24"/>
              </w:rPr>
              <w:t>主要是在野外进行的调查工作，包括遥感影像（航空像片和卫星影像）、地形图的预判读、实地判读，地类检验、补测，勾绘工作草图以及填写外业手簿等工作。</w:t>
            </w:r>
          </w:p>
          <w:p>
            <w:pPr>
              <w:pStyle w:val="null3"/>
              <w:ind w:firstLine="480"/>
              <w:jc w:val="both"/>
            </w:pPr>
            <w:r>
              <w:rPr>
                <w:rFonts w:ascii="仿宋_GB2312" w:hAnsi="仿宋_GB2312" w:cs="仿宋_GB2312" w:eastAsia="仿宋_GB2312"/>
                <w:sz w:val="24"/>
              </w:rPr>
              <w:t>3.2 转绘</w:t>
            </w:r>
            <w:r>
              <w:rPr>
                <w:rFonts w:ascii="仿宋_GB2312" w:hAnsi="仿宋_GB2312" w:cs="仿宋_GB2312" w:eastAsia="仿宋_GB2312"/>
                <w:sz w:val="24"/>
              </w:rPr>
              <w:t>：</w:t>
            </w:r>
            <w:r>
              <w:rPr>
                <w:rFonts w:ascii="仿宋_GB2312" w:hAnsi="仿宋_GB2312" w:cs="仿宋_GB2312" w:eastAsia="仿宋_GB2312"/>
                <w:sz w:val="24"/>
              </w:rPr>
              <w:t>主要是指将外业调绘的内容表达在工作底图上，并整饰成图的过程。</w:t>
            </w:r>
          </w:p>
          <w:p>
            <w:pPr>
              <w:pStyle w:val="null3"/>
              <w:ind w:firstLine="480"/>
              <w:jc w:val="both"/>
            </w:pPr>
            <w:r>
              <w:rPr>
                <w:rFonts w:ascii="仿宋_GB2312" w:hAnsi="仿宋_GB2312" w:cs="仿宋_GB2312" w:eastAsia="仿宋_GB2312"/>
                <w:sz w:val="24"/>
              </w:rPr>
              <w:t>4、勘测定界一般工作程序</w:t>
            </w:r>
          </w:p>
          <w:p>
            <w:pPr>
              <w:pStyle w:val="null3"/>
              <w:ind w:firstLine="480"/>
              <w:jc w:val="both"/>
            </w:pPr>
            <w:r>
              <w:rPr>
                <w:rFonts w:ascii="仿宋_GB2312" w:hAnsi="仿宋_GB2312" w:cs="仿宋_GB2312" w:eastAsia="仿宋_GB2312"/>
                <w:sz w:val="24"/>
              </w:rPr>
              <w:t>4.1 接受委托</w:t>
            </w:r>
            <w:r>
              <w:rPr>
                <w:rFonts w:ascii="仿宋_GB2312" w:hAnsi="仿宋_GB2312" w:cs="仿宋_GB2312" w:eastAsia="仿宋_GB2312"/>
                <w:sz w:val="24"/>
              </w:rPr>
              <w:t>：</w:t>
            </w:r>
            <w:r>
              <w:rPr>
                <w:rFonts w:ascii="仿宋_GB2312" w:hAnsi="仿宋_GB2312" w:cs="仿宋_GB2312" w:eastAsia="仿宋_GB2312"/>
                <w:sz w:val="24"/>
              </w:rPr>
              <w:t>具备勘测定界资格的单位，须持有用地单位或有权批准该项目用地的政府国土资源行政主管部门的勘测定界委托书方可开展勘测定界工作。</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4.2查阅有关文件</w:t>
            </w:r>
          </w:p>
          <w:p>
            <w:pPr>
              <w:pStyle w:val="null3"/>
              <w:ind w:firstLine="480"/>
              <w:jc w:val="both"/>
            </w:pPr>
            <w:r>
              <w:rPr>
                <w:rFonts w:ascii="仿宋_GB2312" w:hAnsi="仿宋_GB2312" w:cs="仿宋_GB2312" w:eastAsia="仿宋_GB2312"/>
                <w:sz w:val="24"/>
              </w:rPr>
              <w:t>查阅由用地单位提供的城市规划区内建设用地规划许可证或选址意见书及规划用地</w:t>
            </w:r>
            <w:r>
              <w:rPr>
                <w:rFonts w:ascii="仿宋_GB2312" w:hAnsi="仿宋_GB2312" w:cs="仿宋_GB2312" w:eastAsia="仿宋_GB2312"/>
                <w:sz w:val="24"/>
              </w:rPr>
              <w:t>范围图；批准的施工设计和有关资料；国土资源行政主管部门在前期对项目用地的审查意见。</w:t>
            </w:r>
          </w:p>
          <w:p>
            <w:pPr>
              <w:pStyle w:val="null3"/>
              <w:ind w:firstLine="480"/>
              <w:jc w:val="both"/>
            </w:pPr>
            <w:r>
              <w:rPr>
                <w:rFonts w:ascii="仿宋_GB2312" w:hAnsi="仿宋_GB2312" w:cs="仿宋_GB2312" w:eastAsia="仿宋_GB2312"/>
                <w:sz w:val="24"/>
              </w:rPr>
              <w:t>4.3搜集图件及勘测资料</w:t>
            </w:r>
          </w:p>
          <w:p>
            <w:pPr>
              <w:pStyle w:val="null3"/>
              <w:ind w:firstLine="480"/>
              <w:jc w:val="both"/>
            </w:pPr>
            <w:r>
              <w:rPr>
                <w:rFonts w:ascii="仿宋_GB2312" w:hAnsi="仿宋_GB2312" w:cs="仿宋_GB2312" w:eastAsia="仿宋_GB2312"/>
                <w:sz w:val="24"/>
              </w:rPr>
              <w:t>由用地单位搜集辖区内用地管理图、用地范围内的地籍图、土地利用现状图、土地利用权属界线图、地形图、基本农田界线图、土地利用总体规划图、由专业设计单位承担设计的用地范围图以及比例尺不小于</w:t>
            </w:r>
            <w:r>
              <w:rPr>
                <w:rFonts w:ascii="仿宋_GB2312" w:hAnsi="仿宋_GB2312" w:cs="仿宋_GB2312" w:eastAsia="仿宋_GB2312"/>
                <w:sz w:val="24"/>
              </w:rPr>
              <w:t>1：2000 的建设项目工程总平面布置图。搜集用地范围附近原有平面控制点坐标成果。搜集用地界址点拟定坐标（设计坐标）或与定界有关的参考资料。</w:t>
            </w:r>
          </w:p>
          <w:p>
            <w:pPr>
              <w:pStyle w:val="null3"/>
              <w:ind w:firstLine="480"/>
              <w:jc w:val="both"/>
            </w:pPr>
            <w:r>
              <w:rPr>
                <w:rFonts w:ascii="仿宋_GB2312" w:hAnsi="仿宋_GB2312" w:cs="仿宋_GB2312" w:eastAsia="仿宋_GB2312"/>
                <w:sz w:val="24"/>
              </w:rPr>
              <w:t>4.4现场踏勘、制定技术方案</w:t>
            </w:r>
            <w:r>
              <w:rPr>
                <w:rFonts w:ascii="仿宋_GB2312" w:hAnsi="仿宋_GB2312" w:cs="仿宋_GB2312" w:eastAsia="仿宋_GB2312"/>
                <w:sz w:val="24"/>
              </w:rPr>
              <w:t>：</w:t>
            </w:r>
            <w:r>
              <w:rPr>
                <w:rFonts w:ascii="仿宋_GB2312" w:hAnsi="仿宋_GB2312" w:cs="仿宋_GB2312" w:eastAsia="仿宋_GB2312"/>
                <w:sz w:val="24"/>
              </w:rPr>
              <w:t>在查阅有关资料的基础上，根据收集的控制点成果资料，了解项目用地范围附近的各级控制点的标石完好情况和现场的通视条件，以便制定合理的勘测技术方案。对于线形和大型项目用地还应调查了解交通和地理条件。</w:t>
            </w:r>
          </w:p>
          <w:p>
            <w:pPr>
              <w:pStyle w:val="null3"/>
              <w:ind w:firstLine="480"/>
              <w:jc w:val="both"/>
            </w:pPr>
            <w:r>
              <w:rPr>
                <w:rFonts w:ascii="仿宋_GB2312" w:hAnsi="仿宋_GB2312" w:cs="仿宋_GB2312" w:eastAsia="仿宋_GB2312"/>
                <w:sz w:val="24"/>
              </w:rPr>
              <w:t>4.5实地调绘</w:t>
            </w:r>
            <w:r>
              <w:rPr>
                <w:rFonts w:ascii="仿宋_GB2312" w:hAnsi="仿宋_GB2312" w:cs="仿宋_GB2312" w:eastAsia="仿宋_GB2312"/>
                <w:sz w:val="24"/>
              </w:rPr>
              <w:t>：</w:t>
            </w:r>
            <w:r>
              <w:rPr>
                <w:rFonts w:ascii="仿宋_GB2312" w:hAnsi="仿宋_GB2312" w:cs="仿宋_GB2312" w:eastAsia="仿宋_GB2312"/>
                <w:sz w:val="24"/>
              </w:rPr>
              <w:t>实地调查核实用地范围内的行政界线、权属界线、土地利用类型界线、基本农田界线、已批准的农用地转为建设用地的范围线。将其测绘或转绘于工作底图上，同时对现状土地利用类型进行调查核实。</w:t>
            </w:r>
          </w:p>
          <w:p>
            <w:pPr>
              <w:pStyle w:val="null3"/>
              <w:ind w:firstLine="480"/>
              <w:jc w:val="both"/>
            </w:pPr>
            <w:r>
              <w:rPr>
                <w:rFonts w:ascii="仿宋_GB2312" w:hAnsi="仿宋_GB2312" w:cs="仿宋_GB2312" w:eastAsia="仿宋_GB2312"/>
                <w:sz w:val="24"/>
              </w:rPr>
              <w:t>4.6勘测定界</w:t>
            </w:r>
            <w:r>
              <w:rPr>
                <w:rFonts w:ascii="仿宋_GB2312" w:hAnsi="仿宋_GB2312" w:cs="仿宋_GB2312" w:eastAsia="仿宋_GB2312"/>
                <w:sz w:val="24"/>
              </w:rPr>
              <w:t>：</w:t>
            </w:r>
            <w:r>
              <w:rPr>
                <w:rFonts w:ascii="仿宋_GB2312" w:hAnsi="仿宋_GB2312" w:cs="仿宋_GB2312" w:eastAsia="仿宋_GB2312"/>
                <w:sz w:val="24"/>
              </w:rPr>
              <w:t>界标的埋设与测定，测绘界址点的解析坐标。内业计算、编绘勘测定界图、面积量算。编制土地勘测定界技术报告书。</w:t>
            </w:r>
          </w:p>
          <w:p>
            <w:pPr>
              <w:pStyle w:val="null3"/>
              <w:ind w:firstLine="480"/>
              <w:jc w:val="both"/>
            </w:pPr>
            <w:r>
              <w:rPr>
                <w:rFonts w:ascii="仿宋_GB2312" w:hAnsi="仿宋_GB2312" w:cs="仿宋_GB2312" w:eastAsia="仿宋_GB2312"/>
                <w:sz w:val="24"/>
              </w:rPr>
              <w:t>4.7提交勘测定界成果资料勘测定界技术报告书勘测定界图勘测定界用地范围图 观测记录、计算手薄</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4.8成果资料的检查验收</w:t>
            </w:r>
            <w:r>
              <w:rPr>
                <w:rFonts w:ascii="仿宋_GB2312" w:hAnsi="仿宋_GB2312" w:cs="仿宋_GB2312" w:eastAsia="仿宋_GB2312"/>
                <w:sz w:val="24"/>
              </w:rPr>
              <w:t>：</w:t>
            </w:r>
            <w:r>
              <w:rPr>
                <w:rFonts w:ascii="仿宋_GB2312" w:hAnsi="仿宋_GB2312" w:cs="仿宋_GB2312" w:eastAsia="仿宋_GB2312"/>
                <w:sz w:val="24"/>
              </w:rPr>
              <w:t>由承担勘测定界的单位自检、互检。由有权批准该项目用地的政府国土资源行政主管部门验收。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外业调绘</w:t>
            </w:r>
          </w:p>
          <w:p>
            <w:pPr>
              <w:pStyle w:val="null3"/>
              <w:ind w:firstLine="480"/>
              <w:jc w:val="both"/>
            </w:pPr>
            <w:r>
              <w:rPr>
                <w:rFonts w:ascii="仿宋_GB2312" w:hAnsi="仿宋_GB2312" w:cs="仿宋_GB2312" w:eastAsia="仿宋_GB2312"/>
                <w:sz w:val="24"/>
              </w:rPr>
              <w:t>5.1 工作底图的准备</w:t>
            </w:r>
          </w:p>
          <w:p>
            <w:pPr>
              <w:pStyle w:val="null3"/>
              <w:ind w:firstLine="480"/>
              <w:jc w:val="both"/>
            </w:pPr>
            <w:r>
              <w:rPr>
                <w:rFonts w:ascii="仿宋_GB2312" w:hAnsi="仿宋_GB2312" w:cs="仿宋_GB2312" w:eastAsia="仿宋_GB2312"/>
                <w:sz w:val="24"/>
              </w:rPr>
              <w:t>5.1.1 工作底图是用于进行勘测定界及编绘勘测定界图的基础图件。</w:t>
            </w:r>
          </w:p>
          <w:p>
            <w:pPr>
              <w:pStyle w:val="null3"/>
              <w:ind w:firstLine="480"/>
              <w:jc w:val="both"/>
            </w:pPr>
            <w:r>
              <w:rPr>
                <w:rFonts w:ascii="仿宋_GB2312" w:hAnsi="仿宋_GB2312" w:cs="仿宋_GB2312" w:eastAsia="仿宋_GB2312"/>
                <w:sz w:val="24"/>
              </w:rPr>
              <w:t>5.1.2 工作底图应是地籍图、地形图、标准分幅土地利用现状图。</w:t>
            </w:r>
          </w:p>
          <w:p>
            <w:pPr>
              <w:pStyle w:val="null3"/>
              <w:ind w:firstLine="480"/>
              <w:jc w:val="both"/>
            </w:pPr>
            <w:r>
              <w:rPr>
                <w:rFonts w:ascii="仿宋_GB2312" w:hAnsi="仿宋_GB2312" w:cs="仿宋_GB2312" w:eastAsia="仿宋_GB2312"/>
                <w:sz w:val="24"/>
              </w:rPr>
              <w:t>5.1.3 工作底图的比例尺不小于1：2000，大型工程工作底图比例尺不小于1：10000</w:t>
            </w:r>
          </w:p>
          <w:p>
            <w:pPr>
              <w:pStyle w:val="null3"/>
              <w:ind w:firstLine="480"/>
              <w:jc w:val="both"/>
            </w:pPr>
            <w:r>
              <w:rPr>
                <w:rFonts w:ascii="仿宋_GB2312" w:hAnsi="仿宋_GB2312" w:cs="仿宋_GB2312" w:eastAsia="仿宋_GB2312"/>
                <w:sz w:val="24"/>
              </w:rPr>
              <w:t>5.1.4 工作底图的现状不能满足勘测定界工作要求时应对界址线附近和界址范围内的 地形地物进行修测或补测。</w:t>
            </w:r>
          </w:p>
          <w:p>
            <w:pPr>
              <w:pStyle w:val="null3"/>
              <w:ind w:firstLine="480"/>
              <w:jc w:val="both"/>
            </w:pPr>
            <w:r>
              <w:rPr>
                <w:rFonts w:ascii="仿宋_GB2312" w:hAnsi="仿宋_GB2312" w:cs="仿宋_GB2312" w:eastAsia="仿宋_GB2312"/>
                <w:sz w:val="24"/>
              </w:rPr>
              <w:t>5.2 权属界线的调绘</w:t>
            </w:r>
          </w:p>
          <w:p>
            <w:pPr>
              <w:pStyle w:val="null3"/>
              <w:ind w:firstLine="480"/>
              <w:jc w:val="both"/>
            </w:pPr>
            <w:r>
              <w:rPr>
                <w:rFonts w:ascii="仿宋_GB2312" w:hAnsi="仿宋_GB2312" w:cs="仿宋_GB2312" w:eastAsia="仿宋_GB2312"/>
                <w:sz w:val="24"/>
              </w:rPr>
              <w:t>5.2.1查阅用地范围内的土地利用现状调查及土地登记的有关资料，并将用地范围内的权属界线、行政界线转绘到工作底图上。</w:t>
            </w:r>
          </w:p>
          <w:p>
            <w:pPr>
              <w:pStyle w:val="null3"/>
              <w:ind w:firstLine="480"/>
              <w:jc w:val="both"/>
            </w:pPr>
            <w:r>
              <w:rPr>
                <w:rFonts w:ascii="仿宋_GB2312" w:hAnsi="仿宋_GB2312" w:cs="仿宋_GB2312" w:eastAsia="仿宋_GB2312"/>
                <w:sz w:val="24"/>
              </w:rPr>
              <w:t>5.2.2 其它土地权属界线的确认需要在当地国土资源行政主管部门的组织下，由相关权属单位有关人员按《土地利用现状调查技术规程》、《城镇地籍调查规程》、《确定土地所有权和使用权的若干规定》要求共同到现场指界，并将权属界线测绘到工作底图上。</w:t>
            </w:r>
          </w:p>
          <w:p>
            <w:pPr>
              <w:pStyle w:val="null3"/>
              <w:ind w:firstLine="480"/>
              <w:jc w:val="both"/>
            </w:pPr>
            <w:r>
              <w:rPr>
                <w:rFonts w:ascii="仿宋_GB2312" w:hAnsi="仿宋_GB2312" w:cs="仿宋_GB2312" w:eastAsia="仿宋_GB2312"/>
                <w:sz w:val="24"/>
              </w:rPr>
              <w:t>5.3土地利用类型及土地利用类型界线的调绘依据全国统一的土地分类，利用地籍图、土地利用现状图或地形图上的有关土地利用类型界线，通过现场调查及实地判读，将用地范围内及其附近的各土地利用类型界线测绘或转 绘在工作底图上，并标注三级土地利用类型编号。同时对土地利用现状调查的土地利用类型进行核实，与实地不一致的，按变更地籍调查的有关规定处理。</w:t>
            </w:r>
          </w:p>
          <w:p>
            <w:pPr>
              <w:pStyle w:val="null3"/>
              <w:ind w:firstLine="480"/>
              <w:jc w:val="both"/>
            </w:pPr>
            <w:r>
              <w:rPr>
                <w:rFonts w:ascii="仿宋_GB2312" w:hAnsi="仿宋_GB2312" w:cs="仿宋_GB2312" w:eastAsia="仿宋_GB2312"/>
                <w:sz w:val="24"/>
              </w:rPr>
              <w:t>5.4基本农田界线的调绘</w:t>
            </w:r>
            <w:r>
              <w:rPr>
                <w:rFonts w:ascii="仿宋_GB2312" w:hAnsi="仿宋_GB2312" w:cs="仿宋_GB2312" w:eastAsia="仿宋_GB2312"/>
                <w:sz w:val="24"/>
              </w:rPr>
              <w:t>：</w:t>
            </w:r>
            <w:r>
              <w:rPr>
                <w:rFonts w:ascii="仿宋_GB2312" w:hAnsi="仿宋_GB2312" w:cs="仿宋_GB2312" w:eastAsia="仿宋_GB2312"/>
                <w:sz w:val="24"/>
              </w:rPr>
              <w:t>在当地国土资源行政主管部门查阅用地范围区域的土地利用总体规划资料、基本农田保护</w:t>
            </w:r>
            <w:r>
              <w:rPr>
                <w:rFonts w:ascii="仿宋_GB2312" w:hAnsi="仿宋_GB2312" w:cs="仿宋_GB2312" w:eastAsia="仿宋_GB2312"/>
                <w:sz w:val="24"/>
              </w:rPr>
              <w:t>区规划资料。将用地范围内及其附近的基本农田界线测绘或转绘在工作底图上，图上确定</w:t>
            </w:r>
            <w:r>
              <w:rPr>
                <w:rFonts w:ascii="仿宋_GB2312" w:hAnsi="仿宋_GB2312" w:cs="仿宋_GB2312" w:eastAsia="仿宋_GB2312"/>
                <w:sz w:val="24"/>
              </w:rPr>
              <w:t>项目用地占用基本农田的范围，并实地核定。</w:t>
            </w:r>
          </w:p>
          <w:p>
            <w:pPr>
              <w:pStyle w:val="null3"/>
              <w:ind w:firstLine="480"/>
              <w:jc w:val="both"/>
            </w:pPr>
            <w:r>
              <w:rPr>
                <w:rFonts w:ascii="仿宋_GB2312" w:hAnsi="仿宋_GB2312" w:cs="仿宋_GB2312" w:eastAsia="仿宋_GB2312"/>
                <w:sz w:val="24"/>
              </w:rPr>
              <w:t>5.5农用地转用范围线的调绘</w:t>
            </w:r>
            <w:r>
              <w:rPr>
                <w:rFonts w:ascii="仿宋_GB2312" w:hAnsi="仿宋_GB2312" w:cs="仿宋_GB2312" w:eastAsia="仿宋_GB2312"/>
                <w:sz w:val="24"/>
              </w:rPr>
              <w:t>：</w:t>
            </w:r>
            <w:r>
              <w:rPr>
                <w:rFonts w:ascii="仿宋_GB2312" w:hAnsi="仿宋_GB2312" w:cs="仿宋_GB2312" w:eastAsia="仿宋_GB2312"/>
                <w:sz w:val="24"/>
              </w:rPr>
              <w:t>如果项目用地占用土地利用总体规划经批准确定的农用地转用范围的农地，应将用地范围内及其附近的已批准的农用地转用界线绘制在工作底图上。</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平面控制测量</w:t>
            </w:r>
          </w:p>
          <w:p>
            <w:pPr>
              <w:pStyle w:val="null3"/>
              <w:ind w:firstLine="480"/>
              <w:jc w:val="both"/>
            </w:pPr>
            <w:r>
              <w:rPr>
                <w:rFonts w:ascii="仿宋_GB2312" w:hAnsi="仿宋_GB2312" w:cs="仿宋_GB2312" w:eastAsia="仿宋_GB2312"/>
                <w:sz w:val="24"/>
              </w:rPr>
              <w:t>6.1勘测定界平面控制坐标系统应采用国家统一坐标系统。</w:t>
            </w:r>
          </w:p>
          <w:p>
            <w:pPr>
              <w:pStyle w:val="null3"/>
              <w:ind w:firstLine="480"/>
              <w:jc w:val="both"/>
            </w:pPr>
            <w:r>
              <w:rPr>
                <w:rFonts w:ascii="仿宋_GB2312" w:hAnsi="仿宋_GB2312" w:cs="仿宋_GB2312" w:eastAsia="仿宋_GB2312"/>
                <w:sz w:val="24"/>
              </w:rPr>
              <w:t>6.2勘测定界首级平面控制网应符合表1要求。</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1首级平面控制网等级要求</w:t>
            </w:r>
          </w:p>
          <w:tbl>
            <w:tblPr>
              <w:tblInd w:type="dxa" w:w="120"/>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控制区面积（</w:t>
                  </w:r>
                  <w:r>
                    <w:rPr>
                      <w:rFonts w:ascii="仿宋_GB2312" w:hAnsi="仿宋_GB2312" w:cs="仿宋_GB2312" w:eastAsia="仿宋_GB2312"/>
                      <w:sz w:val="24"/>
                    </w:rPr>
                    <w:t>km2）</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&gt; 10</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&lt; 5</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&lt;</w:t>
                  </w:r>
                </w:p>
                <w:p>
                  <w:pPr>
                    <w:pStyle w:val="null3"/>
                    <w:jc w:val="center"/>
                  </w:pPr>
                  <w:r>
                    <w:rPr>
                      <w:rFonts w:ascii="仿宋_GB2312" w:hAnsi="仿宋_GB2312" w:cs="仿宋_GB2312" w:eastAsia="仿宋_GB2312"/>
                      <w:sz w:val="24"/>
                    </w:rPr>
                    <w:t>0.1</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首级控制等级</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四等以上控制网</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一级小三角（边）网或一级导线</w:t>
                  </w:r>
                  <w:r>
                    <w:rPr>
                      <w:rFonts w:ascii="仿宋_GB2312" w:hAnsi="仿宋_GB2312" w:cs="仿宋_GB2312" w:eastAsia="仿宋_GB2312"/>
                      <w:sz w:val="24"/>
                    </w:rPr>
                    <w:t>网</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二级小三角（边）网或二级导线网</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图根导线</w:t>
                  </w:r>
                </w:p>
              </w:tc>
            </w:tr>
          </w:tbl>
          <w:p>
            <w:pPr>
              <w:pStyle w:val="null3"/>
              <w:ind w:firstLine="480"/>
              <w:jc w:val="both"/>
            </w:pPr>
            <w:r>
              <w:rPr>
                <w:rFonts w:ascii="仿宋_GB2312" w:hAnsi="仿宋_GB2312" w:cs="仿宋_GB2312" w:eastAsia="仿宋_GB2312"/>
                <w:sz w:val="24"/>
              </w:rPr>
              <w:t>6.3 若首级控制网点密度不能满足土地勘测定界，应在首级控制点的基础上布设一 级或两级加密控制点。加密控制测量应优先采用导线网、三角网形式加密控制网，也可用单一附合导线，插点仅限于个别地点使用。</w:t>
            </w:r>
          </w:p>
          <w:p>
            <w:pPr>
              <w:pStyle w:val="null3"/>
              <w:ind w:firstLine="480"/>
              <w:jc w:val="both"/>
            </w:pPr>
            <w:r>
              <w:rPr>
                <w:rFonts w:ascii="仿宋_GB2312" w:hAnsi="仿宋_GB2312" w:cs="仿宋_GB2312" w:eastAsia="仿宋_GB2312"/>
                <w:sz w:val="24"/>
              </w:rPr>
              <w:t>6.4勘测定界平面控制网测量作业及精度的基本技术要求，遵照《城镇地籍调查规 程》、《土地利用现状调查技术规程》、《全球定位系统城市测量技术规程》等。</w:t>
            </w:r>
          </w:p>
          <w:p>
            <w:pPr>
              <w:pStyle w:val="null3"/>
              <w:ind w:firstLine="480"/>
              <w:jc w:val="both"/>
            </w:pPr>
            <w:r>
              <w:rPr>
                <w:rFonts w:ascii="仿宋_GB2312" w:hAnsi="仿宋_GB2312" w:cs="仿宋_GB2312" w:eastAsia="仿宋_GB2312"/>
                <w:sz w:val="24"/>
              </w:rPr>
              <w:t>7、界址点的放样及界标的埋设</w:t>
            </w:r>
          </w:p>
          <w:p>
            <w:pPr>
              <w:pStyle w:val="null3"/>
              <w:ind w:firstLine="480"/>
              <w:jc w:val="both"/>
            </w:pPr>
            <w:r>
              <w:rPr>
                <w:rFonts w:ascii="仿宋_GB2312" w:hAnsi="仿宋_GB2312" w:cs="仿宋_GB2312" w:eastAsia="仿宋_GB2312"/>
                <w:sz w:val="24"/>
              </w:rPr>
              <w:t>7.1实地拨放界标的位置实地拨放界标的位置一般有两种方法</w:t>
            </w:r>
          </w:p>
          <w:p>
            <w:pPr>
              <w:pStyle w:val="null3"/>
              <w:ind w:firstLine="480"/>
              <w:jc w:val="both"/>
            </w:pPr>
            <w:r>
              <w:rPr>
                <w:rFonts w:ascii="仿宋_GB2312" w:hAnsi="仿宋_GB2312" w:cs="仿宋_GB2312" w:eastAsia="仿宋_GB2312"/>
                <w:sz w:val="24"/>
              </w:rPr>
              <w:t>a、坐标法放样。根据初步设计图或规划用地范围图，图上拟定界标位置，并图解获得 拟用地界址点坐标，或利用工程总平面布置图给定的拟用地界址点坐标。利用控制点（或明显地物点）坐标和拟用地界址点坐标计算放样数据（反算边长、方位角），利用拟用地界址点邻近控制点（或明显地物点）采用极坐标法放样界标位置。</w:t>
            </w:r>
          </w:p>
          <w:p>
            <w:pPr>
              <w:pStyle w:val="null3"/>
              <w:ind w:firstLine="480"/>
              <w:jc w:val="both"/>
            </w:pPr>
            <w:r>
              <w:rPr>
                <w:rFonts w:ascii="仿宋_GB2312" w:hAnsi="仿宋_GB2312" w:cs="仿宋_GB2312" w:eastAsia="仿宋_GB2312"/>
                <w:sz w:val="24"/>
              </w:rPr>
              <w:t>b、关系距离法放样。根据初步设计图或规划用地范围图或工程总平面布置图，图上拟定界标位置，并在图上量出界址点与邻近现有地物的边长（三条以上），或利用给定的拟用地边界与现有地物的距离夹角等。在实地采用边交会、边角交会等方法放样界标位置。</w:t>
            </w:r>
          </w:p>
          <w:p>
            <w:pPr>
              <w:pStyle w:val="null3"/>
              <w:ind w:firstLine="480"/>
              <w:jc w:val="both"/>
            </w:pPr>
            <w:r>
              <w:rPr>
                <w:rFonts w:ascii="仿宋_GB2312" w:hAnsi="仿宋_GB2312" w:cs="仿宋_GB2312" w:eastAsia="仿宋_GB2312"/>
                <w:sz w:val="24"/>
              </w:rPr>
              <w:t>7.2如果项目用地范围行政隶属不同，应在用地界线与省（自治区、直辖市）、市、县、乡（镇）的行政界线交点上加设界标。基本农田界线与用地界线的交点、国有土地与集体土地的分界线同用地界线的交点应加设界标。</w:t>
            </w:r>
          </w:p>
          <w:p>
            <w:pPr>
              <w:pStyle w:val="null3"/>
              <w:ind w:firstLine="480"/>
              <w:jc w:val="both"/>
            </w:pPr>
            <w:r>
              <w:rPr>
                <w:rFonts w:ascii="仿宋_GB2312" w:hAnsi="仿宋_GB2312" w:cs="仿宋_GB2312" w:eastAsia="仿宋_GB2312"/>
                <w:sz w:val="24"/>
              </w:rPr>
              <w:t>7.3界标之间的距离，直线最长为 150 米，明显转折点应设置界标。</w:t>
            </w:r>
          </w:p>
          <w:p>
            <w:pPr>
              <w:pStyle w:val="null3"/>
              <w:ind w:firstLine="480"/>
              <w:jc w:val="both"/>
            </w:pPr>
            <w:r>
              <w:rPr>
                <w:rFonts w:ascii="仿宋_GB2312" w:hAnsi="仿宋_GB2312" w:cs="仿宋_GB2312" w:eastAsia="仿宋_GB2312"/>
                <w:sz w:val="24"/>
              </w:rPr>
              <w:t>7.4界标类型主要有：混凝土界标、带帽钢钉界标及喷漆界标。（各类界标应用范 围参照《城镇地籍调查规程》）。</w:t>
            </w:r>
          </w:p>
          <w:p>
            <w:pPr>
              <w:pStyle w:val="null3"/>
              <w:ind w:firstLine="480"/>
              <w:jc w:val="both"/>
            </w:pPr>
            <w:r>
              <w:rPr>
                <w:rFonts w:ascii="仿宋_GB2312" w:hAnsi="仿宋_GB2312" w:cs="仿宋_GB2312" w:eastAsia="仿宋_GB2312"/>
                <w:sz w:val="24"/>
              </w:rPr>
              <w:t>7.5界址点编号原则上应以用地范围为单位，从左到右，自上而下统一编号。铁路、公路等线型工程的界址点编号可以采用里程+里程尾数编号。</w:t>
            </w:r>
          </w:p>
          <w:p>
            <w:pPr>
              <w:pStyle w:val="null3"/>
              <w:ind w:firstLine="480"/>
              <w:jc w:val="both"/>
            </w:pPr>
            <w:r>
              <w:rPr>
                <w:rFonts w:ascii="仿宋_GB2312" w:hAnsi="仿宋_GB2312" w:cs="仿宋_GB2312" w:eastAsia="仿宋_GB2312"/>
                <w:sz w:val="24"/>
              </w:rPr>
              <w:t>7.6土地权属界线、行政界线与用地范围线的交叉界址点编号应冠以字母表示：S 表示与省界的交点；E 表示与地区（市）界的交点；A 表示与县界的交点；X 表示与乡（镇）界的交点；C 表示与村界的交点；Z 表示与村民小组界的交点。</w:t>
            </w:r>
          </w:p>
          <w:p>
            <w:pPr>
              <w:pStyle w:val="null3"/>
              <w:ind w:firstLine="480"/>
              <w:jc w:val="both"/>
            </w:pPr>
            <w:r>
              <w:rPr>
                <w:rFonts w:ascii="仿宋_GB2312" w:hAnsi="仿宋_GB2312" w:cs="仿宋_GB2312" w:eastAsia="仿宋_GB2312"/>
                <w:sz w:val="24"/>
              </w:rPr>
              <w:t>7.7界标位置在实地确定后，有条件的地区应在现场测记“界址点点之记”。线型 工程的“界址点点之记”可一公里做一至二对点之记，但明显的拐点应做点之记。</w:t>
            </w:r>
          </w:p>
          <w:p>
            <w:pPr>
              <w:pStyle w:val="null3"/>
              <w:ind w:firstLine="480"/>
              <w:jc w:val="both"/>
            </w:pPr>
            <w:r>
              <w:rPr>
                <w:rFonts w:ascii="仿宋_GB2312" w:hAnsi="仿宋_GB2312" w:cs="仿宋_GB2312" w:eastAsia="仿宋_GB2312"/>
                <w:sz w:val="24"/>
              </w:rPr>
              <w:t>7.8若界址点在河沟池塘水域中，界标可埋设在岸边，待有条件时再补设界标。</w:t>
            </w:r>
          </w:p>
          <w:p>
            <w:pPr>
              <w:pStyle w:val="null3"/>
              <w:ind w:firstLine="480"/>
              <w:jc w:val="both"/>
            </w:pPr>
            <w:r>
              <w:rPr>
                <w:rFonts w:ascii="仿宋_GB2312" w:hAnsi="仿宋_GB2312" w:cs="仿宋_GB2312" w:eastAsia="仿宋_GB2312"/>
                <w:sz w:val="24"/>
              </w:rPr>
              <w:t>8、界址点测量</w:t>
            </w:r>
          </w:p>
          <w:p>
            <w:pPr>
              <w:pStyle w:val="null3"/>
              <w:ind w:firstLine="480"/>
              <w:jc w:val="both"/>
            </w:pPr>
            <w:r>
              <w:rPr>
                <w:rFonts w:ascii="仿宋_GB2312" w:hAnsi="仿宋_GB2312" w:cs="仿宋_GB2312" w:eastAsia="仿宋_GB2312"/>
                <w:sz w:val="24"/>
              </w:rPr>
              <w:t>8.1 为检核界址放样的可靠性及界址坐标的精度，在界标放样埋设后，须用解析法进行界址点测量。</w:t>
            </w:r>
          </w:p>
          <w:p>
            <w:pPr>
              <w:pStyle w:val="null3"/>
              <w:ind w:firstLine="480"/>
              <w:jc w:val="both"/>
            </w:pPr>
            <w:r>
              <w:rPr>
                <w:rFonts w:ascii="仿宋_GB2312" w:hAnsi="仿宋_GB2312" w:cs="仿宋_GB2312" w:eastAsia="仿宋_GB2312"/>
                <w:sz w:val="24"/>
              </w:rPr>
              <w:t>8.2 界址测量一般采用极坐标法，须在已知控制点上设站。角度半测回测定，经纬仪对中中误差不得超过±3mm，一测站结束后必须检查后视方向，其偏差不得大于±30″； 距离测量可用电磁波测距仪或钢尺，使用电磁波测距仪时，距离一般不超过200m，个别放宽至 300m，使用钢尺测量时一般不得超过2尺段。相邻测站至少应检测一界址点。</w:t>
            </w:r>
          </w:p>
          <w:p>
            <w:pPr>
              <w:pStyle w:val="null3"/>
              <w:ind w:firstLine="480"/>
              <w:jc w:val="both"/>
            </w:pPr>
            <w:r>
              <w:rPr>
                <w:rFonts w:ascii="仿宋_GB2312" w:hAnsi="仿宋_GB2312" w:cs="仿宋_GB2312" w:eastAsia="仿宋_GB2312"/>
                <w:sz w:val="24"/>
              </w:rPr>
              <w:t>8.3 解析法测定界址点坐标相邻控制点的点位中误差应控制在±5cm 范围内。</w:t>
            </w:r>
          </w:p>
          <w:p>
            <w:pPr>
              <w:pStyle w:val="null3"/>
              <w:ind w:firstLine="480"/>
              <w:jc w:val="both"/>
            </w:pPr>
            <w:r>
              <w:rPr>
                <w:rFonts w:ascii="仿宋_GB2312" w:hAnsi="仿宋_GB2312" w:cs="仿宋_GB2312" w:eastAsia="仿宋_GB2312"/>
                <w:sz w:val="24"/>
              </w:rPr>
              <w:t>8.4 两相邻界址点间，界址边丈量中误差控制在±5cm 范围内，坐标反算距离与实地丈量距离的较差应控制在±10cm 范围内。</w:t>
            </w:r>
          </w:p>
          <w:p>
            <w:pPr>
              <w:pStyle w:val="null3"/>
              <w:ind w:firstLine="480"/>
              <w:jc w:val="both"/>
            </w:pPr>
            <w:r>
              <w:rPr>
                <w:rFonts w:ascii="仿宋_GB2312" w:hAnsi="仿宋_GB2312" w:cs="仿宋_GB2312" w:eastAsia="仿宋_GB2312"/>
                <w:sz w:val="24"/>
              </w:rPr>
              <w:t>8.5 解析法测定的界址点坐标与原拟用地界址点坐标之差的中误差应控制在±5cm 范围内，允许误差应控制在±10cm 范围内。</w:t>
            </w:r>
          </w:p>
          <w:p>
            <w:pPr>
              <w:pStyle w:val="null3"/>
              <w:ind w:firstLine="480"/>
              <w:jc w:val="both"/>
            </w:pPr>
            <w:r>
              <w:rPr>
                <w:rFonts w:ascii="仿宋_GB2312" w:hAnsi="仿宋_GB2312" w:cs="仿宋_GB2312" w:eastAsia="仿宋_GB2312"/>
                <w:sz w:val="24"/>
              </w:rPr>
              <w:t>9、面积计算和汇总</w:t>
            </w:r>
          </w:p>
          <w:p>
            <w:pPr>
              <w:pStyle w:val="null3"/>
              <w:ind w:firstLine="480"/>
              <w:jc w:val="both"/>
            </w:pPr>
            <w:r>
              <w:rPr>
                <w:rFonts w:ascii="仿宋_GB2312" w:hAnsi="仿宋_GB2312" w:cs="仿宋_GB2312" w:eastAsia="仿宋_GB2312"/>
                <w:sz w:val="24"/>
              </w:rPr>
              <w:t>9.1 勘测定界面积量算内容包括项目用地面积、项目用地占用基本农田面积、用地范 围内原不同权属单位及不同土地利用类型面积。</w:t>
            </w:r>
          </w:p>
          <w:p>
            <w:pPr>
              <w:pStyle w:val="null3"/>
              <w:ind w:firstLine="480"/>
              <w:jc w:val="both"/>
            </w:pPr>
            <w:r>
              <w:rPr>
                <w:rFonts w:ascii="仿宋_GB2312" w:hAnsi="仿宋_GB2312" w:cs="仿宋_GB2312" w:eastAsia="仿宋_GB2312"/>
                <w:sz w:val="24"/>
              </w:rPr>
              <w:t>9.2 项目用地面积、用地内部原不同权属面积应用解析坐标计算面积。用地内部不同土地利用类型面积可用解析坐标或图解坐标计算面积，也可以采用几何图形法、求积仪法量算面积。</w:t>
            </w:r>
          </w:p>
          <w:p>
            <w:pPr>
              <w:pStyle w:val="null3"/>
              <w:ind w:firstLine="480"/>
              <w:jc w:val="both"/>
            </w:pPr>
            <w:r>
              <w:rPr>
                <w:rFonts w:ascii="仿宋_GB2312" w:hAnsi="仿宋_GB2312" w:cs="仿宋_GB2312" w:eastAsia="仿宋_GB2312"/>
                <w:sz w:val="24"/>
              </w:rPr>
              <w:t>9.3 在量算不同权属、不同土地利用类型面积的基础上，分别以市（县）、乡（镇）、 村（组）为单位按不同的土地利用类型进行面积汇总，项目用地若占用基本农田，则基本农田保护区划内的土地和基本农田保护区划外的土地分别统计汇总。</w:t>
            </w:r>
          </w:p>
          <w:p>
            <w:pPr>
              <w:pStyle w:val="null3"/>
              <w:ind w:firstLine="480"/>
              <w:jc w:val="both"/>
            </w:pPr>
            <w:r>
              <w:rPr>
                <w:rFonts w:ascii="仿宋_GB2312" w:hAnsi="仿宋_GB2312" w:cs="仿宋_GB2312" w:eastAsia="仿宋_GB2312"/>
                <w:sz w:val="24"/>
              </w:rPr>
              <w:t>9.4 坐标法计算面积须采用下列公式独立计算两次进行检核。</w:t>
            </w:r>
          </w:p>
          <w:p>
            <w:pPr>
              <w:pStyle w:val="null3"/>
              <w:ind w:firstLine="480"/>
              <w:jc w:val="both"/>
            </w:pPr>
            <w:r>
              <w:rPr>
                <w:rFonts w:ascii="仿宋_GB2312" w:hAnsi="仿宋_GB2312" w:cs="仿宋_GB2312" w:eastAsia="仿宋_GB2312"/>
                <w:sz w:val="24"/>
              </w:rPr>
              <w:t>式中：</w:t>
            </w:r>
            <w:r>
              <w:rPr>
                <w:rFonts w:ascii="仿宋_GB2312" w:hAnsi="仿宋_GB2312" w:cs="仿宋_GB2312" w:eastAsia="仿宋_GB2312"/>
                <w:sz w:val="24"/>
              </w:rPr>
              <w:t>p——面积，m2；（</w:t>
            </w:r>
            <w:r>
              <w:rPr>
                <w:rFonts w:ascii="仿宋_GB2312" w:hAnsi="仿宋_GB2312" w:cs="仿宋_GB2312" w:eastAsia="仿宋_GB2312"/>
                <w:sz w:val="24"/>
              </w:rPr>
              <w:t>）</w:t>
            </w:r>
            <w:r>
              <w:rPr>
                <w:rFonts w:ascii="仿宋_GB2312" w:hAnsi="仿宋_GB2312" w:cs="仿宋_GB2312" w:eastAsia="仿宋_GB2312"/>
                <w:sz w:val="24"/>
              </w:rPr>
              <w:t>——界址点坐标，m；n——界址点个数。</w:t>
            </w:r>
          </w:p>
          <w:p>
            <w:pPr>
              <w:pStyle w:val="null3"/>
              <w:ind w:firstLine="480"/>
              <w:jc w:val="both"/>
            </w:pPr>
            <w:r>
              <w:rPr>
                <w:rFonts w:ascii="仿宋_GB2312" w:hAnsi="仿宋_GB2312" w:cs="仿宋_GB2312" w:eastAsia="仿宋_GB2312"/>
                <w:sz w:val="24"/>
              </w:rPr>
              <w:t>9.5</w:t>
            </w:r>
            <w:r>
              <w:rPr>
                <w:rFonts w:ascii="仿宋_GB2312" w:hAnsi="仿宋_GB2312" w:cs="仿宋_GB2312" w:eastAsia="仿宋_GB2312"/>
                <w:sz w:val="24"/>
              </w:rPr>
              <w:t>图解法量算面积须进行两次，较差在限差之内时，取两次量算的均值。两次面积</w:t>
            </w:r>
            <w:r>
              <w:rPr>
                <w:rFonts w:ascii="仿宋_GB2312" w:hAnsi="仿宋_GB2312" w:cs="仿宋_GB2312" w:eastAsia="仿宋_GB2312"/>
                <w:sz w:val="24"/>
              </w:rPr>
              <w:t>量算的较差应满足下式：</w:t>
            </w:r>
          </w:p>
          <w:p>
            <w:pPr>
              <w:pStyle w:val="null3"/>
              <w:ind w:firstLine="480"/>
              <w:jc w:val="both"/>
            </w:pPr>
            <w:r>
              <w:rPr>
                <w:rFonts w:ascii="仿宋_GB2312" w:hAnsi="仿宋_GB2312" w:cs="仿宋_GB2312" w:eastAsia="仿宋_GB2312"/>
                <w:sz w:val="24"/>
              </w:rPr>
              <w:t>式中</w:t>
            </w:r>
            <w:r>
              <w:rPr>
                <w:rFonts w:ascii="仿宋_GB2312" w:hAnsi="仿宋_GB2312" w:cs="仿宋_GB2312" w:eastAsia="仿宋_GB2312"/>
                <w:sz w:val="24"/>
              </w:rPr>
              <w:t>: P——量算面积 m2；M——勘测定界图纸比例尺分母。</w:t>
            </w:r>
          </w:p>
          <w:p>
            <w:pPr>
              <w:pStyle w:val="null3"/>
              <w:ind w:firstLine="480"/>
              <w:jc w:val="both"/>
            </w:pPr>
            <w:r>
              <w:rPr>
                <w:rFonts w:ascii="仿宋_GB2312" w:hAnsi="仿宋_GB2312" w:cs="仿宋_GB2312" w:eastAsia="仿宋_GB2312"/>
                <w:sz w:val="24"/>
              </w:rPr>
              <w:t>9.6几何图形法计算面积的误差应满足下式</w:t>
            </w:r>
          </w:p>
          <w:p>
            <w:pPr>
              <w:pStyle w:val="null3"/>
              <w:ind w:firstLine="480"/>
              <w:jc w:val="both"/>
            </w:pPr>
            <w:r>
              <w:rPr>
                <w:rFonts w:ascii="仿宋_GB2312" w:hAnsi="仿宋_GB2312" w:cs="仿宋_GB2312" w:eastAsia="仿宋_GB2312"/>
                <w:sz w:val="24"/>
              </w:rPr>
              <w:t>式中</w:t>
            </w:r>
            <w:r>
              <w:rPr>
                <w:rFonts w:ascii="仿宋_GB2312" w:hAnsi="仿宋_GB2312" w:cs="仿宋_GB2312" w:eastAsia="仿宋_GB2312"/>
                <w:sz w:val="24"/>
              </w:rPr>
              <w:t>:P——量算面积 m2； ML——界址边量算的中误差 m。</w:t>
            </w:r>
          </w:p>
          <w:p>
            <w:pPr>
              <w:pStyle w:val="null3"/>
              <w:ind w:firstLine="480"/>
              <w:jc w:val="both"/>
            </w:pPr>
            <w:r>
              <w:rPr>
                <w:rFonts w:ascii="仿宋_GB2312" w:hAnsi="仿宋_GB2312" w:cs="仿宋_GB2312" w:eastAsia="仿宋_GB2312"/>
                <w:sz w:val="24"/>
              </w:rPr>
              <w:t>9.7 利用勘测定界用地总面积控制用地范围内原不同权属单位或不同土地利用类型 面积之和，当其相对误差小于 1/200 时，将误差按面积比例分配。</w:t>
            </w:r>
          </w:p>
          <w:p>
            <w:pPr>
              <w:pStyle w:val="null3"/>
              <w:ind w:firstLine="480"/>
              <w:jc w:val="both"/>
            </w:pPr>
            <w:r>
              <w:rPr>
                <w:rFonts w:ascii="仿宋_GB2312" w:hAnsi="仿宋_GB2312" w:cs="仿宋_GB2312" w:eastAsia="仿宋_GB2312"/>
                <w:sz w:val="24"/>
              </w:rPr>
              <w:t>9.8面积量算单位为 m2，取至 0.01 m2。</w:t>
            </w:r>
          </w:p>
          <w:p>
            <w:pPr>
              <w:pStyle w:val="null3"/>
              <w:ind w:firstLine="480"/>
              <w:jc w:val="both"/>
            </w:pPr>
            <w:r>
              <w:rPr>
                <w:rFonts w:ascii="仿宋_GB2312" w:hAnsi="仿宋_GB2312" w:cs="仿宋_GB2312" w:eastAsia="仿宋_GB2312"/>
                <w:sz w:val="24"/>
              </w:rPr>
              <w:t>10、勘测定界图</w:t>
            </w:r>
          </w:p>
          <w:p>
            <w:pPr>
              <w:pStyle w:val="null3"/>
              <w:ind w:firstLine="480"/>
              <w:jc w:val="both"/>
            </w:pPr>
            <w:r>
              <w:rPr>
                <w:rFonts w:ascii="仿宋_GB2312" w:hAnsi="仿宋_GB2312" w:cs="仿宋_GB2312" w:eastAsia="仿宋_GB2312"/>
                <w:sz w:val="24"/>
              </w:rPr>
              <w:t>10.1 勘测定界图是集各项地籍要素、土地利用现状要素和地形、地物要素为一体的 区域性专业图件。勘测定界图是利用实测界址点坐标和实地调查测量的权属、土地利用类 型等要素在地籍图或地形图上编绘或直接测绘。</w:t>
            </w:r>
          </w:p>
          <w:p>
            <w:pPr>
              <w:pStyle w:val="null3"/>
              <w:ind w:firstLine="480"/>
              <w:jc w:val="both"/>
            </w:pPr>
            <w:r>
              <w:rPr>
                <w:rFonts w:ascii="仿宋_GB2312" w:hAnsi="仿宋_GB2312" w:cs="仿宋_GB2312" w:eastAsia="仿宋_GB2312"/>
                <w:sz w:val="24"/>
              </w:rPr>
              <w:t>10.2 勘测定界图的主要内容包括：用地界址点和线、用地总面积；用地范围内各权 属单位名称及土地利用类型代号；用地范围内各地块编号及土地利用类型面积；用地范围 内的行政界线、各权属单位的界址线、基本农田界线、土地利用总体规划确定的城市和村 庄集镇建设用地规模范围内农用地转为建设用地的范围线、土地利用类型界线；地上物、 文字注记、数学要素等。</w:t>
            </w:r>
          </w:p>
          <w:p>
            <w:pPr>
              <w:pStyle w:val="null3"/>
              <w:ind w:firstLine="480"/>
              <w:jc w:val="both"/>
            </w:pPr>
            <w:r>
              <w:rPr>
                <w:rFonts w:ascii="仿宋_GB2312" w:hAnsi="仿宋_GB2312" w:cs="仿宋_GB2312" w:eastAsia="仿宋_GB2312"/>
                <w:sz w:val="24"/>
              </w:rPr>
              <w:t>10.3勘测定界图的比例尺不小于 1：2000，大型工程勘测定界图比例尺不小于 1：10000。</w:t>
            </w:r>
          </w:p>
          <w:p>
            <w:pPr>
              <w:pStyle w:val="null3"/>
              <w:ind w:firstLine="480"/>
              <w:jc w:val="both"/>
            </w:pPr>
            <w:r>
              <w:rPr>
                <w:rFonts w:ascii="仿宋_GB2312" w:hAnsi="仿宋_GB2312" w:cs="仿宋_GB2312" w:eastAsia="仿宋_GB2312"/>
                <w:sz w:val="24"/>
              </w:rPr>
              <w:t>10.4 勘测定界图上项目用地边界线可根据用地范围的大小用0.3mm 红色实线表示， 界址点用直径为 1mm 的圆圈表示；基本农田界线使用绿色绘制，并注明基本农田；农用地转为建设用地范围线使用黄色绘制；土地利用类型界线用直径 0.3mm、点间距 1.5mm 的点线表示。</w:t>
            </w:r>
          </w:p>
          <w:p>
            <w:pPr>
              <w:pStyle w:val="null3"/>
              <w:ind w:firstLine="480"/>
              <w:jc w:val="both"/>
            </w:pPr>
            <w:r>
              <w:rPr>
                <w:rFonts w:ascii="仿宋_GB2312" w:hAnsi="仿宋_GB2312" w:cs="仿宋_GB2312" w:eastAsia="仿宋_GB2312"/>
                <w:sz w:val="24"/>
              </w:rPr>
              <w:t>10.5勘测定界图上用地范围内每个权属单位均应在适当位置注记权属单位名称和面积；每个地块均应在适当的位置注记地块编号、土地利用类型号和面积。</w:t>
            </w:r>
          </w:p>
          <w:p>
            <w:pPr>
              <w:pStyle w:val="null3"/>
              <w:ind w:firstLine="480"/>
              <w:jc w:val="left"/>
            </w:pPr>
            <w:r>
              <w:rPr>
                <w:rFonts w:ascii="仿宋_GB2312" w:hAnsi="仿宋_GB2312" w:cs="仿宋_GB2312" w:eastAsia="仿宋_GB2312"/>
                <w:sz w:val="24"/>
              </w:rPr>
              <w:t>10.6勘测定界图图式按照《城镇地籍调查规程》及《土地利用现状调查技术规程》 的规定执行。对以上两个规程未作规定的图式，应按照国家颁布的现行比例尺图式执行。</w:t>
            </w:r>
          </w:p>
          <w:p>
            <w:pPr>
              <w:pStyle w:val="null3"/>
              <w:ind w:firstLine="480"/>
              <w:jc w:val="both"/>
            </w:pPr>
            <w:r>
              <w:rPr>
                <w:rFonts w:ascii="仿宋_GB2312" w:hAnsi="仿宋_GB2312" w:cs="仿宋_GB2312" w:eastAsia="仿宋_GB2312"/>
                <w:sz w:val="24"/>
              </w:rPr>
              <w:t>11、成果资料的检查与验收</w:t>
            </w:r>
          </w:p>
          <w:p>
            <w:pPr>
              <w:pStyle w:val="null3"/>
              <w:ind w:firstLine="480"/>
              <w:jc w:val="both"/>
            </w:pPr>
            <w:r>
              <w:rPr>
                <w:rFonts w:ascii="仿宋_GB2312" w:hAnsi="仿宋_GB2312" w:cs="仿宋_GB2312" w:eastAsia="仿宋_GB2312"/>
                <w:sz w:val="24"/>
              </w:rPr>
              <w:t>11.1一般规定</w:t>
            </w:r>
          </w:p>
          <w:p>
            <w:pPr>
              <w:pStyle w:val="null3"/>
              <w:ind w:firstLine="480"/>
              <w:jc w:val="both"/>
            </w:pPr>
            <w:r>
              <w:rPr>
                <w:rFonts w:ascii="仿宋_GB2312" w:hAnsi="仿宋_GB2312" w:cs="仿宋_GB2312" w:eastAsia="仿宋_GB2312"/>
                <w:sz w:val="24"/>
              </w:rPr>
              <w:t>11.1.1</w:t>
            </w:r>
            <w:r>
              <w:rPr>
                <w:rFonts w:ascii="仿宋_GB2312" w:hAnsi="仿宋_GB2312" w:cs="仿宋_GB2312" w:eastAsia="仿宋_GB2312"/>
                <w:sz w:val="24"/>
              </w:rPr>
              <w:t>成果检查、验收的制度</w:t>
            </w:r>
            <w:r>
              <w:rPr>
                <w:rFonts w:ascii="仿宋_GB2312" w:hAnsi="仿宋_GB2312" w:cs="仿宋_GB2312" w:eastAsia="仿宋_GB2312"/>
                <w:sz w:val="24"/>
              </w:rPr>
              <w:t>勘测定界成果实行二级检查一级验收制。一级检查为过程检查，在全面自检、互查的基础上，由作业组的专职或兼职检查人员承担。二级检查由施测单位的质量检查机构和专职检查人员在一级检查的基础上进行。</w:t>
            </w:r>
          </w:p>
          <w:p>
            <w:pPr>
              <w:pStyle w:val="null3"/>
              <w:ind w:firstLine="480"/>
              <w:jc w:val="both"/>
            </w:pPr>
            <w:r>
              <w:rPr>
                <w:rFonts w:ascii="仿宋_GB2312" w:hAnsi="仿宋_GB2312" w:cs="仿宋_GB2312" w:eastAsia="仿宋_GB2312"/>
                <w:sz w:val="24"/>
              </w:rPr>
              <w:t>11.1.2检查、验收中问题的登记和处理 各级检查验收中发现的问题，必须做好记录并提出处理意见。</w:t>
            </w:r>
          </w:p>
          <w:p>
            <w:pPr>
              <w:pStyle w:val="null3"/>
              <w:ind w:firstLine="480"/>
              <w:jc w:val="both"/>
            </w:pPr>
            <w:r>
              <w:rPr>
                <w:rFonts w:ascii="仿宋_GB2312" w:hAnsi="仿宋_GB2312" w:cs="仿宋_GB2312" w:eastAsia="仿宋_GB2312"/>
                <w:sz w:val="24"/>
              </w:rPr>
              <w:t>11.1.3检查、验收报告书</w:t>
            </w:r>
          </w:p>
          <w:p>
            <w:pPr>
              <w:pStyle w:val="null3"/>
              <w:ind w:firstLine="480"/>
              <w:jc w:val="both"/>
            </w:pPr>
            <w:r>
              <w:rPr>
                <w:rFonts w:ascii="仿宋_GB2312" w:hAnsi="仿宋_GB2312" w:cs="仿宋_GB2312" w:eastAsia="仿宋_GB2312"/>
                <w:sz w:val="24"/>
              </w:rPr>
              <w:t>11.1.3.1检查验收工作应在二级检查合格后由勘测定界单位的主管机关实施。</w:t>
            </w:r>
          </w:p>
          <w:p>
            <w:pPr>
              <w:pStyle w:val="null3"/>
              <w:ind w:firstLine="480"/>
              <w:jc w:val="both"/>
            </w:pPr>
            <w:r>
              <w:rPr>
                <w:rFonts w:ascii="仿宋_GB2312" w:hAnsi="仿宋_GB2312" w:cs="仿宋_GB2312" w:eastAsia="仿宋_GB2312"/>
                <w:sz w:val="24"/>
              </w:rPr>
              <w:t>11.1.3.2二级检查和验收工作完成后应分别写出检查、验收报告。</w:t>
            </w:r>
          </w:p>
          <w:p>
            <w:pPr>
              <w:pStyle w:val="null3"/>
              <w:ind w:firstLine="480"/>
              <w:jc w:val="both"/>
            </w:pPr>
            <w:r>
              <w:rPr>
                <w:rFonts w:ascii="仿宋_GB2312" w:hAnsi="仿宋_GB2312" w:cs="仿宋_GB2312" w:eastAsia="仿宋_GB2312"/>
                <w:sz w:val="24"/>
              </w:rPr>
              <w:t>11.1.4</w:t>
            </w:r>
            <w:r>
              <w:rPr>
                <w:rFonts w:ascii="仿宋_GB2312" w:hAnsi="仿宋_GB2312" w:cs="仿宋_GB2312" w:eastAsia="仿宋_GB2312"/>
                <w:sz w:val="24"/>
              </w:rPr>
              <w:t>上交成果资料内容</w:t>
            </w:r>
          </w:p>
          <w:p>
            <w:pPr>
              <w:pStyle w:val="null3"/>
              <w:ind w:firstLine="480"/>
              <w:jc w:val="both"/>
            </w:pPr>
            <w:r>
              <w:rPr>
                <w:rFonts w:ascii="仿宋_GB2312" w:hAnsi="仿宋_GB2312" w:cs="仿宋_GB2312" w:eastAsia="仿宋_GB2312"/>
                <w:sz w:val="24"/>
              </w:rPr>
              <w:t>——勘测定界图（参见附录 B）。</w:t>
            </w:r>
          </w:p>
          <w:p>
            <w:pPr>
              <w:pStyle w:val="null3"/>
              <w:ind w:firstLine="480"/>
              <w:jc w:val="both"/>
            </w:pPr>
            <w:r>
              <w:rPr>
                <w:rFonts w:ascii="仿宋_GB2312" w:hAnsi="仿宋_GB2312" w:cs="仿宋_GB2312" w:eastAsia="仿宋_GB2312"/>
                <w:sz w:val="24"/>
              </w:rPr>
              <w:t>——勘测定界技术报告书（参见附录 A）。</w:t>
            </w:r>
          </w:p>
          <w:p>
            <w:pPr>
              <w:pStyle w:val="null3"/>
              <w:ind w:firstLine="480"/>
              <w:jc w:val="both"/>
            </w:pPr>
            <w:r>
              <w:rPr>
                <w:rFonts w:ascii="仿宋_GB2312" w:hAnsi="仿宋_GB2312" w:cs="仿宋_GB2312" w:eastAsia="仿宋_GB2312"/>
                <w:sz w:val="24"/>
              </w:rPr>
              <w:t>——勘测定界用地范围图。</w:t>
            </w:r>
          </w:p>
          <w:p>
            <w:pPr>
              <w:pStyle w:val="null3"/>
              <w:ind w:firstLine="480"/>
              <w:jc w:val="both"/>
            </w:pPr>
            <w:r>
              <w:rPr>
                <w:rFonts w:ascii="仿宋_GB2312" w:hAnsi="仿宋_GB2312" w:cs="仿宋_GB2312" w:eastAsia="仿宋_GB2312"/>
                <w:sz w:val="24"/>
              </w:rPr>
              <w:t>——检查验收报告（参见附录 C）。</w:t>
            </w:r>
          </w:p>
          <w:p>
            <w:pPr>
              <w:pStyle w:val="null3"/>
              <w:ind w:firstLine="480"/>
              <w:jc w:val="both"/>
            </w:pPr>
            <w:r>
              <w:rPr>
                <w:rFonts w:ascii="仿宋_GB2312" w:hAnsi="仿宋_GB2312" w:cs="仿宋_GB2312" w:eastAsia="仿宋_GB2312"/>
                <w:sz w:val="24"/>
              </w:rPr>
              <w:t>11.2检查、验收项目及内容</w:t>
            </w:r>
          </w:p>
          <w:p>
            <w:pPr>
              <w:pStyle w:val="null3"/>
              <w:ind w:firstLine="480"/>
              <w:jc w:val="both"/>
            </w:pPr>
            <w:r>
              <w:rPr>
                <w:rFonts w:ascii="仿宋_GB2312" w:hAnsi="仿宋_GB2312" w:cs="仿宋_GB2312" w:eastAsia="仿宋_GB2312"/>
                <w:sz w:val="24"/>
              </w:rPr>
              <w:t>11.2.1控制测量</w:t>
            </w:r>
          </w:p>
          <w:p>
            <w:pPr>
              <w:pStyle w:val="null3"/>
              <w:ind w:firstLine="480"/>
              <w:jc w:val="both"/>
            </w:pPr>
            <w:r>
              <w:rPr>
                <w:rFonts w:ascii="仿宋_GB2312" w:hAnsi="仿宋_GB2312" w:cs="仿宋_GB2312" w:eastAsia="仿宋_GB2312"/>
                <w:sz w:val="24"/>
              </w:rPr>
              <w:t>——控制测量网的布设和标志埋设是否符合要求。</w:t>
            </w:r>
          </w:p>
          <w:p>
            <w:pPr>
              <w:pStyle w:val="null3"/>
              <w:ind w:firstLine="480"/>
              <w:jc w:val="both"/>
            </w:pPr>
            <w:r>
              <w:rPr>
                <w:rFonts w:ascii="仿宋_GB2312" w:hAnsi="仿宋_GB2312" w:cs="仿宋_GB2312" w:eastAsia="仿宋_GB2312"/>
                <w:sz w:val="24"/>
              </w:rPr>
              <w:t>——各种观测记录和计算是否正确。</w:t>
            </w:r>
          </w:p>
          <w:p>
            <w:pPr>
              <w:pStyle w:val="null3"/>
              <w:ind w:firstLine="480"/>
              <w:jc w:val="both"/>
            </w:pPr>
            <w:r>
              <w:rPr>
                <w:rFonts w:ascii="仿宋_GB2312" w:hAnsi="仿宋_GB2312" w:cs="仿宋_GB2312" w:eastAsia="仿宋_GB2312"/>
                <w:sz w:val="24"/>
              </w:rPr>
              <w:t>——各类控制点的测定方法、扩展次数及各种限差、成果精度是否符合要求。</w:t>
            </w:r>
          </w:p>
          <w:p>
            <w:pPr>
              <w:pStyle w:val="null3"/>
              <w:ind w:firstLine="480"/>
              <w:jc w:val="both"/>
            </w:pPr>
            <w:r>
              <w:rPr>
                <w:rFonts w:ascii="仿宋_GB2312" w:hAnsi="仿宋_GB2312" w:cs="仿宋_GB2312" w:eastAsia="仿宋_GB2312"/>
                <w:sz w:val="24"/>
              </w:rPr>
              <w:t>——起算数据和计算方法是否正确，平差的成果精度是否满足要求。</w:t>
            </w:r>
          </w:p>
          <w:p>
            <w:pPr>
              <w:pStyle w:val="null3"/>
              <w:ind w:firstLine="480"/>
              <w:jc w:val="both"/>
            </w:pPr>
            <w:r>
              <w:rPr>
                <w:rFonts w:ascii="仿宋_GB2312" w:hAnsi="仿宋_GB2312" w:cs="仿宋_GB2312" w:eastAsia="仿宋_GB2312"/>
                <w:sz w:val="24"/>
              </w:rPr>
              <w:t>11.2.2外业调查</w:t>
            </w:r>
          </w:p>
          <w:p>
            <w:pPr>
              <w:pStyle w:val="null3"/>
              <w:ind w:firstLine="480"/>
              <w:jc w:val="both"/>
            </w:pPr>
            <w:r>
              <w:rPr>
                <w:rFonts w:ascii="仿宋_GB2312" w:hAnsi="仿宋_GB2312" w:cs="仿宋_GB2312" w:eastAsia="仿宋_GB2312"/>
                <w:sz w:val="24"/>
              </w:rPr>
              <w:t>——权属调查的内容与填写是否齐全、正确。</w:t>
            </w:r>
          </w:p>
          <w:p>
            <w:pPr>
              <w:pStyle w:val="null3"/>
              <w:ind w:firstLine="480"/>
              <w:jc w:val="both"/>
            </w:pPr>
            <w:r>
              <w:rPr>
                <w:rFonts w:ascii="仿宋_GB2312" w:hAnsi="仿宋_GB2312" w:cs="仿宋_GB2312" w:eastAsia="仿宋_GB2312"/>
                <w:sz w:val="24"/>
              </w:rPr>
              <w:t>——土地面积汇总表中的土地利用类型与土地利用现状图上是否一致。</w:t>
            </w:r>
          </w:p>
          <w:p>
            <w:pPr>
              <w:pStyle w:val="null3"/>
              <w:ind w:firstLine="480"/>
              <w:jc w:val="both"/>
            </w:pPr>
            <w:r>
              <w:rPr>
                <w:rFonts w:ascii="仿宋_GB2312" w:hAnsi="仿宋_GB2312" w:cs="仿宋_GB2312" w:eastAsia="仿宋_GB2312"/>
                <w:sz w:val="24"/>
              </w:rPr>
              <w:t>11.2.3地籍要素测量</w:t>
            </w:r>
          </w:p>
          <w:p>
            <w:pPr>
              <w:pStyle w:val="null3"/>
              <w:ind w:firstLine="480"/>
              <w:jc w:val="both"/>
            </w:pPr>
            <w:r>
              <w:rPr>
                <w:rFonts w:ascii="仿宋_GB2312" w:hAnsi="仿宋_GB2312" w:cs="仿宋_GB2312" w:eastAsia="仿宋_GB2312"/>
                <w:sz w:val="24"/>
              </w:rPr>
              <w:t>——地籍要素测量的测量方法、记录和计算是否正确。</w:t>
            </w:r>
          </w:p>
          <w:p>
            <w:pPr>
              <w:pStyle w:val="null3"/>
              <w:ind w:firstLine="480"/>
              <w:jc w:val="both"/>
            </w:pPr>
            <w:r>
              <w:rPr>
                <w:rFonts w:ascii="仿宋_GB2312" w:hAnsi="仿宋_GB2312" w:cs="仿宋_GB2312" w:eastAsia="仿宋_GB2312"/>
                <w:sz w:val="24"/>
              </w:rPr>
              <w:t>——各项限差和成果精度是否符合要求。</w:t>
            </w:r>
          </w:p>
          <w:p>
            <w:pPr>
              <w:pStyle w:val="null3"/>
              <w:ind w:firstLine="480"/>
              <w:jc w:val="both"/>
            </w:pPr>
            <w:r>
              <w:rPr>
                <w:rFonts w:ascii="仿宋_GB2312" w:hAnsi="仿宋_GB2312" w:cs="仿宋_GB2312" w:eastAsia="仿宋_GB2312"/>
                <w:sz w:val="24"/>
              </w:rPr>
              <w:t>——测量的要素是否齐全、准确，对有关地物的取舍是否合理。</w:t>
            </w:r>
          </w:p>
          <w:p>
            <w:pPr>
              <w:pStyle w:val="null3"/>
              <w:ind w:firstLine="480"/>
              <w:jc w:val="both"/>
            </w:pPr>
            <w:r>
              <w:rPr>
                <w:rFonts w:ascii="仿宋_GB2312" w:hAnsi="仿宋_GB2312" w:cs="仿宋_GB2312" w:eastAsia="仿宋_GB2312"/>
                <w:sz w:val="24"/>
              </w:rPr>
              <w:t>11.2.4勘测定界图绘制</w:t>
            </w:r>
          </w:p>
          <w:p>
            <w:pPr>
              <w:pStyle w:val="null3"/>
              <w:ind w:firstLine="480"/>
              <w:jc w:val="both"/>
            </w:pPr>
            <w:r>
              <w:rPr>
                <w:rFonts w:ascii="仿宋_GB2312" w:hAnsi="仿宋_GB2312" w:cs="仿宋_GB2312" w:eastAsia="仿宋_GB2312"/>
                <w:sz w:val="24"/>
              </w:rPr>
              <w:t>——勘测定界图的规格尺寸，技术要求，表述内容，图廓整饰等是否符 合要求。</w:t>
            </w:r>
          </w:p>
          <w:p>
            <w:pPr>
              <w:pStyle w:val="null3"/>
              <w:ind w:firstLine="480"/>
              <w:jc w:val="both"/>
            </w:pPr>
            <w:r>
              <w:rPr>
                <w:rFonts w:ascii="仿宋_GB2312" w:hAnsi="仿宋_GB2312" w:cs="仿宋_GB2312" w:eastAsia="仿宋_GB2312"/>
                <w:sz w:val="24"/>
              </w:rPr>
              <w:t>——勘界要素的表述是否齐全、正确，是否符合要求。</w:t>
            </w:r>
          </w:p>
          <w:p>
            <w:pPr>
              <w:pStyle w:val="null3"/>
              <w:ind w:firstLine="480"/>
              <w:jc w:val="both"/>
            </w:pPr>
            <w:r>
              <w:rPr>
                <w:rFonts w:ascii="仿宋_GB2312" w:hAnsi="仿宋_GB2312" w:cs="仿宋_GB2312" w:eastAsia="仿宋_GB2312"/>
                <w:sz w:val="24"/>
              </w:rPr>
              <w:t>——对有关地形要素的取舍是否合理。</w:t>
            </w:r>
          </w:p>
          <w:p>
            <w:pPr>
              <w:pStyle w:val="null3"/>
              <w:ind w:firstLine="480"/>
              <w:jc w:val="both"/>
            </w:pPr>
            <w:r>
              <w:rPr>
                <w:rFonts w:ascii="仿宋_GB2312" w:hAnsi="仿宋_GB2312" w:cs="仿宋_GB2312" w:eastAsia="仿宋_GB2312"/>
                <w:sz w:val="24"/>
              </w:rPr>
              <w:t>——图面精度和图边处理是否符合要求。</w:t>
            </w:r>
          </w:p>
          <w:p>
            <w:pPr>
              <w:pStyle w:val="null3"/>
              <w:ind w:firstLine="480"/>
              <w:jc w:val="both"/>
            </w:pPr>
            <w:r>
              <w:rPr>
                <w:rFonts w:ascii="仿宋_GB2312" w:hAnsi="仿宋_GB2312" w:cs="仿宋_GB2312" w:eastAsia="仿宋_GB2312"/>
                <w:sz w:val="24"/>
              </w:rPr>
              <w:t>11.2.5面积测算</w:t>
            </w:r>
          </w:p>
          <w:p>
            <w:pPr>
              <w:pStyle w:val="null3"/>
              <w:ind w:firstLine="480"/>
              <w:jc w:val="both"/>
            </w:pPr>
            <w:r>
              <w:rPr>
                <w:rFonts w:ascii="仿宋_GB2312" w:hAnsi="仿宋_GB2312" w:cs="仿宋_GB2312" w:eastAsia="仿宋_GB2312"/>
                <w:sz w:val="24"/>
              </w:rPr>
              <w:t>——勘测定界面积的计算方法是否正确，精度是否符合要求。</w:t>
            </w:r>
          </w:p>
          <w:p>
            <w:pPr>
              <w:pStyle w:val="null3"/>
              <w:ind w:firstLine="480"/>
              <w:jc w:val="both"/>
            </w:pPr>
            <w:r>
              <w:rPr>
                <w:rFonts w:ascii="仿宋_GB2312" w:hAnsi="仿宋_GB2312" w:cs="仿宋_GB2312" w:eastAsia="仿宋_GB2312"/>
                <w:sz w:val="24"/>
              </w:rPr>
              <w:t>——用地面积的测算是否正确，精度是否符合要求。</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11.2.6变更与修测成果的检查</w:t>
            </w:r>
          </w:p>
          <w:p>
            <w:pPr>
              <w:pStyle w:val="null3"/>
              <w:ind w:firstLine="480"/>
              <w:jc w:val="both"/>
            </w:pPr>
            <w:r>
              <w:rPr>
                <w:rFonts w:ascii="仿宋_GB2312" w:hAnsi="仿宋_GB2312" w:cs="仿宋_GB2312" w:eastAsia="仿宋_GB2312"/>
                <w:sz w:val="24"/>
              </w:rPr>
              <w:t>——变更与修测的方法，测量基准、测绘精度等是否符合要求。</w:t>
            </w:r>
          </w:p>
          <w:p>
            <w:pPr>
              <w:pStyle w:val="null3"/>
              <w:ind w:firstLine="480"/>
              <w:jc w:val="both"/>
            </w:pPr>
            <w:r>
              <w:rPr>
                <w:rFonts w:ascii="仿宋_GB2312" w:hAnsi="仿宋_GB2312" w:cs="仿宋_GB2312" w:eastAsia="仿宋_GB2312"/>
                <w:sz w:val="24"/>
              </w:rPr>
              <w:t>——变更与修测后房地产要素编号的调整与处理是否正确。</w:t>
            </w:r>
          </w:p>
          <w:p>
            <w:pPr>
              <w:pStyle w:val="null3"/>
              <w:ind w:firstLine="480"/>
              <w:jc w:val="both"/>
            </w:pPr>
            <w:r>
              <w:rPr>
                <w:rFonts w:ascii="仿宋_GB2312" w:hAnsi="仿宋_GB2312" w:cs="仿宋_GB2312" w:eastAsia="仿宋_GB2312"/>
                <w:sz w:val="24"/>
              </w:rPr>
              <w:t>11.3成果质量的评定</w:t>
            </w:r>
          </w:p>
          <w:p>
            <w:pPr>
              <w:pStyle w:val="null3"/>
              <w:ind w:firstLine="480"/>
              <w:jc w:val="both"/>
            </w:pPr>
            <w:r>
              <w:rPr>
                <w:rFonts w:ascii="仿宋_GB2312" w:hAnsi="仿宋_GB2312" w:cs="仿宋_GB2312" w:eastAsia="仿宋_GB2312"/>
                <w:sz w:val="24"/>
              </w:rPr>
              <w:t>11.3.1</w:t>
            </w:r>
            <w:r>
              <w:rPr>
                <w:rFonts w:ascii="仿宋_GB2312" w:hAnsi="仿宋_GB2312" w:cs="仿宋_GB2312" w:eastAsia="仿宋_GB2312"/>
                <w:sz w:val="24"/>
              </w:rPr>
              <w:t>成果质量评定等级</w:t>
            </w:r>
            <w:r>
              <w:rPr>
                <w:rFonts w:ascii="仿宋_GB2312" w:hAnsi="仿宋_GB2312" w:cs="仿宋_GB2312" w:eastAsia="仿宋_GB2312"/>
                <w:sz w:val="24"/>
              </w:rPr>
              <w:t>成果质量实行优级品、良级品和合格品三级评定。</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11.3.2成果质量评定标准</w:t>
            </w:r>
          </w:p>
          <w:p>
            <w:pPr>
              <w:pStyle w:val="null3"/>
              <w:ind w:firstLine="480"/>
              <w:jc w:val="both"/>
            </w:pPr>
            <w:r>
              <w:rPr>
                <w:rFonts w:ascii="仿宋_GB2312" w:hAnsi="仿宋_GB2312" w:cs="仿宋_GB2312" w:eastAsia="仿宋_GB2312"/>
                <w:sz w:val="24"/>
              </w:rPr>
              <w:t>11.3.2.1成果质量由专职或兼职检查验收人员评定。</w:t>
            </w:r>
          </w:p>
          <w:p>
            <w:pPr>
              <w:pStyle w:val="null3"/>
              <w:jc w:val="both"/>
            </w:pPr>
            <w:r>
              <w:rPr>
                <w:rFonts w:ascii="仿宋_GB2312" w:hAnsi="仿宋_GB2312" w:cs="仿宋_GB2312" w:eastAsia="仿宋_GB2312"/>
                <w:sz w:val="24"/>
              </w:rPr>
              <w:t>11.3.2.2成果质量评定标准，可参照 CHl003－95 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both"/>
            </w:pPr>
            <w:r>
              <w:rPr>
                <w:rFonts w:ascii="仿宋_GB2312" w:hAnsi="仿宋_GB2312" w:cs="仿宋_GB2312" w:eastAsia="仿宋_GB2312"/>
                <w:sz w:val="21"/>
              </w:rPr>
              <w:t>本项目自成交单位签订合同之日起至合同履约完成之日止，成交单位将负责该项目实施过程中的人身安全、财产安全、环境安全，因本项目实施过程中造成的相应直接或间接损失，由供应商自行承担。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测绘成果</w:t>
            </w:r>
          </w:p>
        </w:tc>
        <w:tc>
          <w:tcPr>
            <w:tcW w:type="dxa" w:w="5814"/>
          </w:tcPr>
          <w:p>
            <w:pPr>
              <w:pStyle w:val="null3"/>
              <w:jc w:val="both"/>
            </w:pPr>
            <w:r>
              <w:rPr>
                <w:rFonts w:ascii="仿宋_GB2312" w:hAnsi="仿宋_GB2312" w:cs="仿宋_GB2312" w:eastAsia="仿宋_GB2312"/>
                <w:sz w:val="21"/>
              </w:rPr>
              <w:t>日常地籍测绘：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1）地籍测量成果，要求提供标准格式数据和要求坐标系数据，符合相关测绘精度和技术要求，符合土地登记要求。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2）权属调查成果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3）通过外业检查和入库技术检查，达到入库技术标准，并制作入库文件。</w:t>
            </w:r>
          </w:p>
          <w:p>
            <w:pPr>
              <w:pStyle w:val="null3"/>
              <w:jc w:val="both"/>
            </w:pPr>
            <w:r>
              <w:rPr>
                <w:rFonts w:ascii="仿宋_GB2312" w:hAnsi="仿宋_GB2312" w:cs="仿宋_GB2312" w:eastAsia="仿宋_GB2312"/>
                <w:sz w:val="21"/>
              </w:rPr>
              <w:t>勘测定界：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1）红线内勘界测绘成果，要求提供标准格式数据和要求坐标系数据，符合相关测绘精度和技术要求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2）红线内权属调查成果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3）勘测定界图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4）勘测定界报告书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技术服务方案要求</w:t>
            </w:r>
          </w:p>
        </w:tc>
        <w:tc>
          <w:tcPr>
            <w:tcW w:type="dxa" w:w="5814"/>
          </w:tcPr>
          <w:p>
            <w:pPr>
              <w:pStyle w:val="null3"/>
              <w:jc w:val="left"/>
            </w:pPr>
            <w:r>
              <w:rPr>
                <w:rFonts w:ascii="仿宋_GB2312" w:hAnsi="仿宋_GB2312" w:cs="仿宋_GB2312" w:eastAsia="仿宋_GB2312"/>
              </w:rPr>
              <w:t>供应商在满足招标文件实质性要求的基础上，提供本项目的技术服务方案，内容包含：①资料收集；②技术路线；③项目进度计划安排；④档案整理措施等。</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管理方案要求</w:t>
            </w:r>
          </w:p>
        </w:tc>
        <w:tc>
          <w:tcPr>
            <w:tcW w:type="dxa" w:w="5814"/>
          </w:tcPr>
          <w:p>
            <w:pPr>
              <w:pStyle w:val="null3"/>
              <w:jc w:val="left"/>
            </w:pPr>
            <w:r>
              <w:rPr>
                <w:rFonts w:ascii="仿宋_GB2312" w:hAnsi="仿宋_GB2312" w:cs="仿宋_GB2312" w:eastAsia="仿宋_GB2312"/>
              </w:rPr>
              <w:t>供应商在满足招标文件实质性要求的基础上，提供本项目的管理方案，内容包含：①项目管理机构；②工作职能组织运行；③内部的职责分工；④质量控制措施；⑤安全保障及应急措施；⑥保密措施等。</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履约能力要求</w:t>
            </w:r>
          </w:p>
        </w:tc>
        <w:tc>
          <w:tcPr>
            <w:tcW w:type="dxa" w:w="5814"/>
          </w:tcPr>
          <w:p>
            <w:pPr>
              <w:pStyle w:val="null3"/>
              <w:jc w:val="left"/>
            </w:pPr>
            <w:r>
              <w:rPr>
                <w:rFonts w:ascii="仿宋_GB2312" w:hAnsi="仿宋_GB2312" w:cs="仿宋_GB2312" w:eastAsia="仿宋_GB2312"/>
              </w:rPr>
              <w:t>供应商自2023年1月1日起至今承担过类似项目业绩。</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设备配置要求</w:t>
            </w:r>
          </w:p>
        </w:tc>
        <w:tc>
          <w:tcPr>
            <w:tcW w:type="dxa" w:w="5814"/>
          </w:tcPr>
          <w:p>
            <w:pPr>
              <w:pStyle w:val="null3"/>
              <w:jc w:val="left"/>
            </w:pPr>
            <w:r>
              <w:rPr>
                <w:rFonts w:ascii="仿宋_GB2312" w:hAnsi="仿宋_GB2312" w:cs="仿宋_GB2312" w:eastAsia="仿宋_GB2312"/>
              </w:rPr>
              <w:t xml:space="preserve">供应商拟投入设备包括GNSS接收机、全站仪等。 </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供应商拟投入具备本项目相应专业素质的团队人员，包括项目负责人、技术负责人、质检负责人、安全负责人及其他服务人员。</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后续服务方案要求</w:t>
            </w:r>
          </w:p>
        </w:tc>
        <w:tc>
          <w:tcPr>
            <w:tcW w:type="dxa" w:w="5814"/>
          </w:tcPr>
          <w:p>
            <w:pPr>
              <w:pStyle w:val="null3"/>
              <w:jc w:val="left"/>
            </w:pPr>
            <w:r>
              <w:rPr>
                <w:rFonts w:ascii="仿宋_GB2312" w:hAnsi="仿宋_GB2312" w:cs="仿宋_GB2312" w:eastAsia="仿宋_GB2312"/>
              </w:rPr>
              <w:t>供应商在满足招标文件实质性要求的基础上，提供本项目的后续服务方案，包括①响应时间及人员安排；②售后服务体系；③售后服务保障措施等。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采购人指定地址。（新津区）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应严格按照按照国家、行业相关标准、本项目采购文件第三章的技术要求、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季度结束后的7个工作日内，供应商应向采购人提交工程量结算单。采购人应在收到结算单后7个工作日内予以确认。采购人确认工程量后，供应商应提供等额合法的增值税发票、相应的成果资料等完整的请款资料，采购人在收到合规发票、成果资料等完整资料后，达到付款条件起10日内，据实结算说明为支付该季度服务费用（实际工程量*中标单价）。前三个季度的累计支付金额不超过合同总价的75%。待项目最终验收合格后，按剩余实际工程量*中标单价支付剩余款项。最终结算金额不超过本项目预算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1.采购方逾期支付服务费的，除应及时付足服务费外，每天应向供应商支付欠款总额万分之一的违约金，且违约金总额不得低于以欠款总额为基数，按合同订立时一年期贷款市场报价利率（LPR）计算的利息。 2.供应商应按照规定的时间、地点交货或提供相关服务。在履行合同过程中，如果供应商遇到可能影响按时交货或提供服务的情形时，应及时以书面形式将迟延的事实、可能迟延的期限和理由通知采购人。采购人在收到供应商通知后，应尽快对情况进行评价，并确定是否同意延长交货时间或延期提供服务。 3.如果供应商没有按照规定的时间交货或提供相关服务，采购人有权从服务费中扣除误期赔偿费而不影响合同项下的其他补救方法，赔偿费的计算方法为：每逾期一日，供应商应向采购人支付合同总金额万分之五的违约金，但累计违约金不超过合同总金额的百分之十。如果涉及公共利益，且赔偿金额无法弥补公共利益损失，采购人可要求继续履行或者采取其他补救措施。 4.在合同履行过程中，如发生合同纠纷，合同双方应首先由双方项目负责人协商解决，协商不成的，向采购人所在地有管辖权的人民法院起诉。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★1.本章所涉及的国家、行业法律法规如有最新版本，按最新版本要求执行。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合同分包的，分包意向协议中分包意向投标人应当符合本采购包专门面向的企业类型。①提供分包意向协议原件（格式自拟），同时须提供分包单位的中小企业声明函原件。②采购合同实行分包履行的，中标人就采购项目和分包项目向采购人负责，分包供应商就分包项目承担责任。③中小企业根据《政府采购促进中小企业发展管理办法》（财库〔2020〕46号）的规定依据本办法规定享受扶持政策获得政府采购合同的，小微企业不得将合同分包给大中型企业，中型企业不得将合同分包给大型企业，分包企业之间不得存在直接控股、管理关系的。</w:t>
            </w:r>
          </w:p>
        </w:tc>
        <w:tc>
          <w:tcPr>
            <w:tcW w:type="dxa" w:w="1661"/>
          </w:tcPr>
          <w:p>
            <w:pPr>
              <w:pStyle w:val="null3"/>
              <w:jc w:val="left"/>
            </w:pPr>
            <w:r>
              <w:rPr>
                <w:rFonts w:ascii="仿宋_GB2312" w:hAnsi="仿宋_GB2312" w:cs="仿宋_GB2312" w:eastAsia="仿宋_GB2312"/>
              </w:rPr>
              <w:t>格式-分包意向协议.docx,中小企业声明函,残疾人福利性单位声明函,监狱企业的证明文件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供应商具有国家行政主管部门颁发的有效的乙级或以上测绘资质，提供证书扫描件</w:t>
            </w:r>
          </w:p>
        </w:tc>
        <w:tc>
          <w:tcPr>
            <w:tcW w:type="dxa" w:w="3322"/>
          </w:tcPr>
          <w:p>
            <w:pPr>
              <w:pStyle w:val="null3"/>
              <w:jc w:val="left"/>
            </w:pPr>
            <w:r>
              <w:rPr>
                <w:rFonts w:ascii="仿宋_GB2312" w:hAnsi="仿宋_GB2312" w:cs="仿宋_GB2312" w:eastAsia="仿宋_GB2312"/>
              </w:rPr>
              <w:t>供应商具有国家行政主管部门颁发的有效的乙级或以上测绘资质，提供证书扫描件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招标文件中其余实质性要求</w:t>
            </w:r>
          </w:p>
        </w:tc>
        <w:tc>
          <w:tcPr>
            <w:tcW w:type="dxa" w:w="3322"/>
          </w:tcPr>
          <w:p>
            <w:pPr>
              <w:pStyle w:val="null3"/>
              <w:jc w:val="left"/>
            </w:pPr>
            <w:r>
              <w:rPr>
                <w:rFonts w:ascii="仿宋_GB2312" w:hAnsi="仿宋_GB2312" w:cs="仿宋_GB2312" w:eastAsia="仿宋_GB2312"/>
              </w:rPr>
              <w:t>完全响应招标文件中其余实质性要求，并按招标文件要求提供相关证明材料（如有）</w:t>
            </w:r>
          </w:p>
        </w:tc>
        <w:tc>
          <w:tcPr>
            <w:tcW w:type="dxa" w:w="1661"/>
          </w:tcPr>
          <w:p>
            <w:pPr>
              <w:pStyle w:val="null3"/>
              <w:jc w:val="left"/>
            </w:pPr>
            <w:r>
              <w:rPr>
                <w:rFonts w:ascii="仿宋_GB2312" w:hAnsi="仿宋_GB2312" w:cs="仿宋_GB2312" w:eastAsia="仿宋_GB2312"/>
              </w:rPr>
              <w:t>投标人应提交的相关证明材料,格式-技术、服务及其他要求应答表.docx,服务应答表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针对本项目所提供的技术服务方案进行综合评审，内容包含但不限于：①资料收集；②技术路线；③项目进度计划安排；④档案整理措施等。内容完整，切实符合项目需求的得16分。每有一项缺失扣4分，每有一处有缺陷的扣2分，扣完为止。 2、根据供应商针对本项目所提供的管理方案进行综合评审，内容包含但不限于：①项目管理机构；②工作职能组织运行；③内部的职责分工；④质量控制措施；⑤安全保障及应急措施；⑥保密措施等。内容完整，切实符合项目需求的得24分。每有一项缺失扣4分，每有一处有缺陷的扣2分，扣完为止。 注：缺陷是指：存在项目名称错误、地点区域错误、内容与本项目需求无关、存在不适用项目实际情况的情形、表述存在歧义、方案内容与要求不符、仅有框架内容、适用的标准（方法）错误、明显复制其他项目内容、存在错义词等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格式-技术、服务及其他要求应答表.docx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供应商自2023年1月1日起至今承担过类似项目业绩的，每提供一个得2分，满分6分。 注：提供采购合同或中标（成交）通知书复印件加盖投标人电子签章。注：类似项目业绩是指地籍测绘或勘测定界业绩。时间以合同签订时间或中标（成交）通知书时间为准。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格式-技术、服务及其他要求应答表.docx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设备配置</w:t>
            </w:r>
          </w:p>
        </w:tc>
        <w:tc>
          <w:tcPr>
            <w:tcW w:type="dxa" w:w="2575"/>
          </w:tcPr>
          <w:p>
            <w:pPr>
              <w:pStyle w:val="null3"/>
              <w:jc w:val="left"/>
            </w:pPr>
            <w:r>
              <w:rPr>
                <w:rFonts w:ascii="仿宋_GB2312" w:hAnsi="仿宋_GB2312" w:cs="仿宋_GB2312" w:eastAsia="仿宋_GB2312"/>
              </w:rPr>
              <w:t>1、供应商拟投入设备：每具有1台GNSS接收机得0.5分，本项满分5分。 2、供应商拟投入设备：每具有1台全站仪得0.5分，本项满分5分。 注：供应商提供有效期内的检定证书扫描件予以佐证，不提供或不满足不得分。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格式-技术、服务及其他要求应答表.docx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 拟投入本项目的项目负责人具有测绘类高级及以上职称得4分，具有国土类高级及以上职称加3分，本项满分7分。 2、技术负责人（1人）： 拟投入本项目的技术负责人具有测绘类高级及以上职称得4分，具有国土类高级及以上职称加3分，本项满分7分。 3、质检负责人（1人）：拟投入本项目的质检负责人具有测绘类高级及以上职称的得2 分，具有注册测绘师的加2分，本项满分4分。 4、安全负责人（1人）：拟投入本项目的安全负责人具有测绘类高级及以上职称的得2 分，具有注册测绘师的加2分，具有测绘地理信息安全生产暨质量管理及检查员培训合格证书加2分，本项满分6分。 5、拟为本项目配置的服务人员中（项目负责人、技术负责人、质检负责人、安全负责人除外），每有1名具备国土类中级或以上职称或测绘类中级或以上职称的人员得0.5分，此项满分为4分。 注：以上第1至5项，供应商需提供人员身份证、对应的职称证书扫描件及在职证明予以佐证，注册证书须提供注册资格证书及注册在本单位的官网查询截图，不提供或不满足不得分；以上第1至4项人员不可重复计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格式-技术、服务及其他要求应答表.docx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针对本项目所提供的后续服务方案进行综合评审，包括①响应时间及人员安排；②售后服务体系；③售后服务保障措施；完全满足项目需求得6分，每有一项缺失扣2分，每有一处有缺陷的扣1分，扣完为止。 注：缺陷是指：存在项目名称错误、地点区域错误、内容与本项目需求无关、存在不适用项目实际情况的情形、表述存在歧义、方案内容与要求不符、仅有框架内容、适用的标准（方法）错误、明显复制其他项目内容、存在错义词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格式-技术、服务及其他要求应答表.docx</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地籍测绘</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jc w:val="left"/>
            </w:pPr>
            <w:r>
              <w:rPr>
                <w:rFonts w:ascii="仿宋_GB2312" w:hAnsi="仿宋_GB2312" w:cs="仿宋_GB2312" w:eastAsia="仿宋_GB2312"/>
              </w:rPr>
              <w:t>勘测定界</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详见附件：格式-技术、服务及其他要求应答表.docx</w:t>
      </w:r>
    </w:p>
    <w:p>
      <w:pPr>
        <w:pStyle w:val="null3"/>
        <w:ind w:firstLine="960"/>
        <w:jc w:val="left"/>
      </w:pPr>
      <w:r>
        <w:rPr>
          <w:rFonts w:ascii="仿宋_GB2312" w:hAnsi="仿宋_GB2312" w:cs="仿宋_GB2312" w:eastAsia="仿宋_GB2312"/>
        </w:rPr>
        <w:t>详见附件：格式-分包意向协议.docx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