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版本号：N513325202600004520260403001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雅江县国土空间总体规划动态调整完善项目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N5133252026000045</w:t>
      </w:r>
    </w:p>
    <w:p>
      <w:pPr>
        <w:pStyle w:val="null3"/>
        <w:jc w:val="center"/>
        <w:outlineLvl w:val="2"/>
      </w:pPr>
      <w:r>
        <w:rPr>
          <w:rFonts w:ascii="仿宋_GB2312" w:hAnsi="仿宋_GB2312" w:cs="仿宋_GB2312" w:eastAsia="仿宋_GB2312"/>
          <w:sz w:val="28"/>
          <w:b/>
        </w:rPr>
        <w:t>雅江县自然资源和规划局</w:t>
      </w:r>
    </w:p>
    <w:p>
      <w:pPr>
        <w:pStyle w:val="null3"/>
        <w:jc w:val="center"/>
        <w:outlineLvl w:val="2"/>
      </w:pPr>
      <w:r>
        <w:rPr>
          <w:rFonts w:ascii="仿宋_GB2312" w:hAnsi="仿宋_GB2312" w:cs="仿宋_GB2312" w:eastAsia="仿宋_GB2312"/>
          <w:sz w:val="28"/>
          <w:b/>
        </w:rPr>
        <w:t>中正天达建设集团有限公司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中正天达建设集团有限公司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雅江县自然资源和规划局</w:t>
      </w:r>
      <w:r>
        <w:rPr>
          <w:rFonts w:ascii="仿宋_GB2312" w:hAnsi="仿宋_GB2312" w:cs="仿宋_GB2312" w:eastAsia="仿宋_GB2312"/>
        </w:rPr>
        <w:t xml:space="preserve"> 委托，拟对 </w:t>
      </w:r>
      <w:r>
        <w:rPr>
          <w:rFonts w:ascii="仿宋_GB2312" w:hAnsi="仿宋_GB2312" w:cs="仿宋_GB2312" w:eastAsia="仿宋_GB2312"/>
        </w:rPr>
        <w:t>雅江县国土空间总体规划动态调整完善项目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甘孜藏族自治州雅江县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N5133252026000045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雅江县国土空间总体规划动态调整完善项目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本项目为雅江县国土空间总体规划动态调整完善项目。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行政主管部门颁发的且在有效期内的城乡规划编制乙级及以上资质。（描述：提供行政主管部门颁发的且在有效期内的城乡规划编制乙级及以上资质证书复印件或扫描件并进行电子签章，供应商未提供相关证明材料或提供的相关证明材料未满足要求，将视为无效响应。）</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雅江县自然资源和规划局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雅江县木雅广场附属办公楼15层2号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群错老师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0836-5127227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中正天达建设集团有限公司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成都市金牛区成都金牛高新技术产业园区兴科中路1号2栋1楼1号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028—87558529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采购包1：966,000.00元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中华人民共和国国家发展计划委员会计价格〔2002〕1980号《招标代理服务收费管理暂行办法》和发改办价格〔2003〕857号文件规定收费标准计取，由中标（成交）供应商在领取中标（成交）通知书时向采购代理机构一次性付清。</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雅江县自然资源和规划局</w:t>
      </w:r>
      <w:r>
        <w:rPr>
          <w:rFonts w:ascii="仿宋_GB2312" w:hAnsi="仿宋_GB2312" w:cs="仿宋_GB2312" w:eastAsia="仿宋_GB2312"/>
        </w:rPr>
        <w:t xml:space="preserve"> 和 </w:t>
      </w:r>
      <w:r>
        <w:rPr>
          <w:rFonts w:ascii="仿宋_GB2312" w:hAnsi="仿宋_GB2312" w:cs="仿宋_GB2312" w:eastAsia="仿宋_GB2312"/>
        </w:rPr>
        <w:t>中正天达建设集团有限公司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雅江县自然资源和规划局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中正天达建设集团有限公司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采购文件的质量要求和技术指标、供应商的响应文件及承诺与合同约定标准进行技术履约验收。验收时如发现质量要求和技术指标不符合标准及合同约定之情形者，采购人做出详尽的现场记录，或由双方签署备忘录，此现场记录或备忘录可用作补充、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采购文件的商务要求、供应商的响应文件及承诺与合同约定标准进行商务履约验收。验收时如发现不符合标准及合同约定之情形者，采购人做出详尽的现场记录，或由双方签署备忘录，此现场记录或备忘录可用作补充、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以采购文件要求、中标(成交)供应商的响应文件及承诺、签订的合同和国家及行业相关规范标准为准，严格按照政府采购相关法律法规以及《财政部关于进一步加强政府采购需求和履约验收管理的指导意见》（财库〔2016〕205 号）的要求进行验收。若验收不合格，成交供应商须根据验收要求及时整改，由此造成的一切损失由成交供应商一方负责；若验收合格出具验收报告。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成交人提供虚假材料谋取中标(成交)或达不到采购要求的，采购人有权拒绝验收，并按《中华人民共和国民法典》追究其相关法律责任。（2）其他未尽事宜应严格按照《关于进一步加强政府采购采购需求和履约验收管理的指导意见》 (财库〔2016〕205号)的要求进行验收。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雅江县自然资源和规划局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中正天达建设集团有限公司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中正天达建设集团有限公司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联系人：群错老师</w:t>
      </w:r>
    </w:p>
    <w:p>
      <w:pPr>
        <w:pStyle w:val="null3"/>
        <w:jc w:val="left"/>
      </w:pPr>
      <w:r>
        <w:rPr>
          <w:rFonts w:ascii="仿宋_GB2312" w:hAnsi="仿宋_GB2312" w:cs="仿宋_GB2312" w:eastAsia="仿宋_GB2312"/>
        </w:rPr>
        <w:t>联系电话：0836-5127227</w:t>
      </w:r>
    </w:p>
    <w:p>
      <w:pPr>
        <w:pStyle w:val="null3"/>
        <w:jc w:val="left"/>
      </w:pPr>
      <w:r>
        <w:rPr>
          <w:rFonts w:ascii="仿宋_GB2312" w:hAnsi="仿宋_GB2312" w:cs="仿宋_GB2312" w:eastAsia="仿宋_GB2312"/>
        </w:rPr>
        <w:t>地址：雅江县木雅广场附属办公楼15层2号</w:t>
      </w:r>
    </w:p>
    <w:p>
      <w:pPr>
        <w:pStyle w:val="null3"/>
        <w:jc w:val="left"/>
      </w:pPr>
      <w:r>
        <w:rPr>
          <w:rFonts w:ascii="仿宋_GB2312" w:hAnsi="仿宋_GB2312" w:cs="仿宋_GB2312" w:eastAsia="仿宋_GB2312"/>
        </w:rPr>
        <w:t>邮编：627450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联系电话：028一87558529</w:t>
      </w:r>
    </w:p>
    <w:p>
      <w:pPr>
        <w:pStyle w:val="null3"/>
        <w:jc w:val="left"/>
      </w:pPr>
      <w:r>
        <w:rPr>
          <w:rFonts w:ascii="仿宋_GB2312" w:hAnsi="仿宋_GB2312" w:cs="仿宋_GB2312" w:eastAsia="仿宋_GB2312"/>
        </w:rPr>
        <w:t>地址：成都市金牛区成都金牛高新技术产业园区兴科中路1号2栋1楼1号</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966,000.00</w:t>
      </w:r>
    </w:p>
    <w:p>
      <w:pPr>
        <w:pStyle w:val="null3"/>
        <w:jc w:val="left"/>
      </w:pPr>
      <w:r>
        <w:rPr>
          <w:rFonts w:ascii="仿宋_GB2312" w:hAnsi="仿宋_GB2312" w:cs="仿宋_GB2312" w:eastAsia="仿宋_GB2312"/>
        </w:rPr>
        <w:t>采购包最高限价（元）: 966,000.00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雅江县国土空间总体规划动态调整完善项目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966,000.00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雅江县国土空间总体规划动态调整完善项目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966,000.00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标的名称：雅江县国土空间总体规划动态调整完善项目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24"/>
              </w:rPr>
              <w:t xml:space="preserve">  一、服务内容：</w:t>
            </w:r>
          </w:p>
          <w:p>
            <w:pPr>
              <w:pStyle w:val="null3"/>
              <w:ind w:firstLine="400"/>
              <w:jc w:val="left"/>
            </w:pPr>
            <w:r>
              <w:rPr>
                <w:rFonts w:ascii="仿宋_GB2312" w:hAnsi="仿宋_GB2312" w:cs="仿宋_GB2312" w:eastAsia="仿宋_GB2312"/>
                <w:sz w:val="24"/>
              </w:rPr>
              <w:t>在严守空间安全底线和红线，不突破市县总体规划确定的保护目标任务，不改变总体规划确定的空间结构和格局的前提下，可对市县总体规划进行动态维护，包括"三条控制线"(耕地和永久基本攻田，生态保护红线，城镇开发边界)，规划分区，心城区用地规划布局，城市重要控制线，重点建设项目清单等。</w:t>
            </w:r>
          </w:p>
          <w:p>
            <w:pPr>
              <w:pStyle w:val="null3"/>
              <w:ind w:firstLine="400"/>
              <w:jc w:val="left"/>
            </w:pPr>
            <w:r>
              <w:rPr>
                <w:rFonts w:ascii="仿宋_GB2312" w:hAnsi="仿宋_GB2312" w:cs="仿宋_GB2312" w:eastAsia="仿宋_GB2312"/>
                <w:sz w:val="24"/>
              </w:rPr>
              <w:t>1.三条控制线</w:t>
            </w:r>
          </w:p>
          <w:p>
            <w:pPr>
              <w:pStyle w:val="null3"/>
              <w:ind w:firstLine="400"/>
              <w:jc w:val="left"/>
            </w:pPr>
            <w:r>
              <w:rPr>
                <w:rFonts w:ascii="仿宋_GB2312" w:hAnsi="仿宋_GB2312" w:cs="仿宋_GB2312" w:eastAsia="仿宋_GB2312"/>
                <w:sz w:val="24"/>
              </w:rPr>
              <w:t>（1）永久基本农田优化。坚持数量不减少，质量不降低，有局有优化，生态有改善的原则，坚持"优进劣出""以进定出",正向优化永久基本农田布局。</w:t>
            </w:r>
          </w:p>
          <w:p>
            <w:pPr>
              <w:pStyle w:val="null3"/>
              <w:ind w:firstLine="400"/>
              <w:jc w:val="left"/>
            </w:pPr>
            <w:r>
              <w:rPr>
                <w:rFonts w:ascii="仿宋_GB2312" w:hAnsi="仿宋_GB2312" w:cs="仿宋_GB2312" w:eastAsia="仿宋_GB2312"/>
                <w:sz w:val="24"/>
              </w:rPr>
              <w:t>（2）生态保护红线优化。在不突破国务院批准的省级，市级总规划确定的生态保护红线面积指标前提下，自然保护地整合优化方案经国务院批准后，可按照规则相应调整生态保护红线。</w:t>
            </w:r>
          </w:p>
          <w:p>
            <w:pPr>
              <w:pStyle w:val="null3"/>
              <w:ind w:firstLine="400"/>
              <w:jc w:val="left"/>
            </w:pPr>
            <w:r>
              <w:rPr>
                <w:rFonts w:ascii="仿宋_GB2312" w:hAnsi="仿宋_GB2312" w:cs="仿宋_GB2312" w:eastAsia="仿宋_GB2312"/>
                <w:sz w:val="24"/>
              </w:rPr>
              <w:t>（3）城镇开发边界优化。在严守空间安全底线，不突破固土空间总体规划确定的约束性指标，按照集中连片，集约紧凑的原则，在不对城镇空间结构，功能布局产生重大影响的前提下，可对城镇开发边界进行局部优化，原则上不得产生新的"天窗"和破碎图斑。</w:t>
            </w:r>
          </w:p>
          <w:p>
            <w:pPr>
              <w:pStyle w:val="null3"/>
              <w:ind w:firstLine="400"/>
              <w:jc w:val="left"/>
            </w:pPr>
            <w:r>
              <w:rPr>
                <w:rFonts w:ascii="仿宋_GB2312" w:hAnsi="仿宋_GB2312" w:cs="仿宋_GB2312" w:eastAsia="仿宋_GB2312"/>
                <w:sz w:val="24"/>
              </w:rPr>
              <w:t>2.规划分区优化</w:t>
            </w:r>
          </w:p>
          <w:p>
            <w:pPr>
              <w:pStyle w:val="null3"/>
              <w:ind w:firstLine="400"/>
              <w:jc w:val="left"/>
            </w:pPr>
            <w:r>
              <w:rPr>
                <w:rFonts w:ascii="仿宋_GB2312" w:hAnsi="仿宋_GB2312" w:cs="仿宋_GB2312" w:eastAsia="仿宋_GB2312"/>
                <w:sz w:val="24"/>
              </w:rPr>
              <w:t>在一级规划分区类型不增加的基础上，充分考虑生态环境保护，经济布局，人口分布，土地利用等多项因素，衔接乡村全面振兴，找矿突破战略行动等重点工作需求，结合三条控制线动态维护方案，对生态保护区，生态控制区，农田保护区，城镇发展区，乡村发展区，矿产能源发展区等规划分区开展动态维护，支持探索乡镇国土空间总体规划维护内容纳入县级国土空间总体规划一并进行维护。</w:t>
            </w:r>
          </w:p>
          <w:p>
            <w:pPr>
              <w:pStyle w:val="null3"/>
              <w:ind w:firstLine="400"/>
              <w:jc w:val="left"/>
            </w:pPr>
            <w:r>
              <w:rPr>
                <w:rFonts w:ascii="仿宋_GB2312" w:hAnsi="仿宋_GB2312" w:cs="仿宋_GB2312" w:eastAsia="仿宋_GB2312"/>
                <w:sz w:val="24"/>
              </w:rPr>
              <w:t>3.中心城区用地规划布局优化</w:t>
            </w:r>
          </w:p>
          <w:p>
            <w:pPr>
              <w:pStyle w:val="null3"/>
              <w:ind w:firstLine="400"/>
              <w:jc w:val="left"/>
            </w:pPr>
            <w:r>
              <w:rPr>
                <w:rFonts w:ascii="仿宋_GB2312" w:hAnsi="仿宋_GB2312" w:cs="仿宋_GB2312" w:eastAsia="仿宋_GB2312"/>
                <w:sz w:val="24"/>
              </w:rPr>
              <w:t>结合三条控制线，规划用途分区动态维护，聚焦规划实施评他中存在的主要问题，以及"十五五"时期城市发展重点，在保持布局规模和空间结构基本稳定前提下，按照有利于规划实施的原则，对中心城区用地规划布局进行动态维护，进一步优化空间结构和用地布局，落实完整社区建设基本公共服务设施，便民商业服务设施，市政配套基础设施，公共活动空间等配置要求，重点聚焦"一老一小"完善无障碍，适老化配套设施，托育，儿童活动场地等配套设施，提升资源配置水平与效率。</w:t>
            </w:r>
          </w:p>
          <w:p>
            <w:pPr>
              <w:pStyle w:val="null3"/>
              <w:ind w:firstLine="400"/>
              <w:jc w:val="left"/>
            </w:pPr>
            <w:r>
              <w:rPr>
                <w:rFonts w:ascii="仿宋_GB2312" w:hAnsi="仿宋_GB2312" w:cs="仿宋_GB2312" w:eastAsia="仿宋_GB2312"/>
                <w:sz w:val="24"/>
              </w:rPr>
              <w:t>4.城市重要控制线</w:t>
            </w:r>
          </w:p>
          <w:p>
            <w:pPr>
              <w:pStyle w:val="null3"/>
              <w:ind w:firstLine="400"/>
              <w:jc w:val="left"/>
            </w:pPr>
            <w:r>
              <w:rPr>
                <w:rFonts w:ascii="仿宋_GB2312" w:hAnsi="仿宋_GB2312" w:cs="仿宋_GB2312" w:eastAsia="仿宋_GB2312"/>
                <w:sz w:val="24"/>
              </w:rPr>
              <w:t>（1）城市绿线</w:t>
            </w:r>
          </w:p>
          <w:p>
            <w:pPr>
              <w:pStyle w:val="null3"/>
              <w:ind w:firstLine="400"/>
              <w:jc w:val="left"/>
            </w:pPr>
            <w:r>
              <w:rPr>
                <w:rFonts w:ascii="仿宋_GB2312" w:hAnsi="仿宋_GB2312" w:cs="仿宋_GB2312" w:eastAsia="仿宋_GB2312"/>
                <w:sz w:val="24"/>
              </w:rPr>
              <w:t>在确保绿线布局和规模基本稳定，功能不降低，服务范围不改变的前提下，对城市绿线具体边界进行优化。原则上整后线总量不减少，格局保持稳定，调整比例不超过10%；针对在原规划中绿线划定不合理，导致调整后总量减少，调整比例超过10%的须单独提交情况说明材料，充分阐述调整理由。</w:t>
            </w:r>
          </w:p>
          <w:p>
            <w:pPr>
              <w:pStyle w:val="null3"/>
              <w:ind w:firstLine="400"/>
              <w:jc w:val="left"/>
            </w:pPr>
            <w:r>
              <w:rPr>
                <w:rFonts w:ascii="仿宋_GB2312" w:hAnsi="仿宋_GB2312" w:cs="仿宋_GB2312" w:eastAsia="仿宋_GB2312"/>
                <w:sz w:val="24"/>
              </w:rPr>
              <w:t>（2）城市蓝线</w:t>
            </w:r>
          </w:p>
          <w:p>
            <w:pPr>
              <w:pStyle w:val="null3"/>
              <w:ind w:firstLine="400"/>
              <w:jc w:val="left"/>
            </w:pPr>
            <w:r>
              <w:rPr>
                <w:rFonts w:ascii="仿宋_GB2312" w:hAnsi="仿宋_GB2312" w:cs="仿宋_GB2312" w:eastAsia="仿宋_GB2312"/>
                <w:sz w:val="24"/>
              </w:rPr>
              <w:t>经主管部门论证同意后可进行优化调整，但不得影响生态价值和防洪排涝。</w:t>
            </w:r>
          </w:p>
          <w:p>
            <w:pPr>
              <w:pStyle w:val="null3"/>
              <w:ind w:firstLine="400"/>
              <w:jc w:val="left"/>
            </w:pPr>
            <w:r>
              <w:rPr>
                <w:rFonts w:ascii="仿宋_GB2312" w:hAnsi="仿宋_GB2312" w:cs="仿宋_GB2312" w:eastAsia="仿宋_GB2312"/>
                <w:sz w:val="24"/>
              </w:rPr>
              <w:t>（3）城市黄线</w:t>
            </w:r>
          </w:p>
          <w:p>
            <w:pPr>
              <w:pStyle w:val="null3"/>
              <w:ind w:firstLine="400"/>
              <w:jc w:val="left"/>
            </w:pPr>
            <w:r>
              <w:rPr>
                <w:rFonts w:ascii="仿宋_GB2312" w:hAnsi="仿宋_GB2312" w:cs="仿宋_GB2312" w:eastAsia="仿宋_GB2312"/>
                <w:sz w:val="24"/>
              </w:rPr>
              <w:t>线性基础设施的位置和宽度可结合项目实施细化优化。非结性基础设施位置和用地边界，经分析论证符合合理的服务半径和建设要求的，可进行优化调整。</w:t>
            </w:r>
          </w:p>
          <w:p>
            <w:pPr>
              <w:pStyle w:val="null3"/>
              <w:ind w:firstLine="400"/>
              <w:jc w:val="left"/>
            </w:pPr>
            <w:r>
              <w:rPr>
                <w:rFonts w:ascii="仿宋_GB2312" w:hAnsi="仿宋_GB2312" w:cs="仿宋_GB2312" w:eastAsia="仿宋_GB2312"/>
                <w:sz w:val="24"/>
              </w:rPr>
              <w:t>（4）城市紫线</w:t>
            </w:r>
          </w:p>
          <w:p>
            <w:pPr>
              <w:pStyle w:val="null3"/>
              <w:ind w:firstLine="400"/>
              <w:jc w:val="left"/>
            </w:pPr>
            <w:r>
              <w:rPr>
                <w:rFonts w:ascii="仿宋_GB2312" w:hAnsi="仿宋_GB2312" w:cs="仿宋_GB2312" w:eastAsia="仿宋_GB2312"/>
                <w:sz w:val="24"/>
              </w:rPr>
              <w:t>依据相关主管部门确定或更新的历史文化街区和历史建筑的保护范围和建设控制地带，对城市紫线具体边界进行细化落实。</w:t>
            </w:r>
          </w:p>
          <w:p>
            <w:pPr>
              <w:pStyle w:val="null3"/>
              <w:ind w:firstLine="400"/>
              <w:jc w:val="left"/>
            </w:pPr>
            <w:r>
              <w:rPr>
                <w:rFonts w:ascii="仿宋_GB2312" w:hAnsi="仿宋_GB2312" w:cs="仿宋_GB2312" w:eastAsia="仿宋_GB2312"/>
                <w:sz w:val="24"/>
              </w:rPr>
              <w:t>5.重点建设項目清单</w:t>
            </w:r>
          </w:p>
          <w:p>
            <w:pPr>
              <w:pStyle w:val="null3"/>
              <w:ind w:firstLine="400"/>
              <w:jc w:val="left"/>
            </w:pPr>
            <w:r>
              <w:rPr>
                <w:rFonts w:ascii="仿宋_GB2312" w:hAnsi="仿宋_GB2312" w:cs="仿宋_GB2312" w:eastAsia="仿宋_GB2312"/>
                <w:sz w:val="24"/>
              </w:rPr>
              <w:t>落实国家，省"十五五"发展规划和专项规划确定的重大任务，重大工程空间需求，衔接地方各级"十五五"发展规划和专项规划空间需求，对市县总体规划中的重点建设项目清单进行动态维护，包括新增项目，变更项目名称以及清退项目，包括但不限于能源，交通，水利，军事，矿山，开发边界外有特殊选址需求的民生，公服，市政设施等项目均可纳入。</w:t>
            </w:r>
          </w:p>
          <w:p>
            <w:pPr>
              <w:pStyle w:val="null3"/>
              <w:ind w:firstLine="400"/>
              <w:jc w:val="left"/>
            </w:pPr>
            <w:r>
              <w:rPr>
                <w:rFonts w:ascii="仿宋_GB2312" w:hAnsi="仿宋_GB2312" w:cs="仿宋_GB2312" w:eastAsia="仿宋_GB2312"/>
                <w:sz w:val="24"/>
              </w:rPr>
              <w:t>6.其他内容</w:t>
            </w:r>
          </w:p>
          <w:p>
            <w:pPr>
              <w:pStyle w:val="null3"/>
              <w:ind w:firstLine="400"/>
              <w:jc w:val="left"/>
            </w:pPr>
            <w:r>
              <w:rPr>
                <w:rFonts w:ascii="仿宋_GB2312" w:hAnsi="仿宋_GB2312" w:cs="仿宋_GB2312" w:eastAsia="仿宋_GB2312"/>
                <w:sz w:val="24"/>
              </w:rPr>
              <w:t>（1）乡镇主体功能的细化和完善，可纳入县级国土空间总体规划动态维护。</w:t>
            </w:r>
          </w:p>
          <w:p>
            <w:pPr>
              <w:pStyle w:val="null3"/>
              <w:ind w:firstLine="400"/>
              <w:jc w:val="left"/>
            </w:pPr>
            <w:r>
              <w:rPr>
                <w:rFonts w:ascii="仿宋_GB2312" w:hAnsi="仿宋_GB2312" w:cs="仿宋_GB2312" w:eastAsia="仿宋_GB2312"/>
                <w:sz w:val="24"/>
              </w:rPr>
              <w:t>（2）其他重要控制线优化。结合地方实际与各部门需求对历史文化保护线，洪涝风险控制线，村庄建设边界等其他空间管控边界进行优化。</w:t>
            </w:r>
          </w:p>
          <w:p>
            <w:pPr>
              <w:pStyle w:val="null3"/>
              <w:ind w:firstLine="402"/>
              <w:jc w:val="left"/>
            </w:pPr>
            <w:r>
              <w:rPr>
                <w:rFonts w:ascii="仿宋_GB2312" w:hAnsi="仿宋_GB2312" w:cs="仿宋_GB2312" w:eastAsia="仿宋_GB2312"/>
                <w:sz w:val="24"/>
              </w:rPr>
              <w:t>二、编制要求</w:t>
            </w:r>
          </w:p>
          <w:p>
            <w:pPr>
              <w:pStyle w:val="null3"/>
              <w:ind w:firstLine="402"/>
              <w:jc w:val="left"/>
            </w:pPr>
            <w:r>
              <w:rPr>
                <w:rFonts w:ascii="仿宋_GB2312" w:hAnsi="仿宋_GB2312" w:cs="仿宋_GB2312" w:eastAsia="仿宋_GB2312"/>
                <w:sz w:val="24"/>
              </w:rPr>
              <w:t>根据《自然资源部办公厅关于对接“十五五”规划，开展国土空间总体规划动态调整完善的通知》《四川省自然资源厅国土空间规划局关于在规划动态维护中有关注意事项的提醒函》要求，结合国民经济和社会发展规划编制开展县级国土空间总体规划动态维护工作。具体工作按照《四川省市县级国土空间总体规划管理工作指引》要求，动态维护应严守底线红线，符合自然资源部动态维护规则明确的正向优化情形及相关政策规定、技术规范，确保动态维护后，空间格局更优化、用地布局更合理、资源配置更高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spacing w:after="135"/>
              <w:ind w:firstLine="400"/>
              <w:jc w:val="both"/>
            </w:pPr>
            <w:r>
              <w:rPr>
                <w:rFonts w:ascii="仿宋_GB2312" w:hAnsi="仿宋_GB2312" w:cs="仿宋_GB2312" w:eastAsia="仿宋_GB2312"/>
                <w:sz w:val="24"/>
              </w:rPr>
              <w:t>1.提交最终成果包括文本、图集和附件，其中附件包括说明书及基础资料汇编。</w:t>
            </w:r>
          </w:p>
          <w:p>
            <w:pPr>
              <w:pStyle w:val="null3"/>
              <w:spacing w:after="135"/>
              <w:ind w:firstLine="400"/>
              <w:jc w:val="both"/>
            </w:pPr>
            <w:r>
              <w:rPr>
                <w:rFonts w:ascii="仿宋_GB2312" w:hAnsi="仿宋_GB2312" w:cs="仿宋_GB2312" w:eastAsia="仿宋_GB2312"/>
                <w:sz w:val="24"/>
              </w:rPr>
              <w:t>2.成果交付数量：彩色文本不少于6套，电子文档不少于2套(U盘或光盘)。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自合同签订之日起120日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雅江县区域内采购人指定地点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以采购文件要求、中标(成交)供应商的响应文件及承诺、签订的合同和国家及行业相关规范标准为准，严格按照政府采购相关法律法规以及《财政部关于进一步加强政府采购需求和履约验收管理的指导意见》（财库〔2016〕205 号）的要求进行验收。若验收不合格，成交供应商须根据验收要求及时整改，由此造成的一切损失由成交供应商一方负责；若验收合格出具验收报告。</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1、合同签订生效后，达到付款条件起10日内，支付合同总金额的40.00%</w:t>
            </w:r>
          </w:p>
          <w:p>
            <w:pPr>
              <w:pStyle w:val="null3"/>
              <w:jc w:val="left"/>
            </w:pPr>
            <w:r>
              <w:rPr>
                <w:rFonts w:ascii="仿宋_GB2312" w:hAnsi="仿宋_GB2312" w:cs="仿宋_GB2312" w:eastAsia="仿宋_GB2312"/>
              </w:rPr>
              <w:t>2、供应商提交初步成果后，达到付款条件起10日内，支付合同总金额的30.00%</w:t>
            </w:r>
          </w:p>
          <w:p>
            <w:pPr>
              <w:pStyle w:val="null3"/>
              <w:jc w:val="left"/>
            </w:pPr>
            <w:r>
              <w:rPr>
                <w:rFonts w:ascii="仿宋_GB2312" w:hAnsi="仿宋_GB2312" w:cs="仿宋_GB2312" w:eastAsia="仿宋_GB2312"/>
              </w:rPr>
              <w:t>3、成果文件经主管部门审查通过后，达到付款条件起10日内，支付合同总金额的30.00%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 2.政府采购合同的履行、违约责任和解决争议的方法等适用民法典。 3.如发生争议，双方协商解决,若协商解决不成，向采购人所在地人民法院提起诉讼。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供应商拟投入本项目的所有人员必须实际负责并全过程参与本项目，因不可抗力原因，确需变更相关人员，须书面报告采购人并经采购人同意，方能更换。更换人员须具有响应文件中拟配备人员的同等条件。（提供承诺函，格式自拟） ★3.4.2保密要求：本项目规划过程中所涉及的所有信息资料的所有权归采购人所有，未经采购人书面允许不得将信息资料透露给第三方，否则采购人有权追究其法律责任。（提供承诺函，格式自拟） ★3.4.3安全责任：成交供应商在服务实施过程中的安全责任由成交单位负全责，采购人不承担任何安全责任，也不承担如发生安全事故产生的任何责任。成交供应商应当遵守国家有关消防、安全、生产操作、劳动保护等方面的规定，并根据自身实际情况和项目履约实际情况，购买涉及上述履约风险的对应保险，并为本项目提供履约的所有人员按照国家规定购买相关保险。（提供承诺函，格式自拟） 3.4.4为保障项目顺利实施，供应商需针对本项目提供人员配置、服务方案、后续服务，且具有类似业绩。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度或2025年度，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供应商具有行政主管部门颁发的且在有效期内的城乡规划编制乙级及以上资质。</w:t>
            </w:r>
          </w:p>
        </w:tc>
        <w:tc>
          <w:tcPr>
            <w:tcW w:type="dxa" w:w="3322"/>
          </w:tcPr>
          <w:p>
            <w:pPr>
              <w:pStyle w:val="null3"/>
              <w:jc w:val="left"/>
            </w:pPr>
            <w:r>
              <w:rPr>
                <w:rFonts w:ascii="仿宋_GB2312" w:hAnsi="仿宋_GB2312" w:cs="仿宋_GB2312" w:eastAsia="仿宋_GB2312"/>
              </w:rPr>
              <w:t>提供行政主管部门颁发的且在有效期内的城乡规划编制乙级及以上资质证书复印件或扫描件并进行电子签章，供应商未提供相关证明材料或提供的相关证明材料未满足要求，将视为无效响应。</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技术、服务及其他要求响应</w:t>
            </w:r>
          </w:p>
        </w:tc>
        <w:tc>
          <w:tcPr>
            <w:tcW w:type="dxa" w:w="3322"/>
          </w:tcPr>
          <w:p>
            <w:pPr>
              <w:pStyle w:val="null3"/>
              <w:jc w:val="left"/>
            </w:pPr>
            <w:r>
              <w:rPr>
                <w:rFonts w:ascii="仿宋_GB2312" w:hAnsi="仿宋_GB2312" w:cs="仿宋_GB2312" w:eastAsia="仿宋_GB2312"/>
              </w:rPr>
              <w:t>在评审过程中，评审委员会应按照采购文件第三章技术、服务及其他要求，对供应商响应内容进行审查，未响应或未响应完全的，评审委员会应当将其响应文件作无效投标处理。</w:t>
            </w:r>
          </w:p>
        </w:tc>
        <w:tc>
          <w:tcPr>
            <w:tcW w:type="dxa" w:w="1661"/>
          </w:tcPr>
          <w:p>
            <w:pPr>
              <w:pStyle w:val="null3"/>
              <w:jc w:val="left"/>
            </w:pPr>
            <w:r>
              <w:rPr>
                <w:rFonts w:ascii="仿宋_GB2312" w:hAnsi="仿宋_GB2312" w:cs="仿宋_GB2312" w:eastAsia="仿宋_GB2312"/>
              </w:rPr>
              <w:t>供应商应提交的相关证明材料,服务应答表,技术应答表.docx,商务应答表.docx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1.项目负责人1人（3分）：具有注册城市（乡）规划师证书得2分，具有城市（乡）规划（设计）类专业中级职称加0.5分，具有城市（乡）规划（设计）类专业高级及以上职称加1分；本项满分为3分。 2.技术负责人1人（3分）：具有注册城市（乡）规划师证书得2分，具有城市（乡）规划（设计）类专业中级职称加0.5分、具有城市（乡）规划（设计）类专业高级及以上职称加1分；本项满分为3分。 3.规划技术人员2人（6分）：每具有1名注册城市（乡）规划师得2分，具有城市（乡）规划（设计）类专业中级职称加0.5分、具有城市（乡）规划（设计）类专业高级及以上职称加1分；本项满分6分。 4.其他技术成员4人（12分）： （1）建筑人员：具有建筑相关专业高级及以上技术职称； （2）道路桥梁人员：具有道桥类相关专业高级及以上技术职称； （3）给排水人员：具有给排水相关专业高级及以上技术职称； （4）环境工程人员：具有环境工程相关专业高级及以上技术职称； 以上各专业分别配备1名人员，符合本项要求的得12分，每缺一类专业扣3分，本项满分12分。 注：以上人员不重复计分，须为供应商本单位人员，提供相关证书复印件和在职证明，加盖供应商公章，否则不得分。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一、技术方案（30分） 供应商针对本项目提供的技术方案包括：①项目现状和重点、难点分析、②动态维护总体要求、③规划分区调整方案、④中心城区用地布局调整方案、⑤城市重要控制线调整方案、⑥用地保障措施、安全保障措施和应急预案； 以上内容完整、符合本项目实际情况得30分；每缺少一项内容的扣5分，每有一项内容中每存在一处缺陷扣2.5分，本项得分扣完为止,未提供的不得分。 二、工作进度和质量保障措施 （15分） 供应商针对本项目提供的工作进度和质量保障措施包括：①进度计划、②进度保证措施、③质量保证措施；以上内容完整、符合本项目实际情况得15分；每缺少一项内容的扣5分，每有一项内容中每存在一处缺陷扣2.5分，本项得分扣完为止,未提供的不得分。 注：缺陷是指：①方案内容与项目不匹配、②方案内容仅有框架无具体内容分析描述、③方案中存在地点区域错误、④涉及或引用的法律、规范、标准失效或错误；以上任意一种情形。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2023年01月01日（含）以来每具有1个类似业绩（类似业绩指：规划类业绩）得4分，本项满分为12分。 注：以上业绩须提供合同复印件，并加盖供应商公章，以合同签订时间为准，未提供不得分。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供应商针对本项目提供的后续服务方案包括：①后续服务人员安排、②后续服务范围及保障措施、③响应时间及技术支持；以上内容完整、符合本项目实际情况得9分；每缺少一项内容的扣3分，每有一项内容中每存在一处缺陷扣1.5分，本项得分扣完为止,未提供的不得分。 注：缺陷是指：①方案内容与项目不匹配、②方案内容仅有框架无具体内容分析描述、③方案中存在地点区域错误、④涉及或引用的法律、规范、标准失效或错误；以上任意一种情形。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 2.投标报价得分=(评标基准价／投标报价)×分值。 3.评审价格=响应报价。 4.经价格调整后的评审价格=响应报价×（1-价格调整比例），基准价=经价格调整后评审价格的最低值。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