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版本号：N511025202600001520260330002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资中县2025年丘陵山区创新攻关农机装务熟化与推广项目-引进推广机具采购项目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N5110252026000015</w:t>
      </w:r>
    </w:p>
    <w:p>
      <w:pPr>
        <w:pStyle w:val="null3"/>
        <w:jc w:val="left"/>
        <w:outlineLvl w:val="2"/>
      </w:pPr>
      <w:r>
        <w:rPr>
          <w:rFonts w:ascii="仿宋_GB2312" w:hAnsi="仿宋_GB2312" w:cs="仿宋_GB2312" w:eastAsia="仿宋_GB2312"/>
          <w:sz w:val="28"/>
          <w:b/>
        </w:rPr>
        <w:t>资中县农业农村局</w:t>
      </w:r>
    </w:p>
    <w:p>
      <w:pPr>
        <w:pStyle w:val="null3"/>
        <w:jc w:val="center"/>
        <w:outlineLvl w:val="2"/>
      </w:pPr>
      <w:r>
        <w:rPr>
          <w:rFonts w:ascii="仿宋_GB2312" w:hAnsi="仿宋_GB2312" w:cs="仿宋_GB2312" w:eastAsia="仿宋_GB2312"/>
          <w:sz w:val="28"/>
          <w:b/>
        </w:rPr>
        <w:t>四川诚言招标代理有限公司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四川诚言招标代理有限公司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资中县农业农村局</w:t>
      </w:r>
      <w:r>
        <w:rPr>
          <w:rFonts w:ascii="仿宋_GB2312" w:hAnsi="仿宋_GB2312" w:cs="仿宋_GB2312" w:eastAsia="仿宋_GB2312"/>
        </w:rPr>
        <w:t xml:space="preserve"> 委托，拟对 </w:t>
      </w:r>
      <w:r>
        <w:rPr>
          <w:rFonts w:ascii="仿宋_GB2312" w:hAnsi="仿宋_GB2312" w:cs="仿宋_GB2312" w:eastAsia="仿宋_GB2312"/>
        </w:rPr>
        <w:t>资中县2025年丘陵山区创新攻关农机装务熟化与推广项目-引进推广机具采购项目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内江市资中县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N5110252026000015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资中县2025年丘陵山区创新攻关农机装务熟化与推广项目-引进推广机具采购项目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为加快丘陵山区创新农机装备性能熟化和产业化推广应用步伐，促进创新攻关装备尽快产业化部署到生产一线，加速补齐我县玉米机械化收获短板及解决油菜收获难问题。</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资中县农业农村局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资中县城南花圃街176号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0832-5600494</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四川诚言招标代理有限公司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四川省内江市资中县重龙镇罗汉洞路5号附201 （江语丽府）</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0832-6154411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采购包1：847,500.00元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服务费根据《四川省政府采购营商环境指标提升专项行动工作方案》的通知(川财采[2020]74号)规定、按照拟代理采购项目的成本支出加合理利润的原则进行计费，代理服务费金额为人民币：1.3万元  收取方式：现金或转账。 收款单位：四川诚言招标代理有限公司 开户银行：中国建设银行股份有限公司资中开发区支行 银行账号：51050168726200000011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资中县农业农村局</w:t>
      </w:r>
      <w:r>
        <w:rPr>
          <w:rFonts w:ascii="仿宋_GB2312" w:hAnsi="仿宋_GB2312" w:cs="仿宋_GB2312" w:eastAsia="仿宋_GB2312"/>
        </w:rPr>
        <w:t xml:space="preserve"> 和 </w:t>
      </w:r>
      <w:r>
        <w:rPr>
          <w:rFonts w:ascii="仿宋_GB2312" w:hAnsi="仿宋_GB2312" w:cs="仿宋_GB2312" w:eastAsia="仿宋_GB2312"/>
        </w:rPr>
        <w:t>四川诚言招标代理有限公司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资中县农业农村局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四川诚言招标代理有限公司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严格按照采购文件要求、供应商的响应文件、合同条款以及《财政部关于进一步加强政府采购需求和履约验收管理的指导意见》（财库〔2016〕205号）的要求进行验收。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资中县农业农村局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四川诚言招标代理有限公司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四川诚言招标代理有限公司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联系电话：0832-6154411</w:t>
      </w:r>
    </w:p>
    <w:p>
      <w:pPr>
        <w:pStyle w:val="null3"/>
        <w:jc w:val="left"/>
      </w:pPr>
      <w:r>
        <w:rPr>
          <w:rFonts w:ascii="仿宋_GB2312" w:hAnsi="仿宋_GB2312" w:cs="仿宋_GB2312" w:eastAsia="仿宋_GB2312"/>
        </w:rPr>
        <w:t>地址：四川省内江市资中县重龙镇罗汉洞路5号附201（江语丽府）</w:t>
      </w:r>
    </w:p>
    <w:p>
      <w:pPr>
        <w:pStyle w:val="null3"/>
        <w:jc w:val="left"/>
      </w:pPr>
      <w:r>
        <w:rPr>
          <w:rFonts w:ascii="仿宋_GB2312" w:hAnsi="仿宋_GB2312" w:cs="仿宋_GB2312" w:eastAsia="仿宋_GB2312"/>
        </w:rPr>
        <w:t>邮编：641200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847,500.00</w:t>
      </w:r>
    </w:p>
    <w:p>
      <w:pPr>
        <w:pStyle w:val="null3"/>
        <w:jc w:val="left"/>
      </w:pPr>
      <w:r>
        <w:rPr>
          <w:rFonts w:ascii="仿宋_GB2312" w:hAnsi="仿宋_GB2312" w:cs="仿宋_GB2312" w:eastAsia="仿宋_GB2312"/>
        </w:rPr>
        <w:t>采购包最高限价（元）: 847,500.00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轻简履带型玉米收获机</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585,000.00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A02220600 农作物及林特产品收获机械</w:t>
            </w:r>
          </w:p>
        </w:tc>
        <w:tc>
          <w:tcPr>
            <w:tcW w:type="dxa" w:w="821"/>
          </w:tcPr>
          <w:p>
            <w:pPr>
              <w:pStyle w:val="null3"/>
              <w:jc w:val="left"/>
            </w:pPr>
            <w:r>
              <w:rPr>
                <w:rFonts w:ascii="仿宋_GB2312" w:hAnsi="仿宋_GB2312" w:cs="仿宋_GB2312" w:eastAsia="仿宋_GB2312"/>
              </w:rPr>
              <w:t>轻量化低损广适割台</w:t>
            </w:r>
          </w:p>
        </w:tc>
        <w:tc>
          <w:tcPr>
            <w:tcW w:type="dxa" w:w="821"/>
          </w:tcPr>
          <w:p>
            <w:pPr>
              <w:pStyle w:val="null3"/>
              <w:jc w:val="right"/>
            </w:pPr>
            <w:r>
              <w:rPr>
                <w:rFonts w:ascii="仿宋_GB2312" w:hAnsi="仿宋_GB2312" w:cs="仿宋_GB2312" w:eastAsia="仿宋_GB2312"/>
              </w:rPr>
              <w:t>7.00（台）</w:t>
            </w:r>
          </w:p>
        </w:tc>
        <w:tc>
          <w:tcPr>
            <w:tcW w:type="dxa" w:w="821"/>
          </w:tcPr>
          <w:p>
            <w:pPr>
              <w:pStyle w:val="null3"/>
              <w:jc w:val="right"/>
            </w:pPr>
            <w:r>
              <w:rPr>
                <w:rFonts w:ascii="仿宋_GB2312" w:hAnsi="仿宋_GB2312" w:cs="仿宋_GB2312" w:eastAsia="仿宋_GB2312"/>
              </w:rPr>
              <w:t>262,500.00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轻简履带型玉米收获机</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585,000.00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超过最高限价的报价作无效响应。</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轻量化低损广适割台</w:t>
            </w:r>
          </w:p>
        </w:tc>
        <w:tc>
          <w:tcPr>
            <w:tcW w:type="dxa" w:w="1138"/>
          </w:tcPr>
          <w:p>
            <w:pPr>
              <w:pStyle w:val="null3"/>
              <w:jc w:val="center"/>
            </w:pPr>
            <w:r>
              <w:rPr>
                <w:rFonts w:ascii="仿宋_GB2312" w:hAnsi="仿宋_GB2312" w:cs="仿宋_GB2312" w:eastAsia="仿宋_GB2312"/>
              </w:rPr>
              <w:t>7.00（台）</w:t>
            </w:r>
          </w:p>
        </w:tc>
        <w:tc>
          <w:tcPr>
            <w:tcW w:type="dxa" w:w="1365"/>
          </w:tcPr>
          <w:p>
            <w:pPr>
              <w:pStyle w:val="null3"/>
              <w:jc w:val="center"/>
            </w:pPr>
            <w:r>
              <w:rPr>
                <w:rFonts w:ascii="仿宋_GB2312" w:hAnsi="仿宋_GB2312" w:cs="仿宋_GB2312" w:eastAsia="仿宋_GB2312"/>
              </w:rPr>
              <w:t>262,500.00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超过最高限价的报价作无效响应。</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A02220600 农作物及林特产品收获机械</w:t>
            </w:r>
          </w:p>
        </w:tc>
        <w:tc>
          <w:tcPr>
            <w:tcW w:type="dxa" w:w="2492"/>
          </w:tcPr>
          <w:p>
            <w:pPr>
              <w:pStyle w:val="null3"/>
              <w:jc w:val="left"/>
            </w:pPr>
            <w:r>
              <w:rPr>
                <w:rFonts w:ascii="仿宋_GB2312" w:hAnsi="仿宋_GB2312" w:cs="仿宋_GB2312" w:eastAsia="仿宋_GB2312"/>
              </w:rPr>
              <w:t>轻量化低损广适割台</w:t>
            </w:r>
          </w:p>
        </w:tc>
        <w:tc>
          <w:tcPr>
            <w:tcW w:type="dxa" w:w="2492"/>
          </w:tcPr>
          <w:p>
            <w:pPr>
              <w:pStyle w:val="null3"/>
              <w:jc w:val="left"/>
            </w:pPr>
            <w:r>
              <w:rPr>
                <w:rFonts w:ascii="仿宋_GB2312" w:hAnsi="仿宋_GB2312" w:cs="仿宋_GB2312" w:eastAsia="仿宋_GB2312"/>
              </w:rPr>
              <w:t>轻量化低损广适割台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标的名称：轻简履带型玉米收获机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jc w:val="both"/>
            </w:pPr>
            <w:r>
              <w:rPr>
                <w:rFonts w:ascii="仿宋_GB2312" w:hAnsi="仿宋_GB2312" w:cs="仿宋_GB2312" w:eastAsia="仿宋_GB2312"/>
                <w:sz w:val="24"/>
              </w:rPr>
              <w:t>1.结构型式：履带式</w:t>
            </w:r>
          </w:p>
          <w:p>
            <w:pPr>
              <w:pStyle w:val="null3"/>
              <w:jc w:val="both"/>
            </w:pPr>
            <w:r>
              <w:rPr>
                <w:rFonts w:ascii="仿宋_GB2312" w:hAnsi="仿宋_GB2312" w:cs="仿宋_GB2312" w:eastAsia="仿宋_GB2312"/>
                <w:sz w:val="24"/>
              </w:rPr>
              <w:t>2.发动机标定功率/转速：≥118kW/2200r/min</w:t>
            </w:r>
          </w:p>
          <w:p>
            <w:pPr>
              <w:pStyle w:val="null3"/>
              <w:jc w:val="both"/>
            </w:pPr>
            <w:r>
              <w:rPr>
                <w:rFonts w:ascii="仿宋_GB2312" w:hAnsi="仿宋_GB2312" w:cs="仿宋_GB2312" w:eastAsia="仿宋_GB2312"/>
                <w:sz w:val="24"/>
              </w:rPr>
              <w:t>3.工作行数：≥4行</w:t>
            </w:r>
          </w:p>
          <w:p>
            <w:pPr>
              <w:pStyle w:val="null3"/>
              <w:jc w:val="both"/>
            </w:pPr>
            <w:r>
              <w:rPr>
                <w:rFonts w:ascii="仿宋_GB2312" w:hAnsi="仿宋_GB2312" w:cs="仿宋_GB2312" w:eastAsia="仿宋_GB2312"/>
                <w:sz w:val="24"/>
              </w:rPr>
              <w:t>4.行距：550mm-620mm</w:t>
            </w:r>
          </w:p>
          <w:p>
            <w:pPr>
              <w:pStyle w:val="null3"/>
              <w:jc w:val="both"/>
            </w:pPr>
            <w:r>
              <w:rPr>
                <w:rFonts w:ascii="仿宋_GB2312" w:hAnsi="仿宋_GB2312" w:cs="仿宋_GB2312" w:eastAsia="仿宋_GB2312"/>
                <w:sz w:val="24"/>
              </w:rPr>
              <w:t>5.工作幅宽：≥2220mm</w:t>
            </w:r>
          </w:p>
          <w:p>
            <w:pPr>
              <w:pStyle w:val="null3"/>
              <w:jc w:val="both"/>
            </w:pPr>
            <w:r>
              <w:rPr>
                <w:rFonts w:ascii="仿宋_GB2312" w:hAnsi="仿宋_GB2312" w:cs="仿宋_GB2312" w:eastAsia="仿宋_GB2312"/>
                <w:sz w:val="24"/>
              </w:rPr>
              <w:t>6.最小离地间隙：≥230mm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7.果橞升运器布置位置：左置（供应商须提供推广鉴定（换证）报告或第三方检验（检测）机构出具的带CMA标识的检验（检测）报告影印件并加盖供应商鲜章予以佐证）</w:t>
            </w:r>
          </w:p>
          <w:p>
            <w:pPr>
              <w:pStyle w:val="null3"/>
              <w:jc w:val="both"/>
            </w:pPr>
            <w:r>
              <w:rPr>
                <w:rFonts w:ascii="仿宋_GB2312" w:hAnsi="仿宋_GB2312" w:cs="仿宋_GB2312" w:eastAsia="仿宋_GB2312"/>
                <w:sz w:val="24"/>
              </w:rPr>
              <w:t>8.果橞升运器结构型式：刮板式或链条刮板式</w:t>
            </w:r>
          </w:p>
          <w:p>
            <w:pPr>
              <w:pStyle w:val="null3"/>
              <w:jc w:val="both"/>
            </w:pPr>
            <w:r>
              <w:rPr>
                <w:rFonts w:ascii="仿宋_GB2312" w:hAnsi="仿宋_GB2312" w:cs="仿宋_GB2312" w:eastAsia="仿宋_GB2312"/>
                <w:sz w:val="24"/>
              </w:rPr>
              <w:t>9.摘橞辊/板数量：≥8个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10.剥皮机构形式：全胶辊或螺旋+鱼鳞橡胶辊式（供应商须提供推广鉴定（换证）报告或第三方检验（检测）机构出具的带CMA标识的检验（检测）报告影印件并加盖供应商鲜章予以佐证）</w:t>
            </w:r>
          </w:p>
          <w:p>
            <w:pPr>
              <w:pStyle w:val="null3"/>
              <w:jc w:val="both"/>
            </w:pPr>
            <w:r>
              <w:rPr>
                <w:rFonts w:ascii="仿宋_GB2312" w:hAnsi="仿宋_GB2312" w:cs="仿宋_GB2312" w:eastAsia="仿宋_GB2312"/>
                <w:sz w:val="24"/>
              </w:rPr>
              <w:t>11.剥皮辊数量：≥16个</w:t>
            </w:r>
          </w:p>
          <w:p>
            <w:pPr>
              <w:pStyle w:val="null3"/>
              <w:jc w:val="both"/>
            </w:pPr>
            <w:r>
              <w:rPr>
                <w:rFonts w:ascii="仿宋_GB2312" w:hAnsi="仿宋_GB2312" w:cs="仿宋_GB2312" w:eastAsia="仿宋_GB2312"/>
                <w:sz w:val="24"/>
              </w:rPr>
              <w:t>12.变速机构型式：机械式变速箱+静液压无级（极）变速或机械式变速箱+液压无级（极）变速；</w:t>
            </w:r>
          </w:p>
          <w:p>
            <w:pPr>
              <w:pStyle w:val="null3"/>
              <w:jc w:val="both"/>
            </w:pPr>
            <w:r>
              <w:rPr>
                <w:rFonts w:ascii="仿宋_GB2312" w:hAnsi="仿宋_GB2312" w:cs="仿宋_GB2312" w:eastAsia="仿宋_GB2312"/>
                <w:sz w:val="24"/>
              </w:rPr>
              <w:t>13.割台型式：卧式</w:t>
            </w:r>
          </w:p>
          <w:p>
            <w:pPr>
              <w:pStyle w:val="null3"/>
              <w:jc w:val="both"/>
            </w:pPr>
            <w:r>
              <w:rPr>
                <w:rFonts w:ascii="仿宋_GB2312" w:hAnsi="仿宋_GB2312" w:cs="仿宋_GB2312" w:eastAsia="仿宋_GB2312"/>
                <w:sz w:val="24"/>
              </w:rPr>
              <w:t>14.卸粮方式：液压侧翻</w:t>
            </w:r>
          </w:p>
          <w:p>
            <w:pPr>
              <w:pStyle w:val="null3"/>
              <w:jc w:val="both"/>
            </w:pPr>
            <w:r>
              <w:rPr>
                <w:rFonts w:ascii="仿宋_GB2312" w:hAnsi="仿宋_GB2312" w:cs="仿宋_GB2312" w:eastAsia="仿宋_GB2312"/>
                <w:sz w:val="24"/>
              </w:rPr>
              <w:t>15.履带节数：54节-66节</w:t>
            </w:r>
          </w:p>
          <w:p>
            <w:pPr>
              <w:pStyle w:val="null3"/>
              <w:jc w:val="both"/>
            </w:pPr>
            <w:r>
              <w:rPr>
                <w:rFonts w:ascii="仿宋_GB2312" w:hAnsi="仿宋_GB2312" w:cs="仿宋_GB2312" w:eastAsia="仿宋_GB2312"/>
                <w:sz w:val="24"/>
              </w:rPr>
              <w:t>16.履带宽度：≥350mm，履带轨距：≥1800mm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17.总损失率：≤2%（供应商须提供推广鉴定（换证）报告或第三方检验（检测）机构出具的带CMA标识的检验（检测）报告影印件并加盖供应商鲜章予以佐证）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18.果橞含杂率：≤1%（供应商须提供推广鉴定（换证）报告或第三方检验（检测）机构出具的带CMA标识的检验（检测）报告影印件并加盖供应商鲜章予以佐证）</w:t>
            </w:r>
          </w:p>
          <w:p>
            <w:pPr>
              <w:pStyle w:val="null3"/>
              <w:jc w:val="left"/>
            </w:pPr>
            <w:r>
              <w:rPr>
                <w:rFonts w:ascii="仿宋_GB2312" w:hAnsi="仿宋_GB2312" w:cs="仿宋_GB2312" w:eastAsia="仿宋_GB2312"/>
                <w:sz w:val="24"/>
              </w:rPr>
              <w:t>19.符合国四排放标准；</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.具有作业轨迹、定位、亩数、图像输出功能。</w:t>
            </w:r>
          </w:p>
          <w:p>
            <w:pPr>
              <w:pStyle w:val="null3"/>
              <w:spacing w:before="105" w:after="105"/>
              <w:jc w:val="both"/>
            </w:pPr>
            <w:r>
              <w:rPr>
                <w:rFonts w:ascii="仿宋_GB2312" w:hAnsi="仿宋_GB2312" w:cs="仿宋_GB2312" w:eastAsia="仿宋_GB2312"/>
                <w:sz w:val="24"/>
              </w:rPr>
              <w:t>注：供应商需提供农业机械试验鉴定证书的影印件。</w:t>
            </w:r>
          </w:p>
        </w:tc>
      </w:tr>
    </w:tbl>
    <w:p>
      <w:pPr>
        <w:pStyle w:val="null3"/>
        <w:jc w:val="left"/>
      </w:pPr>
      <w:r>
        <w:rPr>
          <w:rFonts w:ascii="仿宋_GB2312" w:hAnsi="仿宋_GB2312" w:cs="仿宋_GB2312" w:eastAsia="仿宋_GB2312"/>
        </w:rPr>
        <w:t>标的名称：轻量化低损广适割台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ind w:firstLine="422"/>
              <w:jc w:val="left"/>
            </w:pPr>
            <w:r>
              <w:rPr>
                <w:rFonts w:ascii="仿宋_GB2312" w:hAnsi="仿宋_GB2312" w:cs="仿宋_GB2312" w:eastAsia="仿宋_GB2312"/>
                <w:sz w:val="21"/>
              </w:rPr>
              <w:t>1.外形尺寸(长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)：2300mm</w:t>
            </w:r>
            <w:r>
              <w:rPr>
                <w:rFonts w:ascii="仿宋_GB2312" w:hAnsi="仿宋_GB2312" w:cs="仿宋_GB2312" w:eastAsia="仿宋_GB2312"/>
                <w:sz w:val="21"/>
              </w:rPr>
              <w:t>x</w:t>
            </w:r>
            <w:r>
              <w:rPr>
                <w:rFonts w:ascii="仿宋_GB2312" w:hAnsi="仿宋_GB2312" w:cs="仿宋_GB2312" w:eastAsia="仿宋_GB2312"/>
                <w:sz w:val="21"/>
              </w:rPr>
              <w:t>2300mm</w:t>
            </w:r>
            <w:r>
              <w:rPr>
                <w:rFonts w:ascii="仿宋_GB2312" w:hAnsi="仿宋_GB2312" w:cs="仿宋_GB2312" w:eastAsia="仿宋_GB2312"/>
                <w:sz w:val="21"/>
              </w:rPr>
              <w:t>x</w:t>
            </w:r>
            <w:r>
              <w:rPr>
                <w:rFonts w:ascii="仿宋_GB2312" w:hAnsi="仿宋_GB2312" w:cs="仿宋_GB2312" w:eastAsia="仿宋_GB2312"/>
                <w:sz w:val="21"/>
              </w:rPr>
              <w:t>1300mm</w:t>
            </w:r>
            <w:r>
              <w:rPr>
                <w:rFonts w:ascii="仿宋_GB2312" w:hAnsi="仿宋_GB2312" w:cs="仿宋_GB2312" w:eastAsia="仿宋_GB2312"/>
                <w:sz w:val="21"/>
              </w:rPr>
              <w:t>（</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2.工作幅宽：≥2300mm；</w:t>
            </w:r>
          </w:p>
          <w:p>
            <w:pPr>
              <w:pStyle w:val="null3"/>
              <w:jc w:val="left"/>
            </w:pPr>
            <w:r>
              <w:rPr>
                <w:rFonts w:ascii="仿宋_GB2312" w:hAnsi="仿宋_GB2312" w:cs="仿宋_GB2312" w:eastAsia="仿宋_GB2312"/>
                <w:sz w:val="21"/>
              </w:rPr>
              <w:t>3.工作行数：</w:t>
            </w:r>
            <w:r>
              <w:rPr>
                <w:rFonts w:ascii="仿宋_GB2312" w:hAnsi="仿宋_GB2312" w:cs="仿宋_GB2312" w:eastAsia="仿宋_GB2312"/>
                <w:sz w:val="21"/>
              </w:rPr>
              <w:t>≥</w:t>
            </w:r>
            <w:r>
              <w:rPr>
                <w:rFonts w:ascii="仿宋_GB2312" w:hAnsi="仿宋_GB2312" w:cs="仿宋_GB2312" w:eastAsia="仿宋_GB2312"/>
                <w:sz w:val="21"/>
              </w:rPr>
              <w:t>5行；</w:t>
            </w:r>
          </w:p>
          <w:p>
            <w:pPr>
              <w:pStyle w:val="null3"/>
              <w:jc w:val="left"/>
            </w:pPr>
            <w:r>
              <w:rPr>
                <w:rFonts w:ascii="仿宋_GB2312" w:hAnsi="仿宋_GB2312" w:cs="仿宋_GB2312" w:eastAsia="仿宋_GB2312"/>
                <w:sz w:val="21"/>
              </w:rPr>
              <w:t>4.整机质量：≤580kg（提供承诺函、格式自拟）；</w:t>
            </w:r>
          </w:p>
          <w:p>
            <w:pPr>
              <w:pStyle w:val="null3"/>
              <w:jc w:val="left"/>
            </w:pPr>
            <w:r>
              <w:rPr>
                <w:rFonts w:ascii="仿宋_GB2312" w:hAnsi="仿宋_GB2312" w:cs="仿宋_GB2312" w:eastAsia="仿宋_GB2312"/>
                <w:sz w:val="21"/>
              </w:rPr>
              <w:t>5.结构型式：立式喂入割台+双侧自适应滚筒（提供承诺函、格式自拟）；</w:t>
            </w:r>
          </w:p>
          <w:p>
            <w:pPr>
              <w:pStyle w:val="null3"/>
              <w:jc w:val="left"/>
            </w:pPr>
            <w:r>
              <w:rPr>
                <w:rFonts w:ascii="仿宋_GB2312" w:hAnsi="仿宋_GB2312" w:cs="仿宋_GB2312" w:eastAsia="仿宋_GB2312"/>
                <w:sz w:val="21"/>
              </w:rPr>
              <w:t>6.减损装置：双层柔性减损（提供承诺函、格式自拟）；</w:t>
            </w:r>
          </w:p>
          <w:p>
            <w:pPr>
              <w:pStyle w:val="null3"/>
              <w:jc w:val="left"/>
            </w:pPr>
            <w:r>
              <w:rPr>
                <w:rFonts w:ascii="仿宋_GB2312" w:hAnsi="仿宋_GB2312" w:cs="仿宋_GB2312" w:eastAsia="仿宋_GB2312"/>
                <w:sz w:val="21"/>
              </w:rPr>
              <w:t>7.切割器型式：往复式横割刀+竖割刀（提供承诺函、格式自拟）；</w:t>
            </w:r>
          </w:p>
          <w:p>
            <w:pPr>
              <w:pStyle w:val="null3"/>
              <w:jc w:val="left"/>
            </w:pPr>
            <w:r>
              <w:rPr>
                <w:rFonts w:ascii="仿宋_GB2312" w:hAnsi="仿宋_GB2312" w:cs="仿宋_GB2312" w:eastAsia="仿宋_GB2312"/>
                <w:sz w:val="21"/>
              </w:rPr>
              <w:t>8.适用作物：油菜或其他小籽粒杂粮作物；</w:t>
            </w:r>
          </w:p>
          <w:p>
            <w:pPr>
              <w:pStyle w:val="null3"/>
              <w:jc w:val="left"/>
            </w:pPr>
            <w:r>
              <w:rPr>
                <w:rFonts w:ascii="仿宋_GB2312" w:hAnsi="仿宋_GB2312" w:cs="仿宋_GB2312" w:eastAsia="仿宋_GB2312"/>
                <w:sz w:val="21"/>
              </w:rPr>
              <w:t>9.匹配收割机使用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具有作业轨迹、定位、亩数、图像输出功能。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spacing w:before="105"/>
              <w:ind w:firstLine="360"/>
              <w:jc w:val="both"/>
            </w:pPr>
            <w:r>
              <w:rPr>
                <w:rFonts w:ascii="仿宋_GB2312" w:hAnsi="仿宋_GB2312" w:cs="仿宋_GB2312" w:eastAsia="仿宋_GB2312"/>
                <w:sz w:val="21"/>
              </w:rPr>
              <w:t>（一）供应商须提供全新的货物</w:t>
            </w:r>
            <w:r>
              <w:rPr>
                <w:rFonts w:ascii="仿宋_GB2312" w:hAnsi="仿宋_GB2312" w:cs="仿宋_GB2312" w:eastAsia="仿宋_GB2312"/>
                <w:sz w:val="21"/>
              </w:rPr>
              <w:t>(含零部件、配件、使用说明书等)，表面无划伤、无碰撞痕迹，且权属清楚，不得侵害他人的知识产权，不得以次充好。</w:t>
            </w:r>
          </w:p>
          <w:p>
            <w:pPr>
              <w:pStyle w:val="null3"/>
              <w:spacing w:before="105"/>
              <w:ind w:firstLine="360"/>
              <w:jc w:val="both"/>
            </w:pPr>
            <w:r>
              <w:rPr>
                <w:rFonts w:ascii="仿宋_GB2312" w:hAnsi="仿宋_GB2312" w:cs="仿宋_GB2312" w:eastAsia="仿宋_GB2312"/>
                <w:sz w:val="21"/>
              </w:rPr>
              <w:t>（二）安装调试要求：成交供应商完成设备安装，并保障交付时设备已调试至可正常使用状态。</w:t>
            </w:r>
          </w:p>
          <w:p>
            <w:pPr>
              <w:pStyle w:val="null3"/>
              <w:ind w:firstLine="360"/>
              <w:jc w:val="both"/>
            </w:pPr>
            <w:r>
              <w:rPr>
                <w:rFonts w:ascii="仿宋_GB2312" w:hAnsi="仿宋_GB2312" w:cs="仿宋_GB2312" w:eastAsia="仿宋_GB2312"/>
                <w:sz w:val="21"/>
              </w:rPr>
              <w:t>（三）售后要求：成交供应商应提供</w:t>
            </w:r>
            <w:r>
              <w:rPr>
                <w:rFonts w:ascii="仿宋_GB2312" w:hAnsi="仿宋_GB2312" w:cs="仿宋_GB2312" w:eastAsia="仿宋_GB2312"/>
                <w:sz w:val="21"/>
              </w:rPr>
              <w:t>7×24售后服务。在接到故障报告后，48小时内到现场进行维修，更换处理。</w:t>
            </w:r>
          </w:p>
          <w:p>
            <w:pPr>
              <w:pStyle w:val="null3"/>
              <w:ind w:firstLine="360"/>
              <w:jc w:val="both"/>
            </w:pPr>
            <w:r>
              <w:rPr>
                <w:rFonts w:ascii="仿宋_GB2312" w:hAnsi="仿宋_GB2312" w:cs="仿宋_GB2312" w:eastAsia="仿宋_GB2312"/>
                <w:sz w:val="21"/>
              </w:rPr>
              <w:t>（四）人员培训要求：货物安装、调试、验收合格后，成交供应商应对采购人的相关人员进行现场培训，培训内容包括基本操作、保养维修、常见故障及解决办法。</w:t>
            </w:r>
          </w:p>
          <w:p>
            <w:pPr>
              <w:pStyle w:val="null3"/>
              <w:spacing w:before="105"/>
              <w:ind w:firstLine="360"/>
              <w:jc w:val="both"/>
            </w:pPr>
            <w:r>
              <w:rPr>
                <w:rFonts w:ascii="仿宋_GB2312" w:hAnsi="仿宋_GB2312" w:cs="仿宋_GB2312" w:eastAsia="仿宋_GB2312"/>
                <w:sz w:val="21"/>
                <w:b/>
              </w:rPr>
              <w:t>注：本项目所涉及的国家、行业及地方现行的强制性法规、技术标准、规范和规程等如有更新，应适时按新标准执行。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资中县太平镇、公民镇、银山镇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1、合同签订后，成交供应商向采购人提供相应金额的增值税发票后，达到付款条件起10日内，支付合同总金额的20.00%</w:t>
            </w:r>
          </w:p>
          <w:p>
            <w:pPr>
              <w:pStyle w:val="null3"/>
              <w:jc w:val="left"/>
            </w:pPr>
            <w:r>
              <w:rPr>
                <w:rFonts w:ascii="仿宋_GB2312" w:hAnsi="仿宋_GB2312" w:cs="仿宋_GB2312" w:eastAsia="仿宋_GB2312"/>
              </w:rPr>
              <w:t>2、所有货物经采购人验收合格，成交供应商向采购人提供相应金额的增值税发票后，达到付款条件起30日内，支付合同总金额的80.00%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严格按照采购文件要求、供应商的响应文件、合同条款以及《财政部关于进一步加强政府采购需求和履约验收管理的指导意见》（财库〔2016〕205号）的要求进行验收。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采购人违约责任：（1）对于因采购人原因延期付款或导致变更、中止或者终止政府采购合同的，采购人应当依照本项目合同约定对成交供应商受到的损失予以赔偿或者补偿。（2）采购人无正当理由拒收货物的，采购人应偿付合同总价百分之一的违约金。（3）采购人逾期支付货款的，除应及时付足货款外，应向成交供应商偿付欠款总额万分之一/天的违约金；逾期付款超过30天的，成交供应商有权终止合同。（4）采购人偿付的违约金不足以弥补成交供应商损失的，还应按成交供应商损失尚未弥补的部分，支付赔偿金给成交供应商。2.成交供应商违约责任：（1）成交供应商交付的货物质量不符合合同规定的，成交供应商应向采购人支付合同总价的百分之一的违约金，并须在合同规定的交货时间内更换合格的货物给采购人，否则视作成交供应商不能交付货物而违约，按本条本款下述第“（2）”项规定由成交供应商偿付违约赔偿金给采购人。（2）成交供应商不能交付货物或逾期交付货物而违约的，除应及时交足货物外，应向采购人偿付逾期交货部分货款总额的万分之一/天的违约金；逾期交货超过30天，采购人有权终止合同，成交供应商则应按合同总价的百分之一的款额向采购人偿付赔偿金，并须全额退还采购人已经付给成交供应商的货款及其利息。（3）成交供应商货物经采购人验收不合格的，则视为成交供应商没有按时交货而违约，成交供应商须在15天内无条件更换合格的货物，如逾期不能更换合格的货物，采购人有权终止本合同，成交供应商应另付合同总价的百分之一的赔偿金给采购人。（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一向采购人支付违约金并赔偿因此给采购人造成的一切损失。（5）成交供应商偿付的违约金不足以弥补采购人损失的，还应按采购人损失尚未弥补的部分，支付赔偿金给采购人。 （二）解决争议的方法：1.因本合同及合同有关事项发生的争议，由甲乙双方友好协商解决。协商不成时，可以向有关组织申请调解。合同一方或双方不愿调解或调解不成的，可以通过诉讼的方式解决争议。2.因本合同及合同有关事项发生的争议向内江市资中县人民法院起诉。3.如甲乙双方有争议的事项不影响合同其他部分的履行，在争议解决期间，合同其他部分应当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是否满足采购文件实质性要求。</w:t>
            </w:r>
          </w:p>
        </w:tc>
        <w:tc>
          <w:tcPr>
            <w:tcW w:type="dxa" w:w="3322"/>
          </w:tcPr>
          <w:p>
            <w:pPr>
              <w:pStyle w:val="null3"/>
              <w:jc w:val="left"/>
            </w:pPr>
            <w:r>
              <w:rPr>
                <w:rFonts w:ascii="仿宋_GB2312" w:hAnsi="仿宋_GB2312" w:cs="仿宋_GB2312" w:eastAsia="仿宋_GB2312"/>
              </w:rPr>
              <w:t>响应报价不符合采购文件规定的最高限价或其他报价规定的，作无效响应处理；响应文件没有完全响应采购文件的实质性要求的，作无效响应处理；不满足采购文件规定的其他实质性内容的，作无效响应处理。</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1.经评审委员会评审，通过资格和符合性审查，且响应报价最低的供应商的响应报价作为评审基准价。 2.响应报价得分=(评审基准价／响应报价)×100。</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