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版本号：N511501202600008320260323001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碾皮机等一批医疗设备采购项目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N5115012026000083</w:t>
      </w:r>
    </w:p>
    <w:p>
      <w:pPr>
        <w:pStyle w:val="null3"/>
        <w:jc w:val="left"/>
        <w:outlineLvl w:val="2"/>
      </w:pPr>
      <w:r>
        <w:rPr>
          <w:rFonts w:ascii="仿宋_GB2312" w:hAnsi="仿宋_GB2312" w:cs="仿宋_GB2312" w:eastAsia="仿宋_GB2312"/>
          <w:sz w:val="28"/>
          <w:b/>
        </w:rPr>
        <w:t>宜宾市第一人民医院</w:t>
      </w:r>
    </w:p>
    <w:p>
      <w:pPr>
        <w:pStyle w:val="null3"/>
        <w:jc w:val="center"/>
        <w:outlineLvl w:val="2"/>
      </w:pPr>
      <w:r>
        <w:rPr>
          <w:rFonts w:ascii="仿宋_GB2312" w:hAnsi="仿宋_GB2312" w:cs="仿宋_GB2312" w:eastAsia="仿宋_GB2312"/>
          <w:sz w:val="28"/>
          <w:b/>
        </w:rPr>
        <w:t>宜宾市公服集团医疗健康产业发展有限公司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宜宾市公服集团医疗健康产业发展有限公司</w:t>
      </w:r>
      <w:r>
        <w:rPr>
          <w:rFonts w:ascii="仿宋_GB2312" w:hAnsi="仿宋_GB2312" w:cs="仿宋_GB2312" w:eastAsia="仿宋_GB2312"/>
        </w:rPr>
        <w:t xml:space="preserve"> （以下简称“代理机构”）受 </w:t>
      </w:r>
      <w:r>
        <w:rPr>
          <w:rFonts w:ascii="仿宋_GB2312" w:hAnsi="仿宋_GB2312" w:cs="仿宋_GB2312" w:eastAsia="仿宋_GB2312"/>
        </w:rPr>
        <w:t>宜宾市第一人民医院</w:t>
      </w:r>
      <w:r>
        <w:rPr>
          <w:rFonts w:ascii="仿宋_GB2312" w:hAnsi="仿宋_GB2312" w:cs="仿宋_GB2312" w:eastAsia="仿宋_GB2312"/>
        </w:rPr>
        <w:t xml:space="preserve"> 委托，拟对 </w:t>
      </w:r>
      <w:r>
        <w:rPr>
          <w:rFonts w:ascii="仿宋_GB2312" w:hAnsi="仿宋_GB2312" w:cs="仿宋_GB2312" w:eastAsia="仿宋_GB2312"/>
        </w:rPr>
        <w:t>碾皮机等一批医疗设备采购项目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宜宾市市本级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N5115012026000083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碾皮机等一批医疗设备采购项目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本项目1个包，采购内容：碾皮机等一批医疗设备，详见标的清单。</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特定资格要求（描述：投标产品须符合《医疗器械注册管理办法》要求并提供齐全有效的中华人民共和国医疗器械注册证或备案凭证；供应商须符合《医疗器械监督管理条例》要求并提供相关医疗器械生产(或经营)许可证或第二类医疗器械经营备案凭证(已提供包含二类备案的多证合一营业执照的供应商除外)。）</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宜宾市第一人民医院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宜宾市叙州区叙州大道普和东路16号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罗老师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0831-8288103</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宜宾市公服集团医疗健康产业发展有限公司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宜宾市叙州区南岸街道三江明珠2幢2单元6楼613室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晏刚</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0831-2322391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采购包1：350,000.00元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缴纳方式：☑银行转账  ☑支票/汇票/本票  ☑保函/保险</w:t>
              <w:br/>
              <w:t>缴纳说明：1.交款方式：以支票、汇票、本票、保证保险、保证担保或者金融机构出具的保函等非现金形式提交至采购人(包括网银转账，电汇等方式)。</w:t>
              <w:br/>
              <w:t>2.交款时间：中标通知书发放后，政府采购合同签订前。中标人未按照采购文件的规定交纳履约保证金，且又无正当理由的，将视为放弃中标。注：①提供保函的担保机构必须是依法成立的具有相关资质和偿付能力的担保机构。保函是银行等金融机构出具的，保函必须要在中国人民银行征信系统能够进行查询，否则将取消中标资格，采购人将重新确定中标人，并依法追究法律责任。②履约保证金退还时间及方式：中标人完成合同约定的所有内容并经采购人验收合格后10日内，由采购人一次性无息退还至中标人。③履约保证金不予退还情形：①中标人不履行与采购人订立的合同的，履约保证金不予退还，给采购人造成的损失超过履约保证金数额的，还应当对超过部分予以赔偿。②项目验收结果不合格的，履约保证金将不予退还。③其他违反国家相关法律法规的情形。④履约保证金不予退还的，将按照有关规定上缴国库。逾期退还履约保证金的，将依法承担法律责任，并赔偿中标人损失。</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①成本支出加合理利润原则确定。以实际中标（成交）金额为计费基数(采用单价招标的以采购预算为计费基数)，计算标准为：100万元以下按中标（成交）金额的1.5%，100万元-500万元按1.1%，500万元-1000万元按0.8%，1000万元-5000万元按0.5%，代理服务费按差额定率累进法计算后下浮20%收取，下浮后不足4000元的按4000元计取。 ②账户信息：宜宾市公服集团医疗健康产业发展有限公司 开户银行：中国工商银行股份有限公司宜宾南岸支行。 账号：2314505119100135371。</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宜宾市第一人民医院</w:t>
      </w:r>
      <w:r>
        <w:rPr>
          <w:rFonts w:ascii="仿宋_GB2312" w:hAnsi="仿宋_GB2312" w:cs="仿宋_GB2312" w:eastAsia="仿宋_GB2312"/>
        </w:rPr>
        <w:t xml:space="preserve"> 和 </w:t>
      </w:r>
      <w:r>
        <w:rPr>
          <w:rFonts w:ascii="仿宋_GB2312" w:hAnsi="仿宋_GB2312" w:cs="仿宋_GB2312" w:eastAsia="仿宋_GB2312"/>
        </w:rPr>
        <w:t>宜宾市公服集团医疗健康产业发展有限公司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宜宾市第一人民医院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宜宾市公服集团医疗健康产业发展有限公司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委托代理机构验收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中标人按照合同要求完成全部工作后，采购人在收到书面的验收申请材料</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采购人和供应商双方如对质量要求和技术指标的约定标准有相互抵触或异议的事项，由采购人在采购文件与投标文件中按质量要求和技术指标比较优胜的原则确定该项的约定标准进行验收。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招标文件要求及投标文件响应内容、中标产品厂家注册内容、产品说明书（如涉及）等内容进行技术验收。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按投标文件响应商务内容验收。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按照《财政部关于进一步加强政府采购需求和履约验收管理的指导意见》（财库〔2016〕205号）有关规定以及采购人采购文件的质量要求和技术指标、供应商的投标文件及承诺约定标准进行验收。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宜宾市第一人民医院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宜宾市公服集团医疗健康产业发展有限公司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宜宾市公服集团医疗健康产业发展有限公司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联系人：罗老师</w:t>
      </w:r>
    </w:p>
    <w:p>
      <w:pPr>
        <w:pStyle w:val="null3"/>
        <w:jc w:val="left"/>
      </w:pPr>
      <w:r>
        <w:rPr>
          <w:rFonts w:ascii="仿宋_GB2312" w:hAnsi="仿宋_GB2312" w:cs="仿宋_GB2312" w:eastAsia="仿宋_GB2312"/>
        </w:rPr>
        <w:t>联系电话：0831-8288103</w:t>
      </w:r>
    </w:p>
    <w:p>
      <w:pPr>
        <w:pStyle w:val="null3"/>
        <w:jc w:val="left"/>
      </w:pPr>
      <w:r>
        <w:rPr>
          <w:rFonts w:ascii="仿宋_GB2312" w:hAnsi="仿宋_GB2312" w:cs="仿宋_GB2312" w:eastAsia="仿宋_GB2312"/>
        </w:rPr>
        <w:t>地址：宜宾市叙州区叙州大道普和东路16号</w:t>
      </w:r>
    </w:p>
    <w:p>
      <w:pPr>
        <w:pStyle w:val="null3"/>
        <w:jc w:val="left"/>
      </w:pPr>
      <w:r>
        <w:rPr>
          <w:rFonts w:ascii="仿宋_GB2312" w:hAnsi="仿宋_GB2312" w:cs="仿宋_GB2312" w:eastAsia="仿宋_GB2312"/>
        </w:rPr>
        <w:t>邮编：644000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联系人：晏刚</w:t>
      </w:r>
    </w:p>
    <w:p>
      <w:pPr>
        <w:pStyle w:val="null3"/>
        <w:jc w:val="left"/>
      </w:pPr>
      <w:r>
        <w:rPr>
          <w:rFonts w:ascii="仿宋_GB2312" w:hAnsi="仿宋_GB2312" w:cs="仿宋_GB2312" w:eastAsia="仿宋_GB2312"/>
        </w:rPr>
        <w:t>联系电话：0831-2322391</w:t>
      </w:r>
    </w:p>
    <w:p>
      <w:pPr>
        <w:pStyle w:val="null3"/>
        <w:jc w:val="left"/>
      </w:pPr>
      <w:r>
        <w:rPr>
          <w:rFonts w:ascii="仿宋_GB2312" w:hAnsi="仿宋_GB2312" w:cs="仿宋_GB2312" w:eastAsia="仿宋_GB2312"/>
        </w:rPr>
        <w:t>地址：宜宾市叙州区南岸街道三江明珠2幢2单元6楼613室</w:t>
      </w:r>
    </w:p>
    <w:p>
      <w:pPr>
        <w:pStyle w:val="null3"/>
        <w:jc w:val="left"/>
      </w:pPr>
      <w:r>
        <w:rPr>
          <w:rFonts w:ascii="仿宋_GB2312" w:hAnsi="仿宋_GB2312" w:cs="仿宋_GB2312" w:eastAsia="仿宋_GB2312"/>
        </w:rPr>
        <w:t>邮编：644000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350,000.00</w:t>
      </w:r>
    </w:p>
    <w:p>
      <w:pPr>
        <w:pStyle w:val="null3"/>
        <w:jc w:val="left"/>
      </w:pPr>
      <w:r>
        <w:rPr>
          <w:rFonts w:ascii="仿宋_GB2312" w:hAnsi="仿宋_GB2312" w:cs="仿宋_GB2312" w:eastAsia="仿宋_GB2312"/>
        </w:rPr>
        <w:t>采购包最高限价（元）: 304,702.00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A02320100 手术器械</w:t>
            </w:r>
          </w:p>
        </w:tc>
        <w:tc>
          <w:tcPr>
            <w:tcW w:type="dxa" w:w="821"/>
          </w:tcPr>
          <w:p>
            <w:pPr>
              <w:pStyle w:val="null3"/>
              <w:jc w:val="left"/>
            </w:pPr>
            <w:r>
              <w:rPr>
                <w:rFonts w:ascii="仿宋_GB2312" w:hAnsi="仿宋_GB2312" w:cs="仿宋_GB2312" w:eastAsia="仿宋_GB2312"/>
              </w:rPr>
              <w:t>碾皮机等一批医疗设备</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304,702.00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碾皮机等一批医疗设备</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304,702.00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投标人报总价的同时应在分项报价明细表中报出项目详细采购标的清单中各标的的价格。</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A02320100 手术器械</w:t>
            </w:r>
          </w:p>
        </w:tc>
        <w:tc>
          <w:tcPr>
            <w:tcW w:type="dxa" w:w="2492"/>
          </w:tcPr>
          <w:p>
            <w:pPr>
              <w:pStyle w:val="null3"/>
              <w:jc w:val="left"/>
            </w:pPr>
            <w:r>
              <w:rPr>
                <w:rFonts w:ascii="仿宋_GB2312" w:hAnsi="仿宋_GB2312" w:cs="仿宋_GB2312" w:eastAsia="仿宋_GB2312"/>
              </w:rPr>
              <w:t>碾皮机等一批医疗设备</w:t>
            </w:r>
          </w:p>
        </w:tc>
        <w:tc>
          <w:tcPr>
            <w:tcW w:type="dxa" w:w="2492"/>
          </w:tcPr>
          <w:p>
            <w:pPr>
              <w:pStyle w:val="null3"/>
              <w:jc w:val="left"/>
            </w:pPr>
            <w:r>
              <w:rPr>
                <w:rFonts w:ascii="仿宋_GB2312" w:hAnsi="仿宋_GB2312" w:cs="仿宋_GB2312" w:eastAsia="仿宋_GB2312"/>
              </w:rPr>
              <w:t>碾皮机</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标的名称：碾皮机等一批医疗设备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碾皮机等一批医疗设备</w:t>
            </w:r>
          </w:p>
        </w:tc>
        <w:tc>
          <w:tcPr>
            <w:tcW w:type="dxa" w:w="5814"/>
          </w:tcPr>
          <w:p>
            <w:pPr>
              <w:pStyle w:val="null3"/>
              <w:jc w:val="left"/>
            </w:pPr>
            <w:r>
              <w:rPr>
                <w:rFonts w:ascii="仿宋_GB2312" w:hAnsi="仿宋_GB2312" w:cs="仿宋_GB2312" w:eastAsia="仿宋_GB2312"/>
              </w:rPr>
              <w:t>★一、项目详细采购标的清单</w:t>
            </w:r>
          </w:p>
          <w:tbl>
            <w:tblPr>
              <w:tblBorders>
                <w:top w:val="none" w:color="000000" w:sz="4"/>
                <w:left w:val="none" w:color="000000" w:sz="4"/>
                <w:bottom w:val="none" w:color="000000" w:sz="4"/>
                <w:right w:val="none" w:color="000000" w:sz="4"/>
                <w:insideH w:val="none"/>
                <w:insideV w:val="none"/>
              </w:tblBorders>
            </w:tblPr>
            <w:tblGrid>
              <w:gridCol w:w="245"/>
              <w:gridCol w:w="1531"/>
              <w:gridCol w:w="368"/>
              <w:gridCol w:w="378"/>
              <w:gridCol w:w="832"/>
              <w:gridCol w:w="510"/>
              <w:gridCol w:w="557"/>
              <w:gridCol w:w="567"/>
              <w:gridCol w:w="567"/>
            </w:tblGrid>
            <w:tr>
              <w:tc>
                <w:tcPr>
                  <w:tcW w:type="dxa" w:w="24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b/>
                    </w:rPr>
                    <w:t>序号</w:t>
                  </w:r>
                </w:p>
              </w:tc>
              <w:tc>
                <w:tcPr>
                  <w:tcW w:type="dxa" w:w="1531"/>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b/>
                    </w:rPr>
                    <w:t>标的名称</w:t>
                  </w:r>
                </w:p>
              </w:tc>
              <w:tc>
                <w:tcPr>
                  <w:tcW w:type="dxa" w:w="368"/>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b/>
                    </w:rPr>
                    <w:t>数量</w:t>
                  </w:r>
                </w:p>
              </w:tc>
              <w:tc>
                <w:tcPr>
                  <w:tcW w:type="dxa" w:w="378"/>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b/>
                    </w:rPr>
                    <w:t>单位</w:t>
                  </w:r>
                </w:p>
              </w:tc>
              <w:tc>
                <w:tcPr>
                  <w:tcW w:type="dxa" w:w="832"/>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b/>
                    </w:rPr>
                    <w:t>最高</w:t>
                  </w:r>
                  <w:r>
                    <w:rPr>
                      <w:rFonts w:ascii="仿宋_GB2312" w:hAnsi="仿宋_GB2312" w:cs="仿宋_GB2312" w:eastAsia="仿宋_GB2312"/>
                      <w:sz w:val="21"/>
                      <w:b/>
                    </w:rPr>
                    <w:t>限价</w:t>
                  </w:r>
                </w:p>
                <w:p>
                  <w:pPr>
                    <w:pStyle w:val="null3"/>
                    <w:jc w:val="center"/>
                  </w:pPr>
                  <w:r>
                    <w:rPr>
                      <w:rFonts w:ascii="仿宋_GB2312" w:hAnsi="仿宋_GB2312" w:cs="仿宋_GB2312" w:eastAsia="仿宋_GB2312"/>
                      <w:sz w:val="21"/>
                      <w:b/>
                    </w:rPr>
                    <w:t>（万元）</w:t>
                  </w:r>
                </w:p>
              </w:tc>
              <w:tc>
                <w:tcPr>
                  <w:tcW w:type="dxa" w:w="51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b/>
                    </w:rPr>
                    <w:t>是否允许进口</w:t>
                  </w:r>
                </w:p>
              </w:tc>
              <w:tc>
                <w:tcPr>
                  <w:tcW w:type="dxa" w:w="557"/>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b/>
                    </w:rPr>
                    <w:t>质保期（年）</w:t>
                  </w:r>
                </w:p>
              </w:tc>
              <w:tc>
                <w:tcPr>
                  <w:tcW w:type="dxa" w:w="567"/>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b/>
                    </w:rPr>
                    <w:t>行业划分标准</w:t>
                  </w:r>
                </w:p>
              </w:tc>
              <w:tc>
                <w:tcPr>
                  <w:tcW w:type="dxa" w:w="567"/>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b/>
                    </w:rPr>
                    <w:t>是否属于医疗设备</w:t>
                  </w:r>
                </w:p>
              </w:tc>
            </w:tr>
            <w:tr>
              <w:tc>
                <w:tcPr>
                  <w:tcW w:type="dxa" w:w="24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w:t>
                  </w:r>
                </w:p>
              </w:tc>
              <w:tc>
                <w:tcPr>
                  <w:tcW w:type="dxa" w:w="153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水光治疗仪</w:t>
                  </w:r>
                </w:p>
              </w:tc>
              <w:tc>
                <w:tcPr>
                  <w:tcW w:type="dxa" w:w="36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w:t>
                  </w:r>
                </w:p>
              </w:tc>
              <w:tc>
                <w:tcPr>
                  <w:tcW w:type="dxa" w:w="3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台</w:t>
                  </w:r>
                </w:p>
              </w:tc>
              <w:tc>
                <w:tcPr>
                  <w:tcW w:type="dxa" w:w="832"/>
                  <w:vMerge w:val="restart"/>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30.4702</w:t>
                  </w:r>
                </w:p>
              </w:tc>
              <w:tc>
                <w:tcPr>
                  <w:tcW w:type="dxa" w:w="51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否</w:t>
                  </w:r>
                </w:p>
              </w:tc>
              <w:tc>
                <w:tcPr>
                  <w:tcW w:type="dxa" w:w="55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3年</w:t>
                  </w:r>
                </w:p>
              </w:tc>
              <w:tc>
                <w:tcPr>
                  <w:tcW w:type="dxa" w:w="5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工业</w:t>
                  </w:r>
                </w:p>
              </w:tc>
              <w:tc>
                <w:tcPr>
                  <w:tcW w:type="dxa" w:w="5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是</w:t>
                  </w:r>
                </w:p>
              </w:tc>
            </w:tr>
            <w:tr>
              <w:tc>
                <w:tcPr>
                  <w:tcW w:type="dxa" w:w="24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2</w:t>
                  </w:r>
                </w:p>
              </w:tc>
              <w:tc>
                <w:tcPr>
                  <w:tcW w:type="dxa" w:w="153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碾皮机</w:t>
                  </w:r>
                </w:p>
              </w:tc>
              <w:tc>
                <w:tcPr>
                  <w:tcW w:type="dxa" w:w="36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w:t>
                  </w:r>
                </w:p>
              </w:tc>
              <w:tc>
                <w:tcPr>
                  <w:tcW w:type="dxa" w:w="3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台</w:t>
                  </w:r>
                </w:p>
              </w:tc>
              <w:tc>
                <w:tcPr>
                  <w:tcW w:type="dxa" w:w="832"/>
                  <w:vMerge/>
                  <w:tcBorders>
                    <w:top w:val="none" w:color="000000" w:sz="4"/>
                    <w:left w:val="none" w:color="000000" w:sz="4"/>
                    <w:bottom w:val="single" w:color="000000" w:sz="4"/>
                    <w:right w:val="single" w:color="000000" w:sz="4"/>
                  </w:tcBorders>
                </w:tcPr>
                <w:p/>
              </w:tc>
              <w:tc>
                <w:tcPr>
                  <w:tcW w:type="dxa" w:w="51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否</w:t>
                  </w:r>
                </w:p>
              </w:tc>
              <w:tc>
                <w:tcPr>
                  <w:tcW w:type="dxa" w:w="55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3年</w:t>
                  </w:r>
                </w:p>
              </w:tc>
              <w:tc>
                <w:tcPr>
                  <w:tcW w:type="dxa" w:w="5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工业</w:t>
                  </w:r>
                </w:p>
              </w:tc>
              <w:tc>
                <w:tcPr>
                  <w:tcW w:type="dxa" w:w="5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是</w:t>
                  </w:r>
                </w:p>
              </w:tc>
            </w:tr>
            <w:tr>
              <w:tc>
                <w:tcPr>
                  <w:tcW w:type="dxa" w:w="24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3</w:t>
                  </w:r>
                </w:p>
              </w:tc>
              <w:tc>
                <w:tcPr>
                  <w:tcW w:type="dxa" w:w="153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电子支气管镜</w:t>
                  </w:r>
                </w:p>
              </w:tc>
              <w:tc>
                <w:tcPr>
                  <w:tcW w:type="dxa" w:w="36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w:t>
                  </w:r>
                </w:p>
              </w:tc>
              <w:tc>
                <w:tcPr>
                  <w:tcW w:type="dxa" w:w="3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台</w:t>
                  </w:r>
                </w:p>
              </w:tc>
              <w:tc>
                <w:tcPr>
                  <w:tcW w:type="dxa" w:w="832"/>
                  <w:vMerge/>
                  <w:tcBorders>
                    <w:top w:val="none" w:color="000000" w:sz="4"/>
                    <w:left w:val="none" w:color="000000" w:sz="4"/>
                    <w:bottom w:val="single" w:color="000000" w:sz="4"/>
                    <w:right w:val="single" w:color="000000" w:sz="4"/>
                  </w:tcBorders>
                </w:tcPr>
                <w:p/>
              </w:tc>
              <w:tc>
                <w:tcPr>
                  <w:tcW w:type="dxa" w:w="51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否</w:t>
                  </w:r>
                </w:p>
              </w:tc>
              <w:tc>
                <w:tcPr>
                  <w:tcW w:type="dxa" w:w="55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3年</w:t>
                  </w:r>
                </w:p>
              </w:tc>
              <w:tc>
                <w:tcPr>
                  <w:tcW w:type="dxa" w:w="5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工业</w:t>
                  </w:r>
                </w:p>
              </w:tc>
              <w:tc>
                <w:tcPr>
                  <w:tcW w:type="dxa" w:w="5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是</w:t>
                  </w:r>
                </w:p>
              </w:tc>
            </w:tr>
          </w:tbl>
          <w:p>
            <w:pPr>
              <w:pStyle w:val="null3"/>
              <w:jc w:val="left"/>
            </w:pPr>
            <w:r>
              <w:rPr>
                <w:rFonts w:ascii="仿宋_GB2312" w:hAnsi="仿宋_GB2312" w:cs="仿宋_GB2312" w:eastAsia="仿宋_GB2312"/>
              </w:rPr>
              <w:t>二、详细技术参数要求</w:t>
            </w:r>
          </w:p>
          <w:p>
            <w:pPr>
              <w:pStyle w:val="null3"/>
              <w:ind w:firstLine="422"/>
              <w:jc w:val="center"/>
            </w:pPr>
            <w:r>
              <w:rPr>
                <w:rFonts w:ascii="仿宋_GB2312" w:hAnsi="仿宋_GB2312" w:cs="仿宋_GB2312" w:eastAsia="仿宋_GB2312"/>
                <w:sz w:val="21"/>
                <w:b/>
              </w:rPr>
              <w:t>1、水光治疗仪</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输入功率</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40W</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显示屏幕</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10寸电阻</w:t>
            </w:r>
            <w:r>
              <w:rPr>
                <w:rFonts w:ascii="仿宋_GB2312" w:hAnsi="仿宋_GB2312" w:cs="仿宋_GB2312" w:eastAsia="仿宋_GB2312"/>
                <w:sz w:val="21"/>
              </w:rPr>
              <w:t>触控终端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软件</w:t>
            </w:r>
            <w:r>
              <w:rPr>
                <w:rFonts w:ascii="仿宋_GB2312" w:hAnsi="仿宋_GB2312" w:cs="仿宋_GB2312" w:eastAsia="仿宋_GB2312"/>
                <w:sz w:val="21"/>
              </w:rPr>
              <w:t>：至少具有</w:t>
            </w:r>
            <w:r>
              <w:rPr>
                <w:rFonts w:ascii="仿宋_GB2312" w:hAnsi="仿宋_GB2312" w:cs="仿宋_GB2312" w:eastAsia="仿宋_GB2312"/>
                <w:sz w:val="21"/>
              </w:rPr>
              <w:t>中英文</w:t>
            </w:r>
            <w:r>
              <w:rPr>
                <w:rFonts w:ascii="仿宋_GB2312" w:hAnsi="仿宋_GB2312" w:cs="仿宋_GB2312" w:eastAsia="仿宋_GB2312"/>
                <w:sz w:val="21"/>
              </w:rPr>
              <w:t>系统</w:t>
            </w:r>
            <w:r>
              <w:rPr>
                <w:rFonts w:ascii="仿宋_GB2312" w:hAnsi="仿宋_GB2312" w:cs="仿宋_GB2312" w:eastAsia="仿宋_GB2312"/>
                <w:sz w:val="21"/>
              </w:rPr>
              <w:t>；操作界面有注射响应、等待、保持，振动频度、回退级别、负压释放及负压模式等功能选项；具有输液完成提示，静音／非静音功能；具有历史记录，推杆校准，设置注射器规格，注射器品牌选择，，暂停／恢复注射，注射模式中停止，错误提示等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配套要求</w:t>
            </w:r>
            <w:r>
              <w:rPr>
                <w:rFonts w:ascii="仿宋_GB2312" w:hAnsi="仿宋_GB2312" w:cs="仿宋_GB2312" w:eastAsia="仿宋_GB2312"/>
                <w:sz w:val="21"/>
              </w:rPr>
              <w:t>：至少</w:t>
            </w:r>
            <w:r>
              <w:rPr>
                <w:rFonts w:ascii="仿宋_GB2312" w:hAnsi="仿宋_GB2312" w:cs="仿宋_GB2312" w:eastAsia="仿宋_GB2312"/>
                <w:sz w:val="21"/>
              </w:rPr>
              <w:t>适配通用合规的</w:t>
            </w:r>
            <w:r>
              <w:rPr>
                <w:rFonts w:ascii="仿宋_GB2312" w:hAnsi="仿宋_GB2312" w:cs="仿宋_GB2312" w:eastAsia="仿宋_GB2312"/>
                <w:sz w:val="21"/>
              </w:rPr>
              <w:t>5/9/16pin注射针</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、操作模式：</w:t>
            </w:r>
            <w:r>
              <w:rPr>
                <w:rFonts w:ascii="仿宋_GB2312" w:hAnsi="仿宋_GB2312" w:cs="仿宋_GB2312" w:eastAsia="仿宋_GB2312"/>
                <w:sz w:val="21"/>
              </w:rPr>
              <w:t>≥</w:t>
            </w:r>
            <w:r>
              <w:rPr>
                <w:rFonts w:ascii="仿宋_GB2312" w:hAnsi="仿宋_GB2312" w:cs="仿宋_GB2312" w:eastAsia="仿宋_GB2312"/>
                <w:sz w:val="21"/>
              </w:rPr>
              <w:t>5种</w:t>
            </w:r>
            <w:r>
              <w:rPr>
                <w:rFonts w:ascii="仿宋_GB2312" w:hAnsi="仿宋_GB2312" w:cs="仿宋_GB2312" w:eastAsia="仿宋_GB2312"/>
                <w:sz w:val="21"/>
              </w:rPr>
              <w:t>，至少具有</w:t>
            </w:r>
            <w:r>
              <w:rPr>
                <w:rFonts w:ascii="仿宋_GB2312" w:hAnsi="仿宋_GB2312" w:cs="仿宋_GB2312" w:eastAsia="仿宋_GB2312"/>
                <w:sz w:val="21"/>
              </w:rPr>
              <w:t>自动感应注射，自动单次（脚踏），单次注射（脚踏）</w:t>
            </w:r>
            <w:r>
              <w:rPr>
                <w:rFonts w:ascii="仿宋_GB2312" w:hAnsi="仿宋_GB2312" w:cs="仿宋_GB2312" w:eastAsia="仿宋_GB2312"/>
                <w:sz w:val="21"/>
              </w:rPr>
              <w:t>，</w:t>
            </w:r>
            <w:r>
              <w:rPr>
                <w:rFonts w:ascii="仿宋_GB2312" w:hAnsi="仿宋_GB2312" w:cs="仿宋_GB2312" w:eastAsia="仿宋_GB2312"/>
                <w:sz w:val="21"/>
              </w:rPr>
              <w:t>慢速连续注射</w:t>
            </w:r>
            <w:r>
              <w:rPr>
                <w:rFonts w:ascii="仿宋_GB2312" w:hAnsi="仿宋_GB2312" w:cs="仿宋_GB2312" w:eastAsia="仿宋_GB2312"/>
                <w:sz w:val="21"/>
              </w:rPr>
              <w:t>(脚踏)</w:t>
            </w:r>
            <w:r>
              <w:rPr>
                <w:rFonts w:ascii="仿宋_GB2312" w:hAnsi="仿宋_GB2312" w:cs="仿宋_GB2312" w:eastAsia="仿宋_GB2312"/>
                <w:sz w:val="21"/>
              </w:rPr>
              <w:t>，</w:t>
            </w:r>
            <w:r>
              <w:rPr>
                <w:rFonts w:ascii="仿宋_GB2312" w:hAnsi="仿宋_GB2312" w:cs="仿宋_GB2312" w:eastAsia="仿宋_GB2312"/>
                <w:sz w:val="21"/>
              </w:rPr>
              <w:t>正常连续注射</w:t>
            </w:r>
            <w:r>
              <w:rPr>
                <w:rFonts w:ascii="仿宋_GB2312" w:hAnsi="仿宋_GB2312" w:cs="仿宋_GB2312" w:eastAsia="仿宋_GB2312"/>
                <w:sz w:val="21"/>
              </w:rPr>
              <w:t>(脚踏)</w:t>
            </w:r>
            <w:r>
              <w:rPr>
                <w:rFonts w:ascii="仿宋_GB2312" w:hAnsi="仿宋_GB2312" w:cs="仿宋_GB2312" w:eastAsia="仿宋_GB2312"/>
                <w:sz w:val="21"/>
                <w:b/>
              </w:rPr>
              <w:t>（</w:t>
            </w:r>
            <w:r>
              <w:rPr>
                <w:rFonts w:ascii="仿宋_GB2312" w:hAnsi="仿宋_GB2312" w:cs="仿宋_GB2312" w:eastAsia="仿宋_GB2312"/>
                <w:sz w:val="21"/>
                <w:b/>
              </w:rPr>
              <w:t>提供技术白皮书或彩页或产品说明书</w:t>
            </w:r>
            <w:r>
              <w:rPr>
                <w:rFonts w:ascii="仿宋_GB2312" w:hAnsi="仿宋_GB2312" w:cs="仿宋_GB2312" w:eastAsia="仿宋_GB2312"/>
                <w:sz w:val="21"/>
                <w:b/>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注射速度</w:t>
            </w:r>
            <w:r>
              <w:rPr>
                <w:rFonts w:ascii="仿宋_GB2312" w:hAnsi="仿宋_GB2312" w:cs="仿宋_GB2312" w:eastAsia="仿宋_GB2312"/>
                <w:sz w:val="21"/>
              </w:rPr>
              <w:t>：</w:t>
            </w:r>
            <w:r>
              <w:rPr>
                <w:rFonts w:ascii="仿宋_GB2312" w:hAnsi="仿宋_GB2312" w:cs="仿宋_GB2312" w:eastAsia="仿宋_GB2312"/>
                <w:sz w:val="21"/>
              </w:rPr>
              <w:t>慢速连续注射模式下，踩下脚踏开关以慢速速度持续注射；正常连续注射模式下，踩下脚踏开关以正常速度持续注射；各档位推进速度为：慢速</w:t>
            </w:r>
            <w:r>
              <w:rPr>
                <w:rFonts w:ascii="仿宋_GB2312" w:hAnsi="仿宋_GB2312" w:cs="仿宋_GB2312" w:eastAsia="仿宋_GB2312"/>
                <w:sz w:val="21"/>
              </w:rPr>
              <w:t>16mm/s ，正常2</w:t>
            </w:r>
            <w:r>
              <w:rPr>
                <w:rFonts w:ascii="仿宋_GB2312" w:hAnsi="仿宋_GB2312" w:cs="仿宋_GB2312" w:eastAsia="仿宋_GB2312"/>
                <w:sz w:val="21"/>
              </w:rPr>
              <w:t>.</w:t>
            </w:r>
            <w:r>
              <w:rPr>
                <w:rFonts w:ascii="仿宋_GB2312" w:hAnsi="仿宋_GB2312" w:cs="仿宋_GB2312" w:eastAsia="仿宋_GB2312"/>
                <w:sz w:val="21"/>
              </w:rPr>
              <w:t>6mm/ s ，快速3.6mm/s ，误差不超过±10%</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注射精度</w:t>
            </w:r>
            <w:r>
              <w:rPr>
                <w:rFonts w:ascii="仿宋_GB2312" w:hAnsi="仿宋_GB2312" w:cs="仿宋_GB2312" w:eastAsia="仿宋_GB2312"/>
                <w:sz w:val="21"/>
              </w:rPr>
              <w:t>：</w:t>
            </w:r>
            <w:r>
              <w:rPr>
                <w:rFonts w:ascii="仿宋_GB2312" w:hAnsi="仿宋_GB2312" w:cs="仿宋_GB2312" w:eastAsia="仿宋_GB2312"/>
                <w:sz w:val="21"/>
              </w:rPr>
              <w:t>设定剂量与实际剂量的误差</w:t>
            </w:r>
            <w:r>
              <w:rPr>
                <w:rFonts w:ascii="仿宋_GB2312" w:hAnsi="仿宋_GB2312" w:cs="仿宋_GB2312" w:eastAsia="仿宋_GB2312"/>
                <w:sz w:val="21"/>
              </w:rPr>
              <w:t>≤3%</w:t>
            </w:r>
            <w:r>
              <w:rPr>
                <w:rFonts w:ascii="仿宋_GB2312" w:hAnsi="仿宋_GB2312" w:cs="仿宋_GB2312" w:eastAsia="仿宋_GB2312"/>
                <w:sz w:val="21"/>
                <w:b/>
              </w:rPr>
              <w:t>（</w:t>
            </w:r>
            <w:r>
              <w:rPr>
                <w:rFonts w:ascii="仿宋_GB2312" w:hAnsi="仿宋_GB2312" w:cs="仿宋_GB2312" w:eastAsia="仿宋_GB2312"/>
                <w:sz w:val="21"/>
                <w:b/>
              </w:rPr>
              <w:t>提供技术白皮书或彩页或产品说明书</w:t>
            </w:r>
            <w:r>
              <w:rPr>
                <w:rFonts w:ascii="仿宋_GB2312" w:hAnsi="仿宋_GB2312" w:cs="仿宋_GB2312" w:eastAsia="仿宋_GB2312"/>
                <w:sz w:val="21"/>
                <w:b/>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负压范围</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10档可调，范围﹣25kPa~-80kPa，误差不超过土15%。</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注射次数</w:t>
            </w:r>
            <w:r>
              <w:rPr>
                <w:rFonts w:ascii="仿宋_GB2312" w:hAnsi="仿宋_GB2312" w:cs="仿宋_GB2312" w:eastAsia="仿宋_GB2312"/>
                <w:sz w:val="21"/>
              </w:rPr>
              <w:t>：</w:t>
            </w:r>
            <w:r>
              <w:rPr>
                <w:rFonts w:ascii="仿宋_GB2312" w:hAnsi="仿宋_GB2312" w:cs="仿宋_GB2312" w:eastAsia="仿宋_GB2312"/>
                <w:sz w:val="21"/>
              </w:rPr>
              <w:t>10-140次可选，步进值10次，实时显示注射次数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最小剂量</w:t>
            </w:r>
            <w:r>
              <w:rPr>
                <w:rFonts w:ascii="仿宋_GB2312" w:hAnsi="仿宋_GB2312" w:cs="仿宋_GB2312" w:eastAsia="仿宋_GB2312"/>
                <w:sz w:val="21"/>
              </w:rPr>
              <w:t>：</w:t>
            </w:r>
            <w:r>
              <w:rPr>
                <w:rFonts w:ascii="仿宋_GB2312" w:hAnsi="仿宋_GB2312" w:cs="仿宋_GB2312" w:eastAsia="仿宋_GB2312"/>
                <w:sz w:val="21"/>
              </w:rPr>
              <w:t>0.0057ml（药量／注射规格：0.8/1ml，总注射次数140)</w:t>
            </w:r>
            <w:r>
              <w:rPr>
                <w:rFonts w:ascii="仿宋_GB2312" w:hAnsi="仿宋_GB2312" w:cs="仿宋_GB2312" w:eastAsia="仿宋_GB2312"/>
                <w:sz w:val="21"/>
                <w:b/>
              </w:rPr>
              <w:t>（</w:t>
            </w:r>
            <w:r>
              <w:rPr>
                <w:rFonts w:ascii="仿宋_GB2312" w:hAnsi="仿宋_GB2312" w:cs="仿宋_GB2312" w:eastAsia="仿宋_GB2312"/>
                <w:sz w:val="21"/>
                <w:b/>
              </w:rPr>
              <w:t>提供技术白皮书或彩页或产品说明书</w:t>
            </w:r>
            <w:r>
              <w:rPr>
                <w:rFonts w:ascii="仿宋_GB2312" w:hAnsi="仿宋_GB2312" w:cs="仿宋_GB2312" w:eastAsia="仿宋_GB2312"/>
                <w:sz w:val="21"/>
                <w:b/>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入针深度</w:t>
            </w:r>
            <w:r>
              <w:rPr>
                <w:rFonts w:ascii="仿宋_GB2312" w:hAnsi="仿宋_GB2312" w:cs="仿宋_GB2312" w:eastAsia="仿宋_GB2312"/>
                <w:sz w:val="21"/>
              </w:rPr>
              <w:t>：全脸</w:t>
            </w:r>
            <w:r>
              <w:rPr>
                <w:rFonts w:ascii="仿宋_GB2312" w:hAnsi="仿宋_GB2312" w:cs="仿宋_GB2312" w:eastAsia="仿宋_GB2312"/>
                <w:sz w:val="21"/>
              </w:rPr>
              <w:t>5区域区分，具备定制注射功能。通用注射针长度调节范围均可适配。</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机器噪音</w:t>
            </w:r>
            <w:r>
              <w:rPr>
                <w:rFonts w:ascii="仿宋_GB2312" w:hAnsi="仿宋_GB2312" w:cs="仿宋_GB2312" w:eastAsia="仿宋_GB2312"/>
                <w:sz w:val="21"/>
              </w:rPr>
              <w:t>：</w:t>
            </w:r>
            <w:r>
              <w:rPr>
                <w:rFonts w:ascii="仿宋_GB2312" w:hAnsi="仿宋_GB2312" w:cs="仿宋_GB2312" w:eastAsia="仿宋_GB2312"/>
                <w:sz w:val="21"/>
              </w:rPr>
              <w:t>≤65db</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注射器类</w:t>
            </w:r>
            <w:r>
              <w:rPr>
                <w:rFonts w:ascii="仿宋_GB2312" w:hAnsi="仿宋_GB2312" w:cs="仿宋_GB2312" w:eastAsia="仿宋_GB2312"/>
                <w:sz w:val="21"/>
              </w:rPr>
              <w:t>：至少</w:t>
            </w:r>
            <w:r>
              <w:rPr>
                <w:rFonts w:ascii="仿宋_GB2312" w:hAnsi="仿宋_GB2312" w:cs="仿宋_GB2312" w:eastAsia="仿宋_GB2312"/>
                <w:sz w:val="21"/>
              </w:rPr>
              <w:t>包含</w:t>
            </w:r>
            <w:r>
              <w:rPr>
                <w:rFonts w:ascii="仿宋_GB2312" w:hAnsi="仿宋_GB2312" w:cs="仿宋_GB2312" w:eastAsia="仿宋_GB2312"/>
                <w:sz w:val="21"/>
              </w:rPr>
              <w:t>0.8/1、1/1、2/2、2.5/2、2/3、2.5/3、3/3、3/5、4/5、5/5、6/5( ml / ml ）等类型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储存模式</w:t>
            </w:r>
            <w:r>
              <w:rPr>
                <w:rFonts w:ascii="仿宋_GB2312" w:hAnsi="仿宋_GB2312" w:cs="仿宋_GB2312" w:eastAsia="仿宋_GB2312"/>
                <w:sz w:val="21"/>
              </w:rPr>
              <w:t>：</w:t>
            </w:r>
            <w:r>
              <w:rPr>
                <w:rFonts w:ascii="仿宋_GB2312" w:hAnsi="仿宋_GB2312" w:cs="仿宋_GB2312" w:eastAsia="仿宋_GB2312"/>
                <w:sz w:val="21"/>
              </w:rPr>
              <w:t>≥5种模式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推杆压力</w:t>
            </w:r>
            <w:r>
              <w:rPr>
                <w:rFonts w:ascii="仿宋_GB2312" w:hAnsi="仿宋_GB2312" w:cs="仿宋_GB2312" w:eastAsia="仿宋_GB2312"/>
                <w:sz w:val="21"/>
              </w:rPr>
              <w:t>：</w:t>
            </w:r>
            <w:r>
              <w:rPr>
                <w:rFonts w:ascii="仿宋_GB2312" w:hAnsi="仿宋_GB2312" w:cs="仿宋_GB2312" w:eastAsia="仿宋_GB2312"/>
                <w:sz w:val="21"/>
              </w:rPr>
              <w:t>最大推杆压力为</w:t>
            </w:r>
            <w:r>
              <w:rPr>
                <w:rFonts w:ascii="仿宋_GB2312" w:hAnsi="仿宋_GB2312" w:cs="仿宋_GB2312" w:eastAsia="仿宋_GB2312"/>
                <w:sz w:val="21"/>
              </w:rPr>
              <w:t>16kg+4kg</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回退功能</w:t>
            </w:r>
            <w:r>
              <w:rPr>
                <w:rFonts w:ascii="仿宋_GB2312" w:hAnsi="仿宋_GB2312" w:cs="仿宋_GB2312" w:eastAsia="仿宋_GB2312"/>
                <w:sz w:val="21"/>
              </w:rPr>
              <w:t>：</w:t>
            </w:r>
            <w:r>
              <w:rPr>
                <w:rFonts w:ascii="仿宋_GB2312" w:hAnsi="仿宋_GB2312" w:cs="仿宋_GB2312" w:eastAsia="仿宋_GB2312"/>
                <w:sz w:val="21"/>
              </w:rPr>
              <w:t>每发注射后，推杆自动回退，防止药液过流。</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17、</w:t>
            </w:r>
            <w:r>
              <w:rPr>
                <w:rFonts w:ascii="仿宋_GB2312" w:hAnsi="仿宋_GB2312" w:cs="仿宋_GB2312" w:eastAsia="仿宋_GB2312"/>
                <w:sz w:val="21"/>
              </w:rPr>
              <w:t>防水等级</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IPX2级主机防水，</w:t>
            </w:r>
            <w:r>
              <w:rPr>
                <w:rFonts w:ascii="仿宋_GB2312" w:hAnsi="仿宋_GB2312" w:cs="仿宋_GB2312" w:eastAsia="仿宋_GB2312"/>
                <w:sz w:val="21"/>
              </w:rPr>
              <w:t>≥</w:t>
            </w:r>
            <w:r>
              <w:rPr>
                <w:rFonts w:ascii="仿宋_GB2312" w:hAnsi="仿宋_GB2312" w:cs="仿宋_GB2312" w:eastAsia="仿宋_GB2312"/>
                <w:sz w:val="21"/>
              </w:rPr>
              <w:t>IP68脚踏防水</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w:t>
            </w:r>
            <w:r>
              <w:rPr>
                <w:rFonts w:ascii="仿宋_GB2312" w:hAnsi="仿宋_GB2312" w:cs="仿宋_GB2312" w:eastAsia="仿宋_GB2312"/>
                <w:sz w:val="21"/>
              </w:rPr>
              <w:t>清洁功能</w:t>
            </w:r>
            <w:r>
              <w:rPr>
                <w:rFonts w:ascii="仿宋_GB2312" w:hAnsi="仿宋_GB2312" w:cs="仿宋_GB2312" w:eastAsia="仿宋_GB2312"/>
                <w:sz w:val="21"/>
              </w:rPr>
              <w:t>：</w:t>
            </w:r>
            <w:r>
              <w:rPr>
                <w:rFonts w:ascii="仿宋_GB2312" w:hAnsi="仿宋_GB2312" w:cs="仿宋_GB2312" w:eastAsia="仿宋_GB2312"/>
                <w:sz w:val="21"/>
              </w:rPr>
              <w:t>本仪器具备深度清洁功能，辅助清洁肌肤</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19</w:t>
            </w:r>
            <w:r>
              <w:rPr>
                <w:rFonts w:ascii="仿宋_GB2312" w:hAnsi="仿宋_GB2312" w:cs="仿宋_GB2312" w:eastAsia="仿宋_GB2312"/>
                <w:sz w:val="21"/>
              </w:rPr>
              <w:t>、</w:t>
            </w:r>
            <w:r>
              <w:rPr>
                <w:rFonts w:ascii="仿宋_GB2312" w:hAnsi="仿宋_GB2312" w:cs="仿宋_GB2312" w:eastAsia="仿宋_GB2312"/>
                <w:sz w:val="21"/>
              </w:rPr>
              <w:t>定制注射</w:t>
            </w:r>
            <w:r>
              <w:rPr>
                <w:rFonts w:ascii="仿宋_GB2312" w:hAnsi="仿宋_GB2312" w:cs="仿宋_GB2312" w:eastAsia="仿宋_GB2312"/>
                <w:sz w:val="21"/>
              </w:rPr>
              <w:t>功能：</w:t>
            </w:r>
            <w:r>
              <w:rPr>
                <w:rFonts w:ascii="仿宋_GB2312" w:hAnsi="仿宋_GB2312" w:cs="仿宋_GB2312" w:eastAsia="仿宋_GB2312"/>
                <w:sz w:val="21"/>
              </w:rPr>
              <w:t>本仪器具备不同区域定制注射功能，设置后自动计算面部</w:t>
            </w:r>
            <w:r>
              <w:rPr>
                <w:rFonts w:ascii="仿宋_GB2312" w:hAnsi="仿宋_GB2312" w:cs="仿宋_GB2312" w:eastAsia="仿宋_GB2312"/>
                <w:sz w:val="21"/>
              </w:rPr>
              <w:t>≥</w:t>
            </w:r>
            <w:r>
              <w:rPr>
                <w:rFonts w:ascii="仿宋_GB2312" w:hAnsi="仿宋_GB2312" w:cs="仿宋_GB2312" w:eastAsia="仿宋_GB2312"/>
                <w:sz w:val="21"/>
              </w:rPr>
              <w:t>5区域的运行值，精准注射</w:t>
            </w:r>
          </w:p>
          <w:p>
            <w:pPr>
              <w:pStyle w:val="null3"/>
              <w:ind w:firstLine="422"/>
              <w:jc w:val="center"/>
            </w:pPr>
            <w:r>
              <w:rPr>
                <w:rFonts w:ascii="仿宋_GB2312" w:hAnsi="仿宋_GB2312" w:cs="仿宋_GB2312" w:eastAsia="仿宋_GB2312"/>
                <w:sz w:val="21"/>
                <w:b/>
              </w:rPr>
              <w:t>2、</w:t>
            </w:r>
            <w:r>
              <w:rPr>
                <w:rFonts w:ascii="仿宋_GB2312" w:hAnsi="仿宋_GB2312" w:cs="仿宋_GB2312" w:eastAsia="仿宋_GB2312"/>
                <w:sz w:val="21"/>
                <w:b/>
              </w:rPr>
              <w:t>碾皮机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1、机器组成：轧皮多用机由刀具、棘辊、梳状压板、和皮片载板组成。</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2、机器尺寸（长宽高）：250mm×150mm×120mm（±5mm）</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3、轧制方形邮票皮片，刀具规格：至少包括3×3mm、5×5mm、7×7mm、10×10mm、12×12mm、14×14mm、20×20mm等多种规格可供选择</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4、制作网状皮片，刀具规格：至少包括1:1、1.5:1、2:1、3:1、4:1、4.5:1、5:1、6:1、9:1等多种规格可供选择</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5、可处理皮片规格：宽度≥110mm、长度-不限、厚度-不限。</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6、功能实现方式：通过更换刀具来实现各种不同功能，刀具容易进入定位。</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7、机器操作方式：手动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8、机器重量：≤3.5kg</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9、主机安全防护：主机按压手柄具有安全保护挡柱，避免操作时划伤。</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10、机器材质：主机采用金属材质制成，重量轻，表面合金涂层，生物相容性好。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11、刀具材质：刀片硬度值≥85HRC；刀片直径≥25mm；</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12、皮片载板：皮片载板可耐高温高压消毒、反复使用；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13、维护保养：非模辊刀具设计，使用寿命更长；如有损坏，可更换单片刀片，无需更换整把刀具；整机无需润滑。</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14、消毒方式：主机、刀具和皮片载板均可采用高温高压、低温等离子等消毒方式</w:t>
            </w:r>
            <w:r>
              <w:rPr>
                <w:rFonts w:ascii="仿宋_GB2312" w:hAnsi="仿宋_GB2312" w:cs="仿宋_GB2312" w:eastAsia="仿宋_GB2312"/>
              </w:rPr>
              <w:t xml:space="preserve"> </w:t>
            </w:r>
          </w:p>
          <w:p>
            <w:pPr>
              <w:pStyle w:val="null3"/>
              <w:ind w:firstLine="422"/>
              <w:jc w:val="center"/>
            </w:pPr>
            <w:r>
              <w:rPr>
                <w:rFonts w:ascii="仿宋_GB2312" w:hAnsi="仿宋_GB2312" w:cs="仿宋_GB2312" w:eastAsia="仿宋_GB2312"/>
                <w:sz w:val="21"/>
                <w:b/>
              </w:rPr>
              <w:t>3、</w:t>
            </w:r>
            <w:r>
              <w:rPr>
                <w:rFonts w:ascii="仿宋_GB2312" w:hAnsi="仿宋_GB2312" w:cs="仿宋_GB2312" w:eastAsia="仿宋_GB2312"/>
                <w:sz w:val="21"/>
                <w:b/>
              </w:rPr>
              <w:t>电子支气管镜</w:t>
            </w:r>
          </w:p>
          <w:p>
            <w:pPr>
              <w:pStyle w:val="null3"/>
              <w:ind w:firstLine="422"/>
              <w:jc w:val="both"/>
            </w:pPr>
            <w:r>
              <w:rPr>
                <w:rFonts w:ascii="仿宋_GB2312" w:hAnsi="仿宋_GB2312" w:cs="仿宋_GB2312" w:eastAsia="仿宋_GB2312"/>
                <w:sz w:val="21"/>
                <w:b/>
              </w:rPr>
              <w:t>一：主机技术要求：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采用智能主控芯片，可无缝兼容窥视叶片手柄、硬管手柄、软管手柄，无需转接。</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采用广角高亮显示屏，视场角</w:t>
            </w:r>
            <w:r>
              <w:rPr>
                <w:rFonts w:ascii="仿宋_GB2312" w:hAnsi="仿宋_GB2312" w:cs="仿宋_GB2312" w:eastAsia="仿宋_GB2312"/>
                <w:sz w:val="21"/>
              </w:rPr>
              <w:t>≥160°。</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主机屏幕</w:t>
            </w:r>
            <w:r>
              <w:rPr>
                <w:rFonts w:ascii="仿宋_GB2312" w:hAnsi="仿宋_GB2312" w:cs="仿宋_GB2312" w:eastAsia="仿宋_GB2312"/>
                <w:sz w:val="21"/>
              </w:rPr>
              <w:t>≥3.5寸，分辨率≥640×480。</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屏幕采用医用电阻触摸屏，通过压力点触。</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可外接显示器</w:t>
            </w:r>
            <w:r>
              <w:rPr>
                <w:rFonts w:ascii="仿宋_GB2312" w:hAnsi="仿宋_GB2312" w:cs="仿宋_GB2312" w:eastAsia="仿宋_GB2312"/>
                <w:sz w:val="21"/>
              </w:rPr>
              <w:t>或图像处理工作站</w:t>
            </w:r>
            <w:r>
              <w:rPr>
                <w:rFonts w:ascii="仿宋_GB2312" w:hAnsi="仿宋_GB2312" w:cs="仿宋_GB2312" w:eastAsia="仿宋_GB2312"/>
                <w:sz w:val="21"/>
              </w:rPr>
              <w:t>，实现同屏实时显示传输。</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主机内置多媒体系统，可拍照、录像、录音，可在主机上直接阅读、回放。</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可实现数据导出，方便科研、教学。</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具有户外</w:t>
            </w:r>
            <w:r>
              <w:rPr>
                <w:rFonts w:ascii="仿宋_GB2312" w:hAnsi="仿宋_GB2312" w:cs="仿宋_GB2312" w:eastAsia="仿宋_GB2312"/>
                <w:sz w:val="21"/>
              </w:rPr>
              <w:t>/户内环境模式，以适应不同插管环境。</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内置锂电池，容量不低于</w:t>
            </w:r>
            <w:r>
              <w:rPr>
                <w:rFonts w:ascii="仿宋_GB2312" w:hAnsi="仿宋_GB2312" w:cs="仿宋_GB2312" w:eastAsia="仿宋_GB2312"/>
                <w:sz w:val="21"/>
              </w:rPr>
              <w:t>2500mAh，工作时间≥240分钟，具备电量管理功能。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主机与各种手柄均可带电一键插拔连接、分离，无需旋转。</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显示器能上下</w:t>
            </w:r>
            <w:r>
              <w:rPr>
                <w:rFonts w:ascii="仿宋_GB2312" w:hAnsi="仿宋_GB2312" w:cs="仿宋_GB2312" w:eastAsia="仿宋_GB2312"/>
                <w:sz w:val="21"/>
              </w:rPr>
              <w:t>0º～130º转动，左右0º～270º转动，以方便特殊体位的操作。</w:t>
            </w:r>
          </w:p>
          <w:p>
            <w:pPr>
              <w:pStyle w:val="null3"/>
              <w:ind w:firstLine="420"/>
              <w:jc w:val="both"/>
            </w:pPr>
            <w:r>
              <w:rPr>
                <w:rFonts w:ascii="仿宋_GB2312" w:hAnsi="仿宋_GB2312" w:cs="仿宋_GB2312" w:eastAsia="仿宋_GB2312"/>
                <w:sz w:val="21"/>
                <w:b/>
              </w:rPr>
              <w:t>二：软管手柄技术规格要求：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采用数字电子微成像技术，无内置光纤，视角</w:t>
            </w:r>
            <w:r>
              <w:rPr>
                <w:rFonts w:ascii="仿宋_GB2312" w:hAnsi="仿宋_GB2312" w:cs="仿宋_GB2312" w:eastAsia="仿宋_GB2312"/>
                <w:sz w:val="21"/>
              </w:rPr>
              <w:t>≥120°，中心分辨率≥11.3lp/mm。</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采用医用高分子特种材料构造。</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镜子</w:t>
            </w:r>
            <w:r>
              <w:rPr>
                <w:rFonts w:ascii="仿宋_GB2312" w:hAnsi="仿宋_GB2312" w:cs="仿宋_GB2312" w:eastAsia="仿宋_GB2312"/>
                <w:sz w:val="21"/>
              </w:rPr>
              <w:t>1：插入部外径≤5.2mm，内置吸引通道直径≥2.6mm,长度≥600mm。镜子2：插入部外径≤5.8mm，内置吸引通道直径≥3.0mm,软管长度≥600mm</w:t>
            </w:r>
            <w:r>
              <w:rPr>
                <w:rFonts w:ascii="仿宋_GB2312" w:hAnsi="仿宋_GB2312" w:cs="仿宋_GB2312" w:eastAsia="仿宋_GB2312"/>
                <w:sz w:val="21"/>
              </w:rPr>
              <w:t>。</w:t>
            </w:r>
            <w:r>
              <w:rPr>
                <w:rFonts w:ascii="仿宋_GB2312" w:hAnsi="仿宋_GB2312" w:cs="仿宋_GB2312" w:eastAsia="仿宋_GB2312"/>
                <w:sz w:val="21"/>
                <w:b/>
              </w:rPr>
              <w:t>（</w:t>
            </w:r>
            <w:r>
              <w:rPr>
                <w:rFonts w:ascii="仿宋_GB2312" w:hAnsi="仿宋_GB2312" w:cs="仿宋_GB2312" w:eastAsia="仿宋_GB2312"/>
                <w:sz w:val="21"/>
                <w:b/>
              </w:rPr>
              <w:t>提供技术白皮书或彩页或产品说明书</w:t>
            </w:r>
            <w:r>
              <w:rPr>
                <w:rFonts w:ascii="仿宋_GB2312" w:hAnsi="仿宋_GB2312" w:cs="仿宋_GB2312" w:eastAsia="仿宋_GB2312"/>
                <w:sz w:val="21"/>
                <w:b/>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软管前端可弯曲角度，向上</w:t>
            </w:r>
            <w:r>
              <w:rPr>
                <w:rFonts w:ascii="仿宋_GB2312" w:hAnsi="仿宋_GB2312" w:cs="仿宋_GB2312" w:eastAsia="仿宋_GB2312"/>
                <w:sz w:val="21"/>
              </w:rPr>
              <w:t>≥180°，向下≥130°。</w:t>
            </w:r>
            <w:r>
              <w:rPr>
                <w:rFonts w:ascii="仿宋_GB2312" w:hAnsi="仿宋_GB2312" w:cs="仿宋_GB2312" w:eastAsia="仿宋_GB2312"/>
                <w:sz w:val="21"/>
                <w:b/>
              </w:rPr>
              <w:t>（</w:t>
            </w:r>
            <w:r>
              <w:rPr>
                <w:rFonts w:ascii="仿宋_GB2312" w:hAnsi="仿宋_GB2312" w:cs="仿宋_GB2312" w:eastAsia="仿宋_GB2312"/>
                <w:sz w:val="21"/>
                <w:b/>
              </w:rPr>
              <w:t>提供技术白皮书或彩页或产品说明书</w:t>
            </w:r>
            <w:r>
              <w:rPr>
                <w:rFonts w:ascii="仿宋_GB2312" w:hAnsi="仿宋_GB2312" w:cs="仿宋_GB2312" w:eastAsia="仿宋_GB2312"/>
                <w:sz w:val="21"/>
                <w:b/>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照明采用</w:t>
            </w:r>
            <w:r>
              <w:rPr>
                <w:rFonts w:ascii="仿宋_GB2312" w:hAnsi="仿宋_GB2312" w:cs="仿宋_GB2312" w:eastAsia="仿宋_GB2312"/>
                <w:sz w:val="21"/>
              </w:rPr>
              <w:t>LED灯，亮度≥2000LUX，三档亮度可调节，非光纤照明。</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成像距离范围</w:t>
            </w:r>
            <w:r>
              <w:rPr>
                <w:rFonts w:ascii="仿宋_GB2312" w:hAnsi="仿宋_GB2312" w:cs="仿宋_GB2312" w:eastAsia="仿宋_GB2312"/>
                <w:sz w:val="21"/>
              </w:rPr>
              <w:t xml:space="preserve">2～50mm。   </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具备防跌落、可任意弯曲性能，可整体浸泡消毒。</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图像预冻结功能，在不影响实时观察的情况下同时可实现观察预冻结图像。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具有一键拍照、录像功能。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与显示器之间的连接采用一键插拔方式，兼容多种显示器。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吸引接口和吸引按键一体化设计，可匹配内镜配件，可整体拆卸。</w:t>
            </w:r>
          </w:p>
          <w:p>
            <w:pPr>
              <w:pStyle w:val="null3"/>
              <w:jc w:val="left"/>
            </w:pPr>
            <w:r>
              <w:rPr>
                <w:rFonts w:ascii="仿宋_GB2312" w:hAnsi="仿宋_GB2312" w:cs="仿宋_GB2312" w:eastAsia="仿宋_GB2312"/>
              </w:rPr>
              <w:t xml:space="preserve"> </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政府采购合同签订生效后60个日历天内，完成交货、安装调试、培训及试运行。</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宜宾市第一人民医院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1、合同价款，合同签订后，货物安装调试完毕并验收合格，中标人向采购人出具合法有效完整的完税发票及凭证资料，达到付款条件起14日内，支付合同总金额的100.00%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验收时双方皆应派员参加，验收合格后需双方签署验收单，严格按照政府采购相关法律法规及部门规章执行，以采购文件的要求及结合中标人的投标文件响应内容为准。如出现未在投标文件中明确规定的，以行业相关标准为准。并按照相关要求进行整改，并完全满足采购人采购提出的工作需要。</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详见采购标的。</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中标人应严格遵守承诺，如有违约，将赔偿因违约给采购人造成的经济损失。如因中标人工作人员在履行职责过程中的的疏忽、失职、过错等故意或者过失原因给采购人造成损失或侵害，包括但不限于采购人本身的财产损失、由此而导致的采购人对任何第三方的法律责任等，中标人对此均应承担全部的赔偿责任。 （2）合同履行期间,若双方发生争议，双方本着友好合作的态度，对合同履行过程中发生的违约行为进行及时的协商解决或由有关部门调解解决，如不能协商解决可向采购人所在地人民法院通过法律诉讼解决。</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为保障项⽬质量，投标⼈应编制服务⽅案，⽅案内容⾄少包括①应急预案；②包装运输；③安装调试；④⼈员配置。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特定资格要求</w:t>
            </w:r>
          </w:p>
        </w:tc>
        <w:tc>
          <w:tcPr>
            <w:tcW w:type="dxa" w:w="3322"/>
          </w:tcPr>
          <w:p>
            <w:pPr>
              <w:pStyle w:val="null3"/>
              <w:jc w:val="left"/>
            </w:pPr>
            <w:r>
              <w:rPr>
                <w:rFonts w:ascii="仿宋_GB2312" w:hAnsi="仿宋_GB2312" w:cs="仿宋_GB2312" w:eastAsia="仿宋_GB2312"/>
              </w:rPr>
              <w:t>投标产品须符合《医疗器械注册管理办法》要求并提供齐全有效的中华人民共和国医疗器械注册证或备案凭证；供应商须符合《医疗器械监督管理条例》要求并提供相关医疗器械生产(或经营)许可证或第二类医疗器械经营备案凭证(已提供包含二类备案的多证合一营业执照的供应商除外)。</w:t>
            </w:r>
          </w:p>
        </w:tc>
        <w:tc>
          <w:tcPr>
            <w:tcW w:type="dxa" w:w="1661"/>
          </w:tcPr>
          <w:p>
            <w:pPr>
              <w:pStyle w:val="null3"/>
              <w:jc w:val="left"/>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报价明细表,报价表,投标（响应）函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技术要求</w:t>
            </w:r>
          </w:p>
        </w:tc>
        <w:tc>
          <w:tcPr>
            <w:tcW w:type="dxa" w:w="3322"/>
          </w:tcPr>
          <w:p>
            <w:pPr>
              <w:pStyle w:val="null3"/>
              <w:jc w:val="left"/>
            </w:pPr>
            <w:r>
              <w:rPr>
                <w:rFonts w:ascii="仿宋_GB2312" w:hAnsi="仿宋_GB2312" w:cs="仿宋_GB2312" w:eastAsia="仿宋_GB2312"/>
              </w:rPr>
              <w:t>对技术要求中实质性要求的响应</w:t>
            </w:r>
          </w:p>
        </w:tc>
        <w:tc>
          <w:tcPr>
            <w:tcW w:type="dxa" w:w="1661"/>
          </w:tcPr>
          <w:p>
            <w:pPr>
              <w:pStyle w:val="null3"/>
              <w:jc w:val="left"/>
            </w:pPr>
            <w:r>
              <w:rPr>
                <w:rFonts w:ascii="仿宋_GB2312" w:hAnsi="仿宋_GB2312" w:cs="仿宋_GB2312" w:eastAsia="仿宋_GB2312"/>
              </w:rPr>
              <w:t>投标（响应）产品技术参数表.docx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服务要求</w:t>
            </w:r>
          </w:p>
        </w:tc>
        <w:tc>
          <w:tcPr>
            <w:tcW w:type="dxa" w:w="3322"/>
          </w:tcPr>
          <w:p>
            <w:pPr>
              <w:pStyle w:val="null3"/>
              <w:jc w:val="left"/>
            </w:pPr>
            <w:r>
              <w:rPr>
                <w:rFonts w:ascii="仿宋_GB2312" w:hAnsi="仿宋_GB2312" w:cs="仿宋_GB2312" w:eastAsia="仿宋_GB2312"/>
              </w:rPr>
              <w:t>对服务要求中实质性要求的响应</w:t>
            </w:r>
          </w:p>
        </w:tc>
        <w:tc>
          <w:tcPr>
            <w:tcW w:type="dxa" w:w="1661"/>
          </w:tcPr>
          <w:p>
            <w:pPr>
              <w:pStyle w:val="null3"/>
              <w:jc w:val="left"/>
            </w:pPr>
            <w:r>
              <w:rPr>
                <w:rFonts w:ascii="仿宋_GB2312" w:hAnsi="仿宋_GB2312" w:cs="仿宋_GB2312" w:eastAsia="仿宋_GB2312"/>
              </w:rPr>
              <w:t>服务要求应答表.docx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其他要求以及其他需要供应商进⾏响应的实质性要求</w:t>
            </w:r>
          </w:p>
        </w:tc>
        <w:tc>
          <w:tcPr>
            <w:tcW w:type="dxa" w:w="3322"/>
          </w:tcPr>
          <w:p>
            <w:pPr>
              <w:pStyle w:val="null3"/>
              <w:jc w:val="left"/>
            </w:pPr>
            <w:r>
              <w:rPr>
                <w:rFonts w:ascii="仿宋_GB2312" w:hAnsi="仿宋_GB2312" w:cs="仿宋_GB2312" w:eastAsia="仿宋_GB2312"/>
              </w:rPr>
              <w:t>对其他要求以及其他需要供应商进⾏响应的实质性要求的响应</w:t>
            </w:r>
          </w:p>
        </w:tc>
        <w:tc>
          <w:tcPr>
            <w:tcW w:type="dxa" w:w="1661"/>
          </w:tcPr>
          <w:p>
            <w:pPr>
              <w:pStyle w:val="null3"/>
              <w:jc w:val="left"/>
            </w:pPr>
            <w:r>
              <w:rPr>
                <w:rFonts w:ascii="仿宋_GB2312" w:hAnsi="仿宋_GB2312" w:cs="仿宋_GB2312" w:eastAsia="仿宋_GB2312"/>
              </w:rPr>
              <w:t>供应商认为需要提交的其他相关证明材料.docx,其他要求应答表.docx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技术指标及配置</w:t>
            </w:r>
          </w:p>
        </w:tc>
        <w:tc>
          <w:tcPr>
            <w:tcW w:type="dxa" w:w="2575"/>
          </w:tcPr>
          <w:p>
            <w:pPr>
              <w:pStyle w:val="null3"/>
              <w:jc w:val="left"/>
            </w:pPr>
            <w:r>
              <w:rPr>
                <w:rFonts w:ascii="仿宋_GB2312" w:hAnsi="仿宋_GB2312" w:cs="仿宋_GB2312" w:eastAsia="仿宋_GB2312"/>
              </w:rPr>
              <w:t>投标产品完全响应招标文件“技术参数要求”的得66分。每有一项重要指标(带“▲”号的参数，共5项，含子项)有负偏离的，扣8.2分，最多扣41分；每有一项一般指标(带“●”号的参数，共50项，含子项)有负偏离的，扣0.5分，最多扣25分。 注：(1)针对招标文件中的“▲”号条款技术参数，投标人应提供技术支持资料；针对以上所有资料加盖投标人公章；如果投标产品中的某条“▲”号条款技术参数没有按照以上要求提供技术支持资料的，该条技术参数在评审中将不予认定。未明确提供证明材料的条款以投标产品技术参数响应表响应为准。</w:t>
            </w:r>
          </w:p>
        </w:tc>
        <w:tc>
          <w:tcPr>
            <w:tcW w:type="dxa" w:w="831"/>
          </w:tcPr>
          <w:p>
            <w:pPr>
              <w:pStyle w:val="null3"/>
              <w:jc w:val="center"/>
            </w:pPr>
            <w:r>
              <w:rPr>
                <w:rFonts w:ascii="仿宋_GB2312" w:hAnsi="仿宋_GB2312" w:cs="仿宋_GB2312" w:eastAsia="仿宋_GB2312"/>
              </w:rPr>
              <w:t>66.0000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投标（响应）产品技术参数表.docx</w:t>
            </w:r>
          </w:p>
        </w:tc>
      </w:tr>
      <w:tr>
        <w:tc>
          <w:tcPr>
            <w:tcW w:type="dxa" w:w="831"/>
            <w:vMerge/>
          </w:tcPr>
          <w:p/>
        </w:tc>
        <w:tc>
          <w:tcPr>
            <w:tcW w:type="dxa" w:w="1661"/>
          </w:tcPr>
          <w:p>
            <w:pPr>
              <w:pStyle w:val="null3"/>
              <w:jc w:val="left"/>
            </w:pPr>
            <w:r>
              <w:rPr>
                <w:rFonts w:ascii="仿宋_GB2312" w:hAnsi="仿宋_GB2312" w:cs="仿宋_GB2312" w:eastAsia="仿宋_GB2312"/>
              </w:rPr>
              <w:t>售后服务保障措施</w:t>
            </w:r>
          </w:p>
        </w:tc>
        <w:tc>
          <w:tcPr>
            <w:tcW w:type="dxa" w:w="2575"/>
          </w:tcPr>
          <w:p>
            <w:pPr>
              <w:pStyle w:val="null3"/>
              <w:jc w:val="left"/>
            </w:pPr>
            <w:r>
              <w:rPr>
                <w:rFonts w:ascii="仿宋_GB2312" w:hAnsi="仿宋_GB2312" w:cs="仿宋_GB2312" w:eastAsia="仿宋_GB2312"/>
              </w:rPr>
              <w:t>根据投标人编制的服务方案进行评审，方案内容至少包括①应急预案；②包装运输；③安装调试；④人员配置，方案完全包含上述内容的得4分，每有一项内容缺失的扣1分，每有一项内容有缺陷的扣0.5分，（缺陷是指：内容非专门针对本项目的；或存在不适用该项目的情形；或涉及的规范及标准错误；或方案内容前后矛盾）。未提供方案不得分。</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供应商认为需要提交的其他相关证明材料.docx</w:t>
            </w:r>
          </w:p>
          <w:p>
            <w:pPr>
              <w:pStyle w:val="null3"/>
              <w:jc w:val="left"/>
            </w:pPr>
            <w:r>
              <w:rPr>
                <w:rFonts w:ascii="仿宋_GB2312" w:hAnsi="仿宋_GB2312" w:cs="仿宋_GB2312" w:eastAsia="仿宋_GB2312"/>
              </w:rPr>
              <w:t>其他要求应答表.docx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详见附件：供应商应提交的相关资格证明材料.docx</w:t>
      </w:r>
    </w:p>
    <w:p>
      <w:pPr>
        <w:pStyle w:val="null3"/>
        <w:ind w:firstLine="960"/>
        <w:jc w:val="left"/>
      </w:pPr>
      <w:r>
        <w:rPr>
          <w:rFonts w:ascii="仿宋_GB2312" w:hAnsi="仿宋_GB2312" w:cs="仿宋_GB2312" w:eastAsia="仿宋_GB2312"/>
        </w:rPr>
        <w:t>详见附件：投标（响应）产品技术参数表.docx</w:t>
      </w:r>
    </w:p>
    <w:p>
      <w:pPr>
        <w:pStyle w:val="null3"/>
        <w:ind w:firstLine="960"/>
        <w:jc w:val="left"/>
      </w:pPr>
      <w:r>
        <w:rPr>
          <w:rFonts w:ascii="仿宋_GB2312" w:hAnsi="仿宋_GB2312" w:cs="仿宋_GB2312" w:eastAsia="仿宋_GB2312"/>
        </w:rPr>
        <w:t>详见附件：服务要求应答表.docx</w:t>
      </w:r>
    </w:p>
    <w:p>
      <w:pPr>
        <w:pStyle w:val="null3"/>
        <w:ind w:firstLine="960"/>
        <w:jc w:val="left"/>
      </w:pPr>
      <w:r>
        <w:rPr>
          <w:rFonts w:ascii="仿宋_GB2312" w:hAnsi="仿宋_GB2312" w:cs="仿宋_GB2312" w:eastAsia="仿宋_GB2312"/>
        </w:rPr>
        <w:t>详见附件：其他要求应答表.docx</w:t>
      </w:r>
    </w:p>
    <w:p>
      <w:pPr>
        <w:pStyle w:val="null3"/>
        <w:ind w:firstLine="960"/>
        <w:jc w:val="left"/>
      </w:pPr>
      <w:r>
        <w:rPr>
          <w:rFonts w:ascii="仿宋_GB2312" w:hAnsi="仿宋_GB2312" w:cs="仿宋_GB2312" w:eastAsia="仿宋_GB2312"/>
        </w:rPr>
        <w:t>详见附件：供应商认为需要提交的其他相关证明材料.docx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