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版本号：N511501202600008120260323001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临时起搏器等一批医疗设备采购项目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N5115012026000081</w:t>
      </w:r>
    </w:p>
    <w:p>
      <w:pPr>
        <w:pStyle w:val="null3"/>
        <w:jc w:val="left"/>
        <w:outlineLvl w:val="2"/>
      </w:pPr>
      <w:r>
        <w:rPr>
          <w:rFonts w:ascii="仿宋_GB2312" w:hAnsi="仿宋_GB2312" w:cs="仿宋_GB2312" w:eastAsia="仿宋_GB2312"/>
          <w:sz w:val="28"/>
          <w:b/>
        </w:rPr>
        <w:t>宜宾市第一人民医院</w:t>
      </w:r>
    </w:p>
    <w:p>
      <w:pPr>
        <w:pStyle w:val="null3"/>
        <w:jc w:val="center"/>
        <w:outlineLvl w:val="2"/>
      </w:pPr>
      <w:r>
        <w:rPr>
          <w:rFonts w:ascii="仿宋_GB2312" w:hAnsi="仿宋_GB2312" w:cs="仿宋_GB2312" w:eastAsia="仿宋_GB2312"/>
          <w:sz w:val="28"/>
          <w:b/>
        </w:rPr>
        <w:t>宜宾市公服集团医疗健康产业发展有限公司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宜宾市第一人民医院</w:t>
      </w:r>
      <w:r>
        <w:rPr>
          <w:rFonts w:ascii="仿宋_GB2312" w:hAnsi="仿宋_GB2312" w:cs="仿宋_GB2312" w:eastAsia="仿宋_GB2312"/>
        </w:rPr>
        <w:t xml:space="preserve"> 委托，拟对 </w:t>
      </w:r>
      <w:r>
        <w:rPr>
          <w:rFonts w:ascii="仿宋_GB2312" w:hAnsi="仿宋_GB2312" w:cs="仿宋_GB2312" w:eastAsia="仿宋_GB2312"/>
        </w:rPr>
        <w:t>临时起搏器等一批医疗设备采购项目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N5115012026000081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临时起搏器等一批医疗设备采购项目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本项目1个包，采购内容：超声扫描治疗仪等一批医疗设备，详见标的清单。</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特定资格要求（描述：投标产品须符合《医疗器械注册管理办法》要求并提供齐全有效的中华人民共和国医疗器械注册证或备案凭证；供应商须符合《医疗器械监督管理条例》要求并提供相关医疗器械生产(或经营)许可证或第二类医疗器械经营备案凭证(已提供包含二类备案的多证合一营业执照的供应商除外)。）</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宜宾市第一人民医院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宜宾市叙州区叙州大道普和东路16号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0831-8288103</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宜宾市公服集团医疗健康产业发展有限公司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宜宾市叙州区南岸街道三江明珠2幢2单元6楼613室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晏刚</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0831-2322391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采购包1：378,800.00元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缴纳方式：☑银行转账  ☑支票/汇票/本票  ☑保函/保险</w:t>
              <w:br/>
              <w:t>缴纳说明：1.交款方式：以支票、汇票、本票、保证保险、保证担保或者金融机构出具的保函等非现金形式提交至采购人(包括网银转账，电汇等方式)。</w:t>
              <w:br/>
              <w:t>2.交款时间：中标通知书发放后，政府采购合同签订前。中标人未按照采购文件的规定交纳履约保证金，且又无正当理由的，将视为放弃中标。注：①提供保函的担保机构必须是依法成立的具有相关资质和偿付能力的担保机构。保函是银行等金融机构出具的，保函必须要在中国人民银行征信系统能够进行查询，否则将取消中标资格，采购人将重新确定中标人，并依法追究法律责任。②履约保证金退还时间及方式：中标人完成合同约定的所有内容并经采购人验收合格后10日内，由采购人一次性无息退还至中标人。③履约保证金不予退还情形：①中标人不履行与采购人订立的合同的，履约保证金不予退还，给采购人造成的损失超过履约保证金数额的，还应当对超过部分予以赔偿。②项目验收结果不合格的，履约保证金将不予退还。③其他违反国家相关法律法规的情形。④履约保证金不予退还的，将按照有关规定上缴国库。逾期退还履约保证金的，将依法承担法律责任，并赔偿中标人损失。</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①成本支出加合理利润原则确定。以实际中标（成交）金额为计费基数(采用单价招标的以采购预算为计费基数)，计算标准为：100万元以下按中标（成交）金额的1.5%，代理服务费按差额定率累进法计算后下浮20%收取，下浮后不足4000元的按4000元计取。 ②账户信息：宜宾市公服集团医疗健康产业发展有限公司 开户银行：中国工商银行股份有限公司宜宾南岸支行。 账号：2314505119100135371。</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宜宾市第一人民医院</w:t>
      </w:r>
      <w:r>
        <w:rPr>
          <w:rFonts w:ascii="仿宋_GB2312" w:hAnsi="仿宋_GB2312" w:cs="仿宋_GB2312" w:eastAsia="仿宋_GB2312"/>
        </w:rPr>
        <w:t xml:space="preserve"> 和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宜宾市第一人民医院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中标人按照合同要求完成全部工作后，采购人在收到书面的验收申请材料后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采购人和供应商双方如对质量要求和技术指标的约定标准有相互抵触或异议的事项，由采购人在采购文件与投标文件中按质量要求和技术指标比较优胜的原则确定该项的约定标准进行验收。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招标文件要求及投标文件响应内容、中标产品厂家注册内容、产品说明书（如涉及）等内容进行技术验收。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按投标文件响应商务内容验收。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按照《财政部关于进一步加强政府采购需求和履约验收管理的指导意见》（财库〔2016〕205号）有关规定以及采购人采购文件的质量要求和技术指标、供应商的投标文件及承诺约定标准进行验收。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宜宾市第一人民医院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宜宾市公服集团医疗健康产业发展有限公司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联系人：罗老师</w:t>
      </w:r>
    </w:p>
    <w:p>
      <w:pPr>
        <w:pStyle w:val="null3"/>
        <w:jc w:val="left"/>
      </w:pPr>
      <w:r>
        <w:rPr>
          <w:rFonts w:ascii="仿宋_GB2312" w:hAnsi="仿宋_GB2312" w:cs="仿宋_GB2312" w:eastAsia="仿宋_GB2312"/>
        </w:rPr>
        <w:t>联系电话：0831-8288103</w:t>
      </w:r>
    </w:p>
    <w:p>
      <w:pPr>
        <w:pStyle w:val="null3"/>
        <w:jc w:val="left"/>
      </w:pPr>
      <w:r>
        <w:rPr>
          <w:rFonts w:ascii="仿宋_GB2312" w:hAnsi="仿宋_GB2312" w:cs="仿宋_GB2312" w:eastAsia="仿宋_GB2312"/>
        </w:rPr>
        <w:t>地址：宜宾市叙州区叙州大道普和东路16号</w:t>
      </w:r>
    </w:p>
    <w:p>
      <w:pPr>
        <w:pStyle w:val="null3"/>
        <w:jc w:val="left"/>
      </w:pPr>
      <w:r>
        <w:rPr>
          <w:rFonts w:ascii="仿宋_GB2312" w:hAnsi="仿宋_GB2312" w:cs="仿宋_GB2312" w:eastAsia="仿宋_GB2312"/>
        </w:rPr>
        <w:t>邮编：644000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联系人：晏刚</w:t>
      </w:r>
    </w:p>
    <w:p>
      <w:pPr>
        <w:pStyle w:val="null3"/>
        <w:jc w:val="left"/>
      </w:pPr>
      <w:r>
        <w:rPr>
          <w:rFonts w:ascii="仿宋_GB2312" w:hAnsi="仿宋_GB2312" w:cs="仿宋_GB2312" w:eastAsia="仿宋_GB2312"/>
        </w:rPr>
        <w:t>联系电话：0831-2322391</w:t>
      </w:r>
    </w:p>
    <w:p>
      <w:pPr>
        <w:pStyle w:val="null3"/>
        <w:jc w:val="left"/>
      </w:pPr>
      <w:r>
        <w:rPr>
          <w:rFonts w:ascii="仿宋_GB2312" w:hAnsi="仿宋_GB2312" w:cs="仿宋_GB2312" w:eastAsia="仿宋_GB2312"/>
        </w:rPr>
        <w:t>地址：宜宾市叙州区南岸街道三江明珠2幢2单元6楼613室</w:t>
      </w:r>
    </w:p>
    <w:p>
      <w:pPr>
        <w:pStyle w:val="null3"/>
        <w:jc w:val="left"/>
      </w:pPr>
      <w:r>
        <w:rPr>
          <w:rFonts w:ascii="仿宋_GB2312" w:hAnsi="仿宋_GB2312" w:cs="仿宋_GB2312" w:eastAsia="仿宋_GB2312"/>
        </w:rPr>
        <w:t>邮编：644000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378,800.00</w:t>
      </w:r>
    </w:p>
    <w:p>
      <w:pPr>
        <w:pStyle w:val="null3"/>
        <w:jc w:val="left"/>
      </w:pPr>
      <w:r>
        <w:rPr>
          <w:rFonts w:ascii="仿宋_GB2312" w:hAnsi="仿宋_GB2312" w:cs="仿宋_GB2312" w:eastAsia="仿宋_GB2312"/>
        </w:rPr>
        <w:t>采购包最高限价（元）: 267,600.00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A02322500 急救和生命支持设备</w:t>
            </w:r>
          </w:p>
        </w:tc>
        <w:tc>
          <w:tcPr>
            <w:tcW w:type="dxa" w:w="821"/>
          </w:tcPr>
          <w:p>
            <w:pPr>
              <w:pStyle w:val="null3"/>
              <w:jc w:val="left"/>
            </w:pPr>
            <w:r>
              <w:rPr>
                <w:rFonts w:ascii="仿宋_GB2312" w:hAnsi="仿宋_GB2312" w:cs="仿宋_GB2312" w:eastAsia="仿宋_GB2312"/>
              </w:rPr>
              <w:t>超声扫描治疗仪等一批医疗设备</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267,600.00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超声扫描治疗仪等一批医疗设备</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267,600.00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投标人报总价的同时应在分项报价明细表中报出项目详细采购标的清单中各标的的价格。</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A02322500 急救和生命支持设备</w:t>
            </w:r>
          </w:p>
        </w:tc>
        <w:tc>
          <w:tcPr>
            <w:tcW w:type="dxa" w:w="2492"/>
          </w:tcPr>
          <w:p>
            <w:pPr>
              <w:pStyle w:val="null3"/>
              <w:jc w:val="left"/>
            </w:pPr>
            <w:r>
              <w:rPr>
                <w:rFonts w:ascii="仿宋_GB2312" w:hAnsi="仿宋_GB2312" w:cs="仿宋_GB2312" w:eastAsia="仿宋_GB2312"/>
              </w:rPr>
              <w:t>超声扫描治疗仪等一批医疗设备</w:t>
            </w:r>
          </w:p>
        </w:tc>
        <w:tc>
          <w:tcPr>
            <w:tcW w:type="dxa" w:w="2492"/>
          </w:tcPr>
          <w:p>
            <w:pPr>
              <w:pStyle w:val="null3"/>
              <w:jc w:val="left"/>
            </w:pPr>
            <w:r>
              <w:rPr>
                <w:rFonts w:ascii="仿宋_GB2312" w:hAnsi="仿宋_GB2312" w:cs="仿宋_GB2312" w:eastAsia="仿宋_GB2312"/>
              </w:rPr>
              <w:t>超声扫描治疗仪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标的名称：超声扫描治疗仪等一批医疗设备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超声扫描治疗仪等一批医疗设备</w:t>
            </w:r>
          </w:p>
        </w:tc>
        <w:tc>
          <w:tcPr>
            <w:tcW w:type="dxa" w:w="5814"/>
          </w:tcPr>
          <w:p>
            <w:pPr>
              <w:pStyle w:val="null3"/>
              <w:jc w:val="left"/>
            </w:pPr>
            <w:r>
              <w:rPr>
                <w:rFonts w:ascii="仿宋_GB2312" w:hAnsi="仿宋_GB2312" w:cs="仿宋_GB2312" w:eastAsia="仿宋_GB2312"/>
              </w:rPr>
              <w:t>★一、项目详细采购标的清单</w:t>
            </w:r>
          </w:p>
          <w:tbl>
            <w:tblPr>
              <w:tblBorders>
                <w:top w:val="none" w:color="000000" w:sz="4"/>
                <w:left w:val="none" w:color="000000" w:sz="4"/>
                <w:bottom w:val="none" w:color="000000" w:sz="4"/>
                <w:right w:val="none" w:color="000000" w:sz="4"/>
                <w:insideH w:val="none"/>
                <w:insideV w:val="none"/>
              </w:tblBorders>
            </w:tblPr>
            <w:tblGrid>
              <w:gridCol w:w="275"/>
              <w:gridCol w:w="1688"/>
              <w:gridCol w:w="403"/>
              <w:gridCol w:w="422"/>
              <w:gridCol w:w="917"/>
              <w:gridCol w:w="614"/>
              <w:gridCol w:w="624"/>
              <w:gridCol w:w="624"/>
            </w:tblGrid>
            <w:tr>
              <w:tc>
                <w:tcPr>
                  <w:tcW w:type="dxa" w:w="275"/>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序号</w:t>
                  </w:r>
                </w:p>
              </w:tc>
              <w:tc>
                <w:tcPr>
                  <w:tcW w:type="dxa" w:w="1688"/>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标的名称</w:t>
                  </w:r>
                </w:p>
              </w:tc>
              <w:tc>
                <w:tcPr>
                  <w:tcW w:type="dxa" w:w="403"/>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数量</w:t>
                  </w:r>
                </w:p>
              </w:tc>
              <w:tc>
                <w:tcPr>
                  <w:tcW w:type="dxa" w:w="422"/>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单位</w:t>
                  </w:r>
                </w:p>
              </w:tc>
              <w:tc>
                <w:tcPr>
                  <w:tcW w:type="dxa" w:w="91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最高</w:t>
                  </w:r>
                  <w:r>
                    <w:rPr>
                      <w:rFonts w:ascii="仿宋_GB2312" w:hAnsi="仿宋_GB2312" w:cs="仿宋_GB2312" w:eastAsia="仿宋_GB2312"/>
                      <w:sz w:val="21"/>
                      <w:b/>
                    </w:rPr>
                    <w:t>总价</w:t>
                  </w:r>
                  <w:r>
                    <w:rPr>
                      <w:rFonts w:ascii="仿宋_GB2312" w:hAnsi="仿宋_GB2312" w:cs="仿宋_GB2312" w:eastAsia="仿宋_GB2312"/>
                      <w:sz w:val="21"/>
                      <w:b/>
                    </w:rPr>
                    <w:t>限价</w:t>
                  </w:r>
                </w:p>
                <w:p>
                  <w:pPr>
                    <w:pStyle w:val="null3"/>
                    <w:jc w:val="center"/>
                  </w:pPr>
                  <w:r>
                    <w:rPr>
                      <w:rFonts w:ascii="仿宋_GB2312" w:hAnsi="仿宋_GB2312" w:cs="仿宋_GB2312" w:eastAsia="仿宋_GB2312"/>
                      <w:sz w:val="21"/>
                      <w:b/>
                    </w:rPr>
                    <w:t>（万元）</w:t>
                  </w:r>
                </w:p>
              </w:tc>
              <w:tc>
                <w:tcPr>
                  <w:tcW w:type="dxa" w:w="61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质保期（年）</w:t>
                  </w:r>
                </w:p>
              </w:tc>
              <w:tc>
                <w:tcPr>
                  <w:tcW w:type="dxa" w:w="6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行业划分标准</w:t>
                  </w:r>
                </w:p>
              </w:tc>
              <w:tc>
                <w:tcPr>
                  <w:tcW w:type="dxa" w:w="62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1"/>
                      <w:b/>
                    </w:rPr>
                    <w:t>是否属于医疗器械</w:t>
                  </w:r>
                </w:p>
              </w:tc>
            </w:tr>
            <w:tr>
              <w:tc>
                <w:tcPr>
                  <w:tcW w:type="dxa" w:w="2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16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血液净化机</w:t>
                  </w:r>
                </w:p>
              </w:tc>
              <w:tc>
                <w:tcPr>
                  <w:tcW w:type="dxa" w:w="40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台</w:t>
                  </w:r>
                </w:p>
              </w:tc>
              <w:tc>
                <w:tcPr>
                  <w:tcW w:type="dxa" w:w="917"/>
                  <w:vMerge w:val="restart"/>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26.76</w:t>
                  </w: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3年</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工业</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是</w:t>
                  </w:r>
                </w:p>
              </w:tc>
            </w:tr>
            <w:tr>
              <w:tc>
                <w:tcPr>
                  <w:tcW w:type="dxa" w:w="2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w:t>
                  </w:r>
                </w:p>
              </w:tc>
              <w:tc>
                <w:tcPr>
                  <w:tcW w:type="dxa" w:w="16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超短波电疗机</w:t>
                  </w:r>
                </w:p>
              </w:tc>
              <w:tc>
                <w:tcPr>
                  <w:tcW w:type="dxa" w:w="40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台</w:t>
                  </w:r>
                </w:p>
              </w:tc>
              <w:tc>
                <w:tcPr>
                  <w:tcW w:type="dxa" w:w="917"/>
                  <w:vMerge/>
                  <w:tcBorders>
                    <w:top w:val="none" w:color="000000" w:sz="4"/>
                    <w:left w:val="non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3年</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工业</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是</w:t>
                  </w:r>
                </w:p>
              </w:tc>
            </w:tr>
            <w:tr>
              <w:tc>
                <w:tcPr>
                  <w:tcW w:type="dxa" w:w="2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w:t>
                  </w:r>
                </w:p>
              </w:tc>
              <w:tc>
                <w:tcPr>
                  <w:tcW w:type="dxa" w:w="16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超声扫描治疗仪</w:t>
                  </w:r>
                </w:p>
              </w:tc>
              <w:tc>
                <w:tcPr>
                  <w:tcW w:type="dxa" w:w="40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台</w:t>
                  </w:r>
                </w:p>
              </w:tc>
              <w:tc>
                <w:tcPr>
                  <w:tcW w:type="dxa" w:w="917"/>
                  <w:vMerge/>
                  <w:tcBorders>
                    <w:top w:val="none" w:color="000000" w:sz="4"/>
                    <w:left w:val="non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3年</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工业</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是</w:t>
                  </w:r>
                </w:p>
              </w:tc>
            </w:tr>
            <w:tr>
              <w:tc>
                <w:tcPr>
                  <w:tcW w:type="dxa" w:w="2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4</w:t>
                  </w:r>
                </w:p>
              </w:tc>
              <w:tc>
                <w:tcPr>
                  <w:tcW w:type="dxa" w:w="16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凝胶手术体位垫</w:t>
                  </w:r>
                </w:p>
              </w:tc>
              <w:tc>
                <w:tcPr>
                  <w:tcW w:type="dxa" w:w="40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1</w:t>
                  </w:r>
                </w:p>
              </w:tc>
              <w:tc>
                <w:tcPr>
                  <w:tcW w:type="dxa" w:w="4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套</w:t>
                  </w:r>
                </w:p>
              </w:tc>
              <w:tc>
                <w:tcPr>
                  <w:tcW w:type="dxa" w:w="917"/>
                  <w:vMerge/>
                  <w:tcBorders>
                    <w:top w:val="none" w:color="000000" w:sz="4"/>
                    <w:left w:val="non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3年</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工业</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是</w:t>
                  </w:r>
                </w:p>
              </w:tc>
            </w:tr>
            <w:tr>
              <w:tc>
                <w:tcPr>
                  <w:tcW w:type="dxa" w:w="27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5</w:t>
                  </w:r>
                </w:p>
              </w:tc>
              <w:tc>
                <w:tcPr>
                  <w:tcW w:type="dxa" w:w="1688"/>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婴儿辐射保暖台</w:t>
                  </w:r>
                </w:p>
              </w:tc>
              <w:tc>
                <w:tcPr>
                  <w:tcW w:type="dxa" w:w="40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2</w:t>
                  </w:r>
                </w:p>
              </w:tc>
              <w:tc>
                <w:tcPr>
                  <w:tcW w:type="dxa" w:w="422"/>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台</w:t>
                  </w:r>
                </w:p>
              </w:tc>
              <w:tc>
                <w:tcPr>
                  <w:tcW w:type="dxa" w:w="917"/>
                  <w:vMerge/>
                  <w:tcBorders>
                    <w:top w:val="none" w:color="000000" w:sz="4"/>
                    <w:left w:val="none" w:color="000000" w:sz="4"/>
                    <w:bottom w:val="single" w:color="000000" w:sz="4"/>
                    <w:right w:val="single" w:color="000000" w:sz="4"/>
                  </w:tcBorders>
                </w:tcPr>
                <w:p/>
              </w:tc>
              <w:tc>
                <w:tcPr>
                  <w:tcW w:type="dxa" w:w="61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3年</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工业</w:t>
                  </w:r>
                </w:p>
              </w:tc>
              <w:tc>
                <w:tcPr>
                  <w:tcW w:type="dxa" w:w="62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0"/>
                      <w:color w:val="000000"/>
                    </w:rPr>
                    <w:t>是</w:t>
                  </w:r>
                </w:p>
              </w:tc>
            </w:tr>
          </w:tbl>
          <w:p>
            <w:pPr>
              <w:pStyle w:val="null3"/>
              <w:jc w:val="left"/>
            </w:pPr>
            <w:r>
              <w:rPr>
                <w:rFonts w:ascii="仿宋_GB2312" w:hAnsi="仿宋_GB2312" w:cs="仿宋_GB2312" w:eastAsia="仿宋_GB2312"/>
              </w:rPr>
              <w:t>二、详细技术参数要求</w:t>
            </w:r>
          </w:p>
          <w:p>
            <w:pPr>
              <w:pStyle w:val="null3"/>
              <w:ind w:firstLine="422"/>
              <w:jc w:val="center"/>
            </w:pPr>
            <w:r>
              <w:rPr>
                <w:rFonts w:ascii="仿宋_GB2312" w:hAnsi="仿宋_GB2312" w:cs="仿宋_GB2312" w:eastAsia="仿宋_GB2312"/>
                <w:sz w:val="21"/>
                <w:b/>
              </w:rPr>
              <w:t>1、血液净化机</w:t>
            </w:r>
          </w:p>
          <w:p>
            <w:pPr>
              <w:pStyle w:val="null3"/>
              <w:ind w:firstLine="420"/>
              <w:jc w:val="both"/>
            </w:pPr>
            <w:r>
              <w:rPr>
                <w:rFonts w:ascii="仿宋_GB2312" w:hAnsi="仿宋_GB2312" w:cs="仿宋_GB2312" w:eastAsia="仿宋_GB2312"/>
                <w:sz w:val="21"/>
              </w:rPr>
              <w:t>●1、至少具备持续性血液滤过（CHF）、单纯血浆置换（PE）、双重血浆置换（DFPP）、等血液净化治疗模式；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2、具备自设编程程序；</w:t>
            </w:r>
            <w:r>
              <w:rPr>
                <w:rFonts w:ascii="仿宋_GB2312" w:hAnsi="仿宋_GB2312" w:cs="仿宋_GB2312" w:eastAsia="仿宋_GB2312"/>
                <w:sz w:val="21"/>
                <w:b/>
              </w:rPr>
              <w:t>（提供技术参数白皮书或彩页</w:t>
            </w:r>
            <w:r>
              <w:rPr>
                <w:rFonts w:ascii="仿宋_GB2312" w:hAnsi="仿宋_GB2312" w:cs="仿宋_GB2312" w:eastAsia="仿宋_GB2312"/>
                <w:sz w:val="21"/>
                <w:b/>
              </w:rPr>
              <w:t>或实物图片</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液晶</w:t>
            </w:r>
            <w:r>
              <w:rPr>
                <w:rFonts w:ascii="仿宋_GB2312" w:hAnsi="仿宋_GB2312" w:cs="仿宋_GB2312" w:eastAsia="仿宋_GB2312"/>
                <w:sz w:val="21"/>
              </w:rPr>
              <w:t>触摸终端全中文显示，实时显示治疗过程参数和曲线图形；</w:t>
            </w:r>
          </w:p>
          <w:p>
            <w:pPr>
              <w:pStyle w:val="null3"/>
              <w:ind w:firstLine="420"/>
              <w:jc w:val="both"/>
            </w:pPr>
            <w:r>
              <w:rPr>
                <w:rFonts w:ascii="仿宋_GB2312" w:hAnsi="仿宋_GB2312" w:cs="仿宋_GB2312" w:eastAsia="仿宋_GB2312"/>
                <w:sz w:val="21"/>
              </w:rPr>
              <w:t>●4、具备≥4个流量泵。血液泵流速：15～210mL/min，滤过液泵流速：10～110mL/min，透析液泵流速：5～50mL/min，置换液泵流速：5～110mL/min；</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5、血泵和透析液泵具备正转和反转功能；</w:t>
            </w:r>
            <w:r>
              <w:rPr>
                <w:rFonts w:ascii="仿宋_GB2312" w:hAnsi="仿宋_GB2312" w:cs="仿宋_GB2312" w:eastAsia="仿宋_GB2312"/>
                <w:sz w:val="21"/>
                <w:b/>
              </w:rPr>
              <w:t>（提供技术参数白皮书或彩页</w:t>
            </w:r>
            <w:r>
              <w:rPr>
                <w:rFonts w:ascii="仿宋_GB2312" w:hAnsi="仿宋_GB2312" w:cs="仿宋_GB2312" w:eastAsia="仿宋_GB2312"/>
                <w:sz w:val="21"/>
                <w:b/>
              </w:rPr>
              <w:t>或实物图片</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6、具备≥1个振摇夹持器；</w:t>
            </w:r>
            <w:r>
              <w:rPr>
                <w:rFonts w:ascii="仿宋_GB2312" w:hAnsi="仿宋_GB2312" w:cs="仿宋_GB2312" w:eastAsia="仿宋_GB2312"/>
                <w:sz w:val="21"/>
                <w:b/>
              </w:rPr>
              <w:t>（提供技术参数白皮书或彩页</w:t>
            </w:r>
            <w:r>
              <w:rPr>
                <w:rFonts w:ascii="仿宋_GB2312" w:hAnsi="仿宋_GB2312" w:cs="仿宋_GB2312" w:eastAsia="仿宋_GB2312"/>
                <w:sz w:val="21"/>
                <w:b/>
              </w:rPr>
              <w:t>或实物图片</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●7、具备≥6个压力监测：</w:t>
            </w:r>
          </w:p>
          <w:p>
            <w:pPr>
              <w:pStyle w:val="null3"/>
              <w:ind w:firstLine="420"/>
              <w:jc w:val="both"/>
            </w:pPr>
            <w:r>
              <w:rPr>
                <w:rFonts w:ascii="仿宋_GB2312" w:hAnsi="仿宋_GB2312" w:cs="仿宋_GB2312" w:eastAsia="仿宋_GB2312"/>
                <w:sz w:val="21"/>
              </w:rPr>
              <w:t>7.1动脉压监测范围：－400～300mmHg，±10mmHg；</w:t>
            </w:r>
          </w:p>
          <w:p>
            <w:pPr>
              <w:pStyle w:val="null3"/>
              <w:ind w:firstLine="420"/>
              <w:jc w:val="both"/>
            </w:pPr>
            <w:r>
              <w:rPr>
                <w:rFonts w:ascii="仿宋_GB2312" w:hAnsi="仿宋_GB2312" w:cs="仿宋_GB2312" w:eastAsia="仿宋_GB2312"/>
                <w:sz w:val="21"/>
              </w:rPr>
              <w:t>7.2滤器入口压监测范围：－400～300mmHg，±10mmHg；</w:t>
            </w:r>
          </w:p>
          <w:p>
            <w:pPr>
              <w:pStyle w:val="null3"/>
              <w:ind w:firstLine="420"/>
              <w:jc w:val="both"/>
            </w:pPr>
            <w:r>
              <w:rPr>
                <w:rFonts w:ascii="仿宋_GB2312" w:hAnsi="仿宋_GB2312" w:cs="仿宋_GB2312" w:eastAsia="仿宋_GB2312"/>
                <w:sz w:val="21"/>
              </w:rPr>
              <w:t>7.3静脉压监测范围：－400～300mmHg，±10mmHg；</w:t>
            </w:r>
          </w:p>
          <w:p>
            <w:pPr>
              <w:pStyle w:val="null3"/>
              <w:ind w:firstLine="420"/>
              <w:jc w:val="both"/>
            </w:pPr>
            <w:r>
              <w:rPr>
                <w:rFonts w:ascii="仿宋_GB2312" w:hAnsi="仿宋_GB2312" w:cs="仿宋_GB2312" w:eastAsia="仿宋_GB2312"/>
                <w:sz w:val="21"/>
              </w:rPr>
              <w:t>7.4一级膜外压监测范围：－400～300mmHg，±10mmHg；</w:t>
            </w:r>
          </w:p>
          <w:p>
            <w:pPr>
              <w:pStyle w:val="null3"/>
              <w:ind w:firstLine="420"/>
              <w:jc w:val="both"/>
            </w:pPr>
            <w:r>
              <w:rPr>
                <w:rFonts w:ascii="仿宋_GB2312" w:hAnsi="仿宋_GB2312" w:cs="仿宋_GB2312" w:eastAsia="仿宋_GB2312"/>
                <w:sz w:val="21"/>
              </w:rPr>
              <w:t>7.5血浆入口压监测范围：－400～300mmHg，±10mmHg；</w:t>
            </w:r>
          </w:p>
          <w:p>
            <w:pPr>
              <w:pStyle w:val="null3"/>
              <w:ind w:firstLine="420"/>
              <w:jc w:val="both"/>
            </w:pPr>
            <w:r>
              <w:rPr>
                <w:rFonts w:ascii="仿宋_GB2312" w:hAnsi="仿宋_GB2312" w:cs="仿宋_GB2312" w:eastAsia="仿宋_GB2312"/>
                <w:sz w:val="21"/>
              </w:rPr>
              <w:t>7.6二级膜外压监测范围：－400～300mmHg，±10mmHg；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8、具备≥2组管路截止阀；</w:t>
            </w:r>
            <w:r>
              <w:rPr>
                <w:rFonts w:ascii="仿宋_GB2312" w:hAnsi="仿宋_GB2312" w:cs="仿宋_GB2312" w:eastAsia="仿宋_GB2312"/>
                <w:sz w:val="21"/>
                <w:b/>
              </w:rPr>
              <w:t>（提供技术参数白皮书或彩页</w:t>
            </w:r>
            <w:r>
              <w:rPr>
                <w:rFonts w:ascii="仿宋_GB2312" w:hAnsi="仿宋_GB2312" w:cs="仿宋_GB2312" w:eastAsia="仿宋_GB2312"/>
                <w:sz w:val="21"/>
                <w:b/>
              </w:rPr>
              <w:t>或实物图片</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●9、具备一个两面板加温器，温度设置范围，35～38℃；</w:t>
            </w:r>
          </w:p>
          <w:p>
            <w:pPr>
              <w:pStyle w:val="null3"/>
              <w:ind w:firstLine="420"/>
              <w:jc w:val="both"/>
            </w:pPr>
            <w:r>
              <w:rPr>
                <w:rFonts w:ascii="仿宋_GB2312" w:hAnsi="仿宋_GB2312" w:cs="仿宋_GB2312" w:eastAsia="仿宋_GB2312"/>
                <w:sz w:val="21"/>
              </w:rPr>
              <w:t>●10、电子秤≥3个，称重范围：0～8KG；</w:t>
            </w:r>
          </w:p>
          <w:p>
            <w:pPr>
              <w:pStyle w:val="null3"/>
              <w:ind w:firstLine="420"/>
              <w:jc w:val="both"/>
            </w:pPr>
            <w:r>
              <w:rPr>
                <w:rFonts w:ascii="仿宋_GB2312" w:hAnsi="仿宋_GB2312" w:cs="仿宋_GB2312" w:eastAsia="仿宋_GB2312"/>
                <w:sz w:val="21"/>
              </w:rPr>
              <w:t>●11、具备气泡监测、补液断流监测、滤液断流监测、漏血监测，液面监测功能；</w:t>
            </w:r>
          </w:p>
          <w:p>
            <w:pPr>
              <w:pStyle w:val="null3"/>
              <w:ind w:firstLine="420"/>
              <w:jc w:val="both"/>
            </w:pPr>
            <w:r>
              <w:rPr>
                <w:rFonts w:ascii="仿宋_GB2312" w:hAnsi="仿宋_GB2312" w:cs="仿宋_GB2312" w:eastAsia="仿宋_GB2312"/>
                <w:sz w:val="21"/>
              </w:rPr>
              <w:t>●12、具有后备电源；</w:t>
            </w:r>
          </w:p>
          <w:p>
            <w:pPr>
              <w:pStyle w:val="null3"/>
              <w:ind w:firstLine="420"/>
              <w:jc w:val="both"/>
            </w:pPr>
            <w:r>
              <w:rPr>
                <w:rFonts w:ascii="仿宋_GB2312" w:hAnsi="仿宋_GB2312" w:cs="仿宋_GB2312" w:eastAsia="仿宋_GB2312"/>
                <w:sz w:val="21"/>
              </w:rPr>
              <w:t>●13、开放式管路设计。</w:t>
            </w:r>
          </w:p>
          <w:p>
            <w:pPr>
              <w:pStyle w:val="null3"/>
              <w:ind w:firstLine="422"/>
              <w:jc w:val="center"/>
            </w:pPr>
            <w:r>
              <w:rPr>
                <w:rFonts w:ascii="仿宋_GB2312" w:hAnsi="仿宋_GB2312" w:cs="仿宋_GB2312" w:eastAsia="仿宋_GB2312"/>
                <w:sz w:val="21"/>
                <w:b/>
              </w:rPr>
              <w:t>2、</w:t>
            </w:r>
            <w:r>
              <w:rPr>
                <w:rFonts w:ascii="仿宋_GB2312" w:hAnsi="仿宋_GB2312" w:cs="仿宋_GB2312" w:eastAsia="仿宋_GB2312"/>
                <w:sz w:val="21"/>
                <w:b/>
              </w:rPr>
              <w:t>超短波电疗机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振荡频率：</w:t>
            </w:r>
            <w:r>
              <w:rPr>
                <w:rFonts w:ascii="仿宋_GB2312" w:hAnsi="仿宋_GB2312" w:cs="仿宋_GB2312" w:eastAsia="仿宋_GB2312"/>
                <w:sz w:val="21"/>
              </w:rPr>
              <w:t>40MHz±1.5%。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最大</w:t>
            </w:r>
            <w:r>
              <w:rPr>
                <w:rFonts w:ascii="仿宋_GB2312" w:hAnsi="仿宋_GB2312" w:cs="仿宋_GB2312" w:eastAsia="仿宋_GB2312"/>
                <w:sz w:val="21"/>
              </w:rPr>
              <w:t>输出功率：</w:t>
            </w:r>
            <w:r>
              <w:rPr>
                <w:rFonts w:ascii="仿宋_GB2312" w:hAnsi="仿宋_GB2312" w:cs="仿宋_GB2312" w:eastAsia="仿宋_GB2312"/>
                <w:sz w:val="21"/>
              </w:rPr>
              <w:t>200W±20%。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输出模式：</w:t>
            </w:r>
            <w:r>
              <w:rPr>
                <w:rFonts w:ascii="仿宋_GB2312" w:hAnsi="仿宋_GB2312" w:cs="仿宋_GB2312" w:eastAsia="仿宋_GB2312"/>
                <w:sz w:val="21"/>
              </w:rPr>
              <w:t>≥3</w:t>
            </w:r>
            <w:r>
              <w:rPr>
                <w:rFonts w:ascii="仿宋_GB2312" w:hAnsi="仿宋_GB2312" w:cs="仿宋_GB2312" w:eastAsia="仿宋_GB2312"/>
                <w:sz w:val="21"/>
              </w:rPr>
              <w:t>种输出模式，根据不同病症治疗的需要进行选择</w:t>
            </w:r>
            <w:r>
              <w:rPr>
                <w:rFonts w:ascii="仿宋_GB2312" w:hAnsi="仿宋_GB2312" w:cs="仿宋_GB2312" w:eastAsia="仿宋_GB2312"/>
                <w:sz w:val="21"/>
              </w:rPr>
              <w:t>；</w:t>
            </w:r>
            <w:r>
              <w:rPr>
                <w:rFonts w:ascii="仿宋_GB2312" w:hAnsi="仿宋_GB2312" w:cs="仿宋_GB2312" w:eastAsia="仿宋_GB2312"/>
                <w:sz w:val="21"/>
              </w:rPr>
              <w:t>至少具有</w:t>
            </w:r>
            <w:r>
              <w:rPr>
                <w:rFonts w:ascii="仿宋_GB2312" w:hAnsi="仿宋_GB2312" w:cs="仿宋_GB2312" w:eastAsia="仿宋_GB2312"/>
                <w:sz w:val="21"/>
              </w:rPr>
              <w:t>连续输出模式</w:t>
            </w:r>
            <w:r>
              <w:rPr>
                <w:rFonts w:ascii="仿宋_GB2312" w:hAnsi="仿宋_GB2312" w:cs="仿宋_GB2312" w:eastAsia="仿宋_GB2312"/>
                <w:sz w:val="21"/>
              </w:rPr>
              <w:t>、</w:t>
            </w:r>
            <w:r>
              <w:rPr>
                <w:rFonts w:ascii="仿宋_GB2312" w:hAnsi="仿宋_GB2312" w:cs="仿宋_GB2312" w:eastAsia="仿宋_GB2312"/>
                <w:sz w:val="21"/>
              </w:rPr>
              <w:t>断续输出模式</w:t>
            </w:r>
            <w:r>
              <w:rPr>
                <w:rFonts w:ascii="仿宋_GB2312" w:hAnsi="仿宋_GB2312" w:cs="仿宋_GB2312" w:eastAsia="仿宋_GB2312"/>
                <w:sz w:val="21"/>
              </w:rPr>
              <w:t>、</w:t>
            </w:r>
            <w:r>
              <w:rPr>
                <w:rFonts w:ascii="仿宋_GB2312" w:hAnsi="仿宋_GB2312" w:cs="仿宋_GB2312" w:eastAsia="仿宋_GB2312"/>
                <w:sz w:val="21"/>
              </w:rPr>
              <w:t>脉冲输出模式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断续频率：</w:t>
            </w:r>
            <w:r>
              <w:rPr>
                <w:rFonts w:ascii="仿宋_GB2312" w:hAnsi="仿宋_GB2312" w:cs="仿宋_GB2312" w:eastAsia="仿宋_GB2312"/>
                <w:sz w:val="21"/>
              </w:rPr>
              <w:t>10～200Hz，步进10 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脉冲脉宽：</w:t>
            </w:r>
            <w:r>
              <w:rPr>
                <w:rFonts w:ascii="仿宋_GB2312" w:hAnsi="仿宋_GB2312" w:cs="仿宋_GB2312" w:eastAsia="仿宋_GB2312"/>
                <w:sz w:val="21"/>
              </w:rPr>
              <w:t>200～1000μs，步进50 μs。</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6、定时范围：0~30min，误差不大于</w:t>
            </w:r>
            <w:r>
              <w:rPr>
                <w:rFonts w:ascii="仿宋_GB2312" w:hAnsi="仿宋_GB2312" w:cs="仿宋_GB2312" w:eastAsia="仿宋_GB2312"/>
                <w:sz w:val="21"/>
              </w:rPr>
              <w:t>±</w:t>
            </w:r>
            <w:r>
              <w:rPr>
                <w:rFonts w:ascii="仿宋_GB2312" w:hAnsi="仿宋_GB2312" w:cs="仿宋_GB2312" w:eastAsia="仿宋_GB2312"/>
                <w:sz w:val="21"/>
              </w:rPr>
              <w:t>1min</w:t>
            </w:r>
            <w:r>
              <w:rPr>
                <w:rFonts w:ascii="仿宋_GB2312" w:hAnsi="仿宋_GB2312" w:cs="仿宋_GB2312" w:eastAsia="仿宋_GB2312"/>
                <w:sz w:val="21"/>
              </w:rPr>
              <w:t>，</w:t>
            </w:r>
            <w:r>
              <w:rPr>
                <w:rFonts w:ascii="仿宋_GB2312" w:hAnsi="仿宋_GB2312" w:cs="仿宋_GB2312" w:eastAsia="仿宋_GB2312"/>
                <w:sz w:val="21"/>
              </w:rPr>
              <w:t>结束治疗自动停机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输入功率：</w:t>
            </w:r>
            <w:r>
              <w:rPr>
                <w:rFonts w:ascii="仿宋_GB2312" w:hAnsi="仿宋_GB2312" w:cs="仿宋_GB2312" w:eastAsia="仿宋_GB2312"/>
                <w:sz w:val="21"/>
              </w:rPr>
              <w:t>≤1000VA。</w:t>
            </w:r>
          </w:p>
          <w:p>
            <w:pPr>
              <w:pStyle w:val="null3"/>
              <w:ind w:firstLine="422"/>
              <w:jc w:val="center"/>
            </w:pPr>
            <w:r>
              <w:rPr>
                <w:rFonts w:ascii="仿宋_GB2312" w:hAnsi="仿宋_GB2312" w:cs="仿宋_GB2312" w:eastAsia="仿宋_GB2312"/>
                <w:sz w:val="21"/>
                <w:b/>
              </w:rPr>
              <w:t>3、</w:t>
            </w:r>
            <w:r>
              <w:rPr>
                <w:rFonts w:ascii="仿宋_GB2312" w:hAnsi="仿宋_GB2312" w:cs="仿宋_GB2312" w:eastAsia="仿宋_GB2312"/>
                <w:sz w:val="21"/>
                <w:b/>
              </w:rPr>
              <w:t>超声扫描治疗仪</w:t>
            </w:r>
          </w:p>
          <w:p>
            <w:pPr>
              <w:pStyle w:val="null3"/>
              <w:ind w:firstLine="420"/>
              <w:jc w:val="both"/>
            </w:pPr>
            <w:r>
              <w:rPr>
                <w:rFonts w:ascii="仿宋_GB2312" w:hAnsi="仿宋_GB2312" w:cs="仿宋_GB2312" w:eastAsia="仿宋_GB2312"/>
                <w:sz w:val="21"/>
              </w:rPr>
              <w:t>●1、超声波治疗头为单一的集束超声头，将超声波能量汇聚在一个超声头上。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2、超声脑血管治疗仪的超声频率为≥800KHz±8KHz。</w:t>
            </w:r>
            <w:r>
              <w:rPr>
                <w:rFonts w:ascii="仿宋_GB2312" w:hAnsi="仿宋_GB2312" w:cs="仿宋_GB2312" w:eastAsia="仿宋_GB2312"/>
                <w:sz w:val="21"/>
                <w:b/>
              </w:rPr>
              <w:t>（提供技术参数白皮书或彩页</w:t>
            </w:r>
            <w:r>
              <w:rPr>
                <w:rFonts w:ascii="仿宋_GB2312" w:hAnsi="仿宋_GB2312" w:cs="仿宋_GB2312" w:eastAsia="仿宋_GB2312"/>
                <w:sz w:val="21"/>
                <w:b/>
              </w:rPr>
              <w:t>或产品说明书</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●3、治疗头的辐射面积为1.0-1.5cm</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±2%）。</w:t>
            </w:r>
          </w:p>
          <w:p>
            <w:pPr>
              <w:pStyle w:val="null3"/>
              <w:ind w:firstLine="420"/>
              <w:jc w:val="both"/>
            </w:pPr>
            <w:r>
              <w:rPr>
                <w:rFonts w:ascii="仿宋_GB2312" w:hAnsi="仿宋_GB2312" w:cs="仿宋_GB2312" w:eastAsia="仿宋_GB2312"/>
                <w:sz w:val="21"/>
              </w:rPr>
              <w:t>●4、治疗仪输出声强为≥0.5W±0.075W/cm</w:t>
            </w:r>
            <w:r>
              <w:rPr>
                <w:rFonts w:ascii="仿宋_GB2312" w:hAnsi="仿宋_GB2312" w:cs="仿宋_GB2312" w:eastAsia="仿宋_GB2312"/>
                <w:sz w:val="21"/>
              </w:rPr>
              <w:t>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●5、电刺激频率为：≥4Hz±0.6Hz，脉冲宽度为≥2ms±0.6Hz，输出幅度为 0-44V，可调。</w:t>
            </w:r>
          </w:p>
          <w:p>
            <w:pPr>
              <w:pStyle w:val="null3"/>
              <w:ind w:firstLine="420"/>
              <w:jc w:val="both"/>
            </w:pPr>
            <w:r>
              <w:rPr>
                <w:rFonts w:ascii="仿宋_GB2312" w:hAnsi="仿宋_GB2312" w:cs="仿宋_GB2312" w:eastAsia="仿宋_GB2312"/>
                <w:sz w:val="21"/>
              </w:rPr>
              <w:t>●6、肌电刺激要求具备 3 种/路的不同治疗模式，用于患者神经功能康复重建。</w:t>
            </w:r>
          </w:p>
          <w:p>
            <w:pPr>
              <w:pStyle w:val="null3"/>
              <w:ind w:firstLine="420"/>
              <w:jc w:val="both"/>
            </w:pPr>
            <w:r>
              <w:rPr>
                <w:rFonts w:ascii="仿宋_GB2312" w:hAnsi="仿宋_GB2312" w:cs="仿宋_GB2312" w:eastAsia="仿宋_GB2312"/>
                <w:sz w:val="21"/>
              </w:rPr>
              <w:t>●7、定时范围，按国家安全规定，工作时间应在 0-30min 范围内连续可调，准确度误差±10%。</w:t>
            </w:r>
          </w:p>
          <w:p>
            <w:pPr>
              <w:pStyle w:val="null3"/>
              <w:ind w:firstLine="420"/>
              <w:jc w:val="both"/>
            </w:pPr>
            <w:r>
              <w:rPr>
                <w:rFonts w:ascii="仿宋_GB2312" w:hAnsi="仿宋_GB2312" w:cs="仿宋_GB2312" w:eastAsia="仿宋_GB2312"/>
                <w:sz w:val="21"/>
              </w:rPr>
              <w:t>●8、具有计数功能</w:t>
            </w:r>
          </w:p>
          <w:p>
            <w:pPr>
              <w:pStyle w:val="null3"/>
              <w:ind w:firstLine="420"/>
              <w:jc w:val="both"/>
            </w:pPr>
            <w:r>
              <w:rPr>
                <w:rFonts w:ascii="仿宋_GB2312" w:hAnsi="仿宋_GB2312" w:cs="仿宋_GB2312" w:eastAsia="仿宋_GB2312"/>
                <w:sz w:val="21"/>
              </w:rPr>
              <w:t>●9、液晶</w:t>
            </w:r>
            <w:r>
              <w:rPr>
                <w:rFonts w:ascii="仿宋_GB2312" w:hAnsi="仿宋_GB2312" w:cs="仿宋_GB2312" w:eastAsia="仿宋_GB2312"/>
                <w:sz w:val="21"/>
              </w:rPr>
              <w:t>触摸终端</w:t>
            </w:r>
            <w:r>
              <w:rPr>
                <w:rFonts w:ascii="仿宋_GB2312" w:hAnsi="仿宋_GB2312" w:cs="仿宋_GB2312" w:eastAsia="仿宋_GB2312"/>
                <w:sz w:val="21"/>
              </w:rPr>
              <w:t>≥7寸</w:t>
            </w:r>
          </w:p>
          <w:p>
            <w:pPr>
              <w:pStyle w:val="null3"/>
              <w:ind w:firstLine="420"/>
              <w:jc w:val="both"/>
            </w:pPr>
            <w:r>
              <w:rPr>
                <w:rFonts w:ascii="仿宋_GB2312" w:hAnsi="仿宋_GB2312" w:cs="仿宋_GB2312" w:eastAsia="仿宋_GB2312"/>
                <w:sz w:val="21"/>
              </w:rPr>
              <w:t>●10、超声输出线为专用抗干扰屏蔽输出线</w:t>
            </w:r>
          </w:p>
          <w:p>
            <w:pPr>
              <w:pStyle w:val="null3"/>
              <w:ind w:firstLine="420"/>
              <w:jc w:val="both"/>
            </w:pPr>
            <w:r>
              <w:rPr>
                <w:rFonts w:ascii="仿宋_GB2312" w:hAnsi="仿宋_GB2312" w:cs="仿宋_GB2312" w:eastAsia="仿宋_GB2312"/>
                <w:sz w:val="21"/>
              </w:rPr>
              <w:t>●11、治疗到时自动声音报警提示</w:t>
            </w:r>
          </w:p>
          <w:p>
            <w:pPr>
              <w:pStyle w:val="null3"/>
              <w:ind w:firstLine="422"/>
              <w:jc w:val="center"/>
            </w:pPr>
            <w:r>
              <w:rPr>
                <w:rFonts w:ascii="仿宋_GB2312" w:hAnsi="仿宋_GB2312" w:cs="仿宋_GB2312" w:eastAsia="仿宋_GB2312"/>
                <w:sz w:val="21"/>
                <w:b/>
              </w:rPr>
              <w:t>4、</w:t>
            </w:r>
            <w:r>
              <w:rPr>
                <w:rFonts w:ascii="仿宋_GB2312" w:hAnsi="仿宋_GB2312" w:cs="仿宋_GB2312" w:eastAsia="仿宋_GB2312"/>
                <w:sz w:val="21"/>
                <w:b/>
              </w:rPr>
              <w:t>凝胶手术体位垫</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1、材质：</w:t>
            </w:r>
            <w:r>
              <w:rPr>
                <w:rFonts w:ascii="仿宋_GB2312" w:hAnsi="仿宋_GB2312" w:cs="仿宋_GB2312" w:eastAsia="仿宋_GB2312"/>
                <w:sz w:val="21"/>
              </w:rPr>
              <w:t>由高分子凝胶</w:t>
            </w:r>
            <w:r>
              <w:rPr>
                <w:rFonts w:ascii="仿宋_GB2312" w:hAnsi="仿宋_GB2312" w:cs="仿宋_GB2312" w:eastAsia="仿宋_GB2312"/>
                <w:sz w:val="21"/>
              </w:rPr>
              <w:t>(聚亚安酯凝胶)外面包裹高强度塑胶薄膜制成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透</w:t>
            </w:r>
            <w:r>
              <w:rPr>
                <w:rFonts w:ascii="仿宋_GB2312" w:hAnsi="仿宋_GB2312" w:cs="仿宋_GB2312" w:eastAsia="仿宋_GB2312"/>
                <w:sz w:val="21"/>
              </w:rPr>
              <w:t>X射线：X射线可以穿透防护用垫，透射线率≥85%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耐候温度从</w:t>
            </w:r>
            <w:r>
              <w:rPr>
                <w:rFonts w:ascii="仿宋_GB2312" w:hAnsi="仿宋_GB2312" w:cs="仿宋_GB2312" w:eastAsia="仿宋_GB2312"/>
                <w:sz w:val="21"/>
              </w:rPr>
              <w:t>≥-30℃至≥120℃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4、配置：开放式头圈1个；</w:t>
            </w:r>
            <w:r>
              <w:rPr>
                <w:rFonts w:ascii="仿宋_GB2312" w:hAnsi="仿宋_GB2312" w:cs="仿宋_GB2312" w:eastAsia="仿宋_GB2312"/>
                <w:sz w:val="21"/>
              </w:rPr>
              <w:t>甲状腺垫</w:t>
            </w:r>
            <w:r>
              <w:rPr>
                <w:rFonts w:ascii="仿宋_GB2312" w:hAnsi="仿宋_GB2312" w:cs="仿宋_GB2312" w:eastAsia="仿宋_GB2312"/>
                <w:sz w:val="21"/>
              </w:rPr>
              <w:t>1个；</w:t>
            </w:r>
            <w:r>
              <w:rPr>
                <w:rFonts w:ascii="仿宋_GB2312" w:hAnsi="仿宋_GB2312" w:cs="仿宋_GB2312" w:eastAsia="仿宋_GB2312"/>
                <w:sz w:val="21"/>
              </w:rPr>
              <w:t>斜型垫</w:t>
            </w:r>
            <w:r>
              <w:rPr>
                <w:rFonts w:ascii="仿宋_GB2312" w:hAnsi="仿宋_GB2312" w:cs="仿宋_GB2312" w:eastAsia="仿宋_GB2312"/>
                <w:sz w:val="21"/>
              </w:rPr>
              <w:t>1个；</w:t>
            </w:r>
            <w:r>
              <w:rPr>
                <w:rFonts w:ascii="仿宋_GB2312" w:hAnsi="仿宋_GB2312" w:cs="仿宋_GB2312" w:eastAsia="仿宋_GB2312"/>
                <w:sz w:val="21"/>
              </w:rPr>
              <w:t>凹型四肢垫</w:t>
            </w:r>
            <w:r>
              <w:rPr>
                <w:rFonts w:ascii="仿宋_GB2312" w:hAnsi="仿宋_GB2312" w:cs="仿宋_GB2312" w:eastAsia="仿宋_GB2312"/>
                <w:sz w:val="21"/>
              </w:rPr>
              <w:t>1个；</w:t>
            </w:r>
            <w:r>
              <w:rPr>
                <w:rFonts w:ascii="仿宋_GB2312" w:hAnsi="仿宋_GB2312" w:cs="仿宋_GB2312" w:eastAsia="仿宋_GB2312"/>
                <w:sz w:val="21"/>
              </w:rPr>
              <w:t>俯卧面部保护垫</w:t>
            </w:r>
            <w:r>
              <w:rPr>
                <w:rFonts w:ascii="仿宋_GB2312" w:hAnsi="仿宋_GB2312" w:cs="仿宋_GB2312" w:eastAsia="仿宋_GB2312"/>
                <w:sz w:val="21"/>
              </w:rPr>
              <w:t>1个；</w:t>
            </w:r>
            <w:r>
              <w:rPr>
                <w:rFonts w:ascii="仿宋_GB2312" w:hAnsi="仿宋_GB2312" w:cs="仿宋_GB2312" w:eastAsia="仿宋_GB2312"/>
                <w:sz w:val="21"/>
              </w:rPr>
              <w:t>臀垫</w:t>
            </w:r>
            <w:r>
              <w:rPr>
                <w:rFonts w:ascii="仿宋_GB2312" w:hAnsi="仿宋_GB2312" w:cs="仿宋_GB2312" w:eastAsia="仿宋_GB2312"/>
                <w:sz w:val="21"/>
              </w:rPr>
              <w:t>1个。</w:t>
            </w:r>
          </w:p>
          <w:p>
            <w:pPr>
              <w:pStyle w:val="null3"/>
              <w:ind w:firstLine="422"/>
              <w:jc w:val="center"/>
            </w:pPr>
            <w:r>
              <w:rPr>
                <w:rFonts w:ascii="仿宋_GB2312" w:hAnsi="仿宋_GB2312" w:cs="仿宋_GB2312" w:eastAsia="仿宋_GB2312"/>
                <w:sz w:val="21"/>
                <w:b/>
              </w:rPr>
              <w:t>5、</w:t>
            </w:r>
            <w:r>
              <w:rPr>
                <w:rFonts w:ascii="仿宋_GB2312" w:hAnsi="仿宋_GB2312" w:cs="仿宋_GB2312" w:eastAsia="仿宋_GB2312"/>
                <w:sz w:val="21"/>
                <w:b/>
              </w:rPr>
              <w:t>婴儿辐射保暖台</w:t>
            </w:r>
          </w:p>
          <w:p>
            <w:pPr>
              <w:pStyle w:val="null3"/>
              <w:ind w:firstLine="420"/>
              <w:jc w:val="both"/>
            </w:pPr>
            <w:r>
              <w:rPr>
                <w:rFonts w:ascii="仿宋_GB2312" w:hAnsi="仿宋_GB2312" w:cs="仿宋_GB2312" w:eastAsia="仿宋_GB2312"/>
                <w:sz w:val="21"/>
              </w:rPr>
              <w:t>●1、适用范围：适用于对新生儿进行敞开式护理、抢救和体温调节</w:t>
            </w:r>
          </w:p>
          <w:p>
            <w:pPr>
              <w:pStyle w:val="null3"/>
              <w:ind w:firstLine="420"/>
              <w:jc w:val="both"/>
            </w:pPr>
            <w:r>
              <w:rPr>
                <w:rFonts w:ascii="仿宋_GB2312" w:hAnsi="仿宋_GB2312" w:cs="仿宋_GB2312" w:eastAsia="仿宋_GB2312"/>
                <w:sz w:val="21"/>
              </w:rPr>
              <w:t>●2、人机界面：LED数码显示，按键操作</w:t>
            </w:r>
          </w:p>
          <w:p>
            <w:pPr>
              <w:pStyle w:val="null3"/>
              <w:ind w:firstLine="420"/>
              <w:jc w:val="both"/>
            </w:pPr>
            <w:r>
              <w:rPr>
                <w:rFonts w:ascii="仿宋_GB2312" w:hAnsi="仿宋_GB2312" w:cs="仿宋_GB2312" w:eastAsia="仿宋_GB2312"/>
                <w:sz w:val="21"/>
              </w:rPr>
              <w:t>●3、控温模式：至少具有预热、手控、肤温三种温度控制模式</w:t>
            </w:r>
          </w:p>
          <w:p>
            <w:pPr>
              <w:pStyle w:val="null3"/>
              <w:ind w:firstLine="420"/>
              <w:jc w:val="both"/>
            </w:pPr>
            <w:r>
              <w:rPr>
                <w:rFonts w:ascii="仿宋_GB2312" w:hAnsi="仿宋_GB2312" w:cs="仿宋_GB2312" w:eastAsia="仿宋_GB2312"/>
                <w:sz w:val="21"/>
              </w:rPr>
              <w:t>●4、辐射头：具备陶瓷加热装置，防暴防脱落功能</w:t>
            </w:r>
          </w:p>
          <w:p>
            <w:pPr>
              <w:pStyle w:val="null3"/>
              <w:ind w:firstLine="420"/>
              <w:jc w:val="both"/>
            </w:pPr>
            <w:r>
              <w:rPr>
                <w:rFonts w:ascii="仿宋_GB2312" w:hAnsi="仿宋_GB2312" w:cs="仿宋_GB2312" w:eastAsia="仿宋_GB2312"/>
                <w:sz w:val="21"/>
              </w:rPr>
              <w:t>●5、温度分辨率：≤0.1℃</w:t>
            </w:r>
          </w:p>
          <w:p>
            <w:pPr>
              <w:pStyle w:val="null3"/>
              <w:ind w:firstLine="420"/>
              <w:jc w:val="both"/>
            </w:pPr>
            <w:r>
              <w:rPr>
                <w:rFonts w:ascii="仿宋_GB2312" w:hAnsi="仿宋_GB2312" w:cs="仿宋_GB2312" w:eastAsia="仿宋_GB2312"/>
                <w:sz w:val="21"/>
              </w:rPr>
              <w:t>●6、肤温控制范围：32.0～37.5℃</w:t>
            </w:r>
          </w:p>
          <w:p>
            <w:pPr>
              <w:pStyle w:val="null3"/>
              <w:ind w:firstLine="420"/>
              <w:jc w:val="both"/>
            </w:pPr>
            <w:r>
              <w:rPr>
                <w:rFonts w:ascii="仿宋_GB2312" w:hAnsi="仿宋_GB2312" w:cs="仿宋_GB2312" w:eastAsia="仿宋_GB2312"/>
                <w:sz w:val="21"/>
              </w:rPr>
              <w:t>●7、肤温超温报警：38.5 ±0.1℃</w:t>
            </w:r>
          </w:p>
          <w:p>
            <w:pPr>
              <w:pStyle w:val="null3"/>
              <w:ind w:firstLine="420"/>
              <w:jc w:val="both"/>
            </w:pPr>
            <w:r>
              <w:rPr>
                <w:rFonts w:ascii="仿宋_GB2312" w:hAnsi="仿宋_GB2312" w:cs="仿宋_GB2312" w:eastAsia="仿宋_GB2312"/>
                <w:sz w:val="21"/>
              </w:rPr>
              <w:t>●8、温度显示范围：20℃～45℃</w:t>
            </w:r>
          </w:p>
          <w:p>
            <w:pPr>
              <w:pStyle w:val="null3"/>
              <w:ind w:firstLine="420"/>
              <w:jc w:val="both"/>
            </w:pPr>
            <w:r>
              <w:rPr>
                <w:rFonts w:ascii="仿宋_GB2312" w:hAnsi="仿宋_GB2312" w:cs="仿宋_GB2312" w:eastAsia="仿宋_GB2312"/>
                <w:sz w:val="21"/>
              </w:rPr>
              <w:t>●9、皮肤温度传感器精度：±0.3℃</w:t>
            </w:r>
          </w:p>
          <w:p>
            <w:pPr>
              <w:pStyle w:val="null3"/>
              <w:ind w:firstLine="420"/>
              <w:jc w:val="both"/>
            </w:pPr>
            <w:r>
              <w:rPr>
                <w:rFonts w:ascii="仿宋_GB2312" w:hAnsi="仿宋_GB2312" w:cs="仿宋_GB2312" w:eastAsia="仿宋_GB2312"/>
                <w:sz w:val="21"/>
              </w:rPr>
              <w:t>●10、控温精度：≤0.5℃</w:t>
            </w:r>
          </w:p>
          <w:p>
            <w:pPr>
              <w:pStyle w:val="null3"/>
              <w:ind w:firstLine="420"/>
              <w:jc w:val="both"/>
            </w:pPr>
            <w:r>
              <w:rPr>
                <w:rFonts w:ascii="仿宋_GB2312" w:hAnsi="仿宋_GB2312" w:cs="仿宋_GB2312" w:eastAsia="仿宋_GB2312"/>
                <w:sz w:val="21"/>
              </w:rPr>
              <w:t>●11、床面温度均匀性：≤2℃</w:t>
            </w:r>
          </w:p>
          <w:p>
            <w:pPr>
              <w:pStyle w:val="null3"/>
              <w:ind w:firstLine="420"/>
              <w:jc w:val="both"/>
            </w:pPr>
            <w:r>
              <w:rPr>
                <w:rFonts w:ascii="仿宋_GB2312" w:hAnsi="仿宋_GB2312" w:cs="仿宋_GB2312" w:eastAsia="仿宋_GB2312"/>
                <w:sz w:val="21"/>
              </w:rPr>
              <w:t>●12、温度偏差报警：±1℃</w:t>
            </w:r>
          </w:p>
          <w:p>
            <w:pPr>
              <w:pStyle w:val="null3"/>
              <w:ind w:firstLine="420"/>
              <w:jc w:val="both"/>
            </w:pPr>
            <w:r>
              <w:rPr>
                <w:rFonts w:ascii="仿宋_GB2312" w:hAnsi="仿宋_GB2312" w:cs="仿宋_GB2312" w:eastAsia="仿宋_GB2312"/>
                <w:sz w:val="21"/>
              </w:rPr>
              <w:t>●13、计时（s）：在1min、5min和10min计时误差应不大于±4s。</w:t>
            </w:r>
          </w:p>
          <w:p>
            <w:pPr>
              <w:pStyle w:val="null3"/>
              <w:ind w:firstLine="420"/>
              <w:jc w:val="both"/>
            </w:pPr>
            <w:r>
              <w:rPr>
                <w:rFonts w:ascii="仿宋_GB2312" w:hAnsi="仿宋_GB2312" w:cs="仿宋_GB2312" w:eastAsia="仿宋_GB2312"/>
                <w:sz w:val="21"/>
              </w:rPr>
              <w:t>●14、声光提示：在50s至1min、4min50s至5min、9min50s至10min与显示同步声提示；计时器应可在其任一累计时间内手动复位</w:t>
            </w:r>
          </w:p>
          <w:p>
            <w:pPr>
              <w:pStyle w:val="null3"/>
              <w:ind w:firstLine="420"/>
              <w:jc w:val="both"/>
            </w:pPr>
            <w:r>
              <w:rPr>
                <w:rFonts w:ascii="仿宋_GB2312" w:hAnsi="仿宋_GB2312" w:cs="仿宋_GB2312" w:eastAsia="仿宋_GB2312"/>
                <w:sz w:val="21"/>
              </w:rPr>
              <w:t>●15、辐射头水平调节角度：0°～90°（可调与锁定）</w:t>
            </w:r>
          </w:p>
          <w:p>
            <w:pPr>
              <w:pStyle w:val="null3"/>
              <w:ind w:firstLine="420"/>
              <w:jc w:val="both"/>
            </w:pPr>
            <w:r>
              <w:rPr>
                <w:rFonts w:ascii="仿宋_GB2312" w:hAnsi="仿宋_GB2312" w:cs="仿宋_GB2312" w:eastAsia="仿宋_GB2312"/>
                <w:sz w:val="21"/>
              </w:rPr>
              <w:t>●16、床面倾斜调节角度：±12°（无级可调）</w:t>
            </w:r>
          </w:p>
          <w:p>
            <w:pPr>
              <w:pStyle w:val="null3"/>
              <w:ind w:firstLine="420"/>
              <w:jc w:val="both"/>
            </w:pPr>
            <w:r>
              <w:rPr>
                <w:rFonts w:ascii="仿宋_GB2312" w:hAnsi="仿宋_GB2312" w:cs="仿宋_GB2312" w:eastAsia="仿宋_GB2312"/>
                <w:sz w:val="21"/>
              </w:rPr>
              <w:t>●17、床面中心照度：≥700lx</w:t>
            </w:r>
          </w:p>
          <w:p>
            <w:pPr>
              <w:pStyle w:val="null3"/>
              <w:ind w:firstLine="420"/>
              <w:jc w:val="both"/>
            </w:pPr>
            <w:r>
              <w:rPr>
                <w:rFonts w:ascii="仿宋_GB2312" w:hAnsi="仿宋_GB2312" w:cs="仿宋_GB2312" w:eastAsia="仿宋_GB2312"/>
                <w:sz w:val="21"/>
              </w:rPr>
              <w:t>●18、托盘承载力：≤2Kg，输液架承载力：≤2Kg</w:t>
            </w:r>
          </w:p>
          <w:p>
            <w:pPr>
              <w:pStyle w:val="null3"/>
              <w:ind w:firstLine="420"/>
              <w:jc w:val="both"/>
            </w:pPr>
            <w:r>
              <w:rPr>
                <w:rFonts w:ascii="仿宋_GB2312" w:hAnsi="仿宋_GB2312" w:cs="仿宋_GB2312" w:eastAsia="仿宋_GB2312"/>
                <w:sz w:val="21"/>
              </w:rPr>
              <w:t>●19、输液架最大高度：200±20cm</w:t>
            </w:r>
          </w:p>
          <w:p>
            <w:pPr>
              <w:pStyle w:val="null3"/>
              <w:ind w:firstLine="420"/>
              <w:jc w:val="both"/>
            </w:pPr>
            <w:r>
              <w:rPr>
                <w:rFonts w:ascii="仿宋_GB2312" w:hAnsi="仿宋_GB2312" w:cs="仿宋_GB2312" w:eastAsia="仿宋_GB2312"/>
                <w:sz w:val="21"/>
              </w:rPr>
              <w:t>●20、吸引器极限负压值：18 KPa</w:t>
            </w:r>
          </w:p>
          <w:p>
            <w:pPr>
              <w:pStyle w:val="null3"/>
              <w:ind w:firstLine="420"/>
              <w:jc w:val="both"/>
            </w:pPr>
            <w:r>
              <w:rPr>
                <w:rFonts w:ascii="仿宋_GB2312" w:hAnsi="仿宋_GB2312" w:cs="仿宋_GB2312" w:eastAsia="仿宋_GB2312"/>
                <w:sz w:val="21"/>
              </w:rPr>
              <w:t>●21、瞬时抽气速率：1±0.5 L/min</w:t>
            </w:r>
          </w:p>
          <w:p>
            <w:pPr>
              <w:pStyle w:val="null3"/>
              <w:ind w:firstLine="420"/>
              <w:jc w:val="both"/>
            </w:pPr>
            <w:r>
              <w:rPr>
                <w:rFonts w:ascii="仿宋_GB2312" w:hAnsi="仿宋_GB2312" w:cs="仿宋_GB2312" w:eastAsia="仿宋_GB2312"/>
                <w:sz w:val="21"/>
              </w:rPr>
              <w:t>●22、负压调节范围：1～极限负压值范围内任意调节</w:t>
            </w:r>
          </w:p>
          <w:p>
            <w:pPr>
              <w:pStyle w:val="null3"/>
              <w:ind w:firstLine="420"/>
              <w:jc w:val="both"/>
            </w:pPr>
            <w:r>
              <w:rPr>
                <w:rFonts w:ascii="仿宋_GB2312" w:hAnsi="仿宋_GB2312" w:cs="仿宋_GB2312" w:eastAsia="仿宋_GB2312"/>
                <w:sz w:val="21"/>
              </w:rPr>
              <w:t>●23、消耗功率：≤850VA</w:t>
            </w:r>
          </w:p>
          <w:p>
            <w:pPr>
              <w:pStyle w:val="null3"/>
              <w:ind w:firstLine="420"/>
              <w:jc w:val="both"/>
            </w:pPr>
            <w:r>
              <w:rPr>
                <w:rFonts w:ascii="仿宋_GB2312" w:hAnsi="仿宋_GB2312" w:cs="仿宋_GB2312" w:eastAsia="仿宋_GB2312"/>
                <w:sz w:val="21"/>
              </w:rPr>
              <w:t>●24、升温时间：≤1h</w:t>
            </w:r>
          </w:p>
          <w:p>
            <w:pPr>
              <w:pStyle w:val="null3"/>
              <w:ind w:firstLine="420"/>
              <w:jc w:val="both"/>
            </w:pPr>
            <w:r>
              <w:rPr>
                <w:rFonts w:ascii="仿宋_GB2312" w:hAnsi="仿宋_GB2312" w:cs="仿宋_GB2312" w:eastAsia="仿宋_GB2312"/>
                <w:sz w:val="21"/>
              </w:rPr>
              <w:t>●25、限温保护功能：至少具有主机超温保护控制、独立超温保护控制、机械式超温保护控制三重超温保护控制</w:t>
            </w:r>
          </w:p>
          <w:p>
            <w:pPr>
              <w:pStyle w:val="null3"/>
              <w:ind w:firstLine="420"/>
              <w:jc w:val="both"/>
            </w:pPr>
            <w:r>
              <w:rPr>
                <w:rFonts w:ascii="仿宋_GB2312" w:hAnsi="仿宋_GB2312" w:cs="仿宋_GB2312" w:eastAsia="仿宋_GB2312"/>
                <w:sz w:val="21"/>
              </w:rPr>
              <w:t>●26、脚踏开关防水等级：≥IPX3</w:t>
            </w:r>
            <w:r>
              <w:rPr>
                <w:rFonts w:ascii="仿宋_GB2312" w:hAnsi="仿宋_GB2312" w:cs="仿宋_GB2312" w:eastAsia="仿宋_GB2312"/>
                <w:sz w:val="21"/>
              </w:rPr>
              <w:t>。</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政府采购合同签订生效后90个日历天内，完成交货、安装调试、培训及试运行。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宜宾市第一人民医院。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1、合同价款，合同签订后，货物安装调试完毕并验收合格，中标人向采购人出具合法有效完整的完税发票及凭证资料，达到付款条件起14日内，支付合同总金额的100.00%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时双方皆应派员参加，验收合格后需双方签署验收单，严格按照政府采购相关法律法规及部门规章执行，以采购文件的要求及结合中标人的投标文件响应内容为准。如出现未在投标文件中明确规定的，以行业相关标准为准。并按照相关要求进行整改，并完全满足采购人采购提出的工作需要。</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详见采购标的。</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中标人应严格遵守承诺，如有违约，将赔偿因违约给采购人造成的经济损失。如因中标人工作人员在履行职责过程中的的疏忽、失职、过错等故意或者过失原因给采购人造成损失或侵害，包括但不限于采购人本身的财产损失、由此而导致的采购人对任何第三方的法律责任等，中标人对此均应承担全部的赔偿责任。 （2）合同履行期间,若双方发生争议，双方本着友好合作的态度，对合同履行过程中发生的违约行为进行及时的协商解决或由有关部门调解解决，如不能协商解决可向采购人所在地人民法院通过法律诉讼解决。</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为保障项目质量，投标人应编制服务方案，方案内容至少包括①应急预案；②包装运输；③安装调试；④人员配置。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特定资格要求</w:t>
            </w:r>
          </w:p>
        </w:tc>
        <w:tc>
          <w:tcPr>
            <w:tcW w:type="dxa" w:w="3322"/>
          </w:tcPr>
          <w:p>
            <w:pPr>
              <w:pStyle w:val="null3"/>
              <w:jc w:val="left"/>
            </w:pPr>
            <w:r>
              <w:rPr>
                <w:rFonts w:ascii="仿宋_GB2312" w:hAnsi="仿宋_GB2312" w:cs="仿宋_GB2312" w:eastAsia="仿宋_GB2312"/>
              </w:rPr>
              <w:t>投标产品须符合《医疗器械注册管理办法》要求并提供齐全有效的中华人民共和国医疗器械注册证或备案凭证；供应商须符合《医疗器械监督管理条例》要求并提供相关医疗器械生产(或经营)许可证或第二类医疗器械经营备案凭证(已提供包含二类备案的多证合一营业执照的供应商除外)。</w:t>
            </w:r>
          </w:p>
        </w:tc>
        <w:tc>
          <w:tcPr>
            <w:tcW w:type="dxa" w:w="1661"/>
          </w:tcPr>
          <w:p>
            <w:pPr>
              <w:pStyle w:val="null3"/>
              <w:jc w:val="left"/>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报价明细表,报价表,投标（响应）函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对技术要求中实质性要求的响应</w:t>
            </w:r>
          </w:p>
        </w:tc>
        <w:tc>
          <w:tcPr>
            <w:tcW w:type="dxa" w:w="1661"/>
          </w:tcPr>
          <w:p>
            <w:pPr>
              <w:pStyle w:val="null3"/>
              <w:jc w:val="left"/>
            </w:pPr>
            <w:r>
              <w:rPr>
                <w:rFonts w:ascii="仿宋_GB2312" w:hAnsi="仿宋_GB2312" w:cs="仿宋_GB2312" w:eastAsia="仿宋_GB2312"/>
              </w:rPr>
              <w:t>投标（响应）产品技术参数表.docx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对服务要求中实质性要求的响应</w:t>
            </w:r>
          </w:p>
        </w:tc>
        <w:tc>
          <w:tcPr>
            <w:tcW w:type="dxa" w:w="1661"/>
          </w:tcPr>
          <w:p>
            <w:pPr>
              <w:pStyle w:val="null3"/>
              <w:jc w:val="left"/>
            </w:pPr>
            <w:r>
              <w:rPr>
                <w:rFonts w:ascii="仿宋_GB2312" w:hAnsi="仿宋_GB2312" w:cs="仿宋_GB2312" w:eastAsia="仿宋_GB2312"/>
              </w:rPr>
              <w:t>服务要求应答表.docx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其他要求以及其他需要供应商进行响应的实质性要求</w:t>
            </w:r>
          </w:p>
        </w:tc>
        <w:tc>
          <w:tcPr>
            <w:tcW w:type="dxa" w:w="3322"/>
          </w:tcPr>
          <w:p>
            <w:pPr>
              <w:pStyle w:val="null3"/>
              <w:jc w:val="left"/>
            </w:pPr>
            <w:r>
              <w:rPr>
                <w:rFonts w:ascii="仿宋_GB2312" w:hAnsi="仿宋_GB2312" w:cs="仿宋_GB2312" w:eastAsia="仿宋_GB2312"/>
              </w:rPr>
              <w:t>对其他要求以及其他需要供应商进行响应的实质性要求的响应</w:t>
            </w:r>
          </w:p>
        </w:tc>
        <w:tc>
          <w:tcPr>
            <w:tcW w:type="dxa" w:w="1661"/>
          </w:tcPr>
          <w:p>
            <w:pPr>
              <w:pStyle w:val="null3"/>
              <w:jc w:val="left"/>
            </w:pPr>
            <w:r>
              <w:rPr>
                <w:rFonts w:ascii="仿宋_GB2312" w:hAnsi="仿宋_GB2312" w:cs="仿宋_GB2312" w:eastAsia="仿宋_GB2312"/>
              </w:rPr>
              <w:t>供应商认为需要提交的其他相关证明材料.docx,其他要求应答表.docx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技术指标及配置</w:t>
            </w:r>
          </w:p>
        </w:tc>
        <w:tc>
          <w:tcPr>
            <w:tcW w:type="dxa" w:w="2575"/>
          </w:tcPr>
          <w:p>
            <w:pPr>
              <w:pStyle w:val="null3"/>
              <w:jc w:val="left"/>
            </w:pPr>
            <w:r>
              <w:rPr>
                <w:rFonts w:ascii="仿宋_GB2312" w:hAnsi="仿宋_GB2312" w:cs="仿宋_GB2312" w:eastAsia="仿宋_GB2312"/>
              </w:rPr>
              <w:t>投标产品完全响应招标文件“技术参数要求”的得66分。每有一项重要指标(带“▲”号的参数，共5项，含子项)有负偏离的，扣7.6分，最多扣38分；每有一项一般指标(带“●”号的参数，共56项，含子项)有负偏离的，扣0.5分，最多扣28分。 注：(1)针对招标文件中的“▲”号条款技术参数，投标人应提供技术支持资料；针对以上所有资料加盖投标人公章；如果投标产品中的某条“▲”号条款技术参数没有按照以上要求提供技术支持资料的，该条技术参数在评审中将不予认定。未明确提供证明材料的条款以投标产品技术参数响应表响应为准。</w:t>
            </w:r>
          </w:p>
        </w:tc>
        <w:tc>
          <w:tcPr>
            <w:tcW w:type="dxa" w:w="831"/>
          </w:tcPr>
          <w:p>
            <w:pPr>
              <w:pStyle w:val="null3"/>
              <w:jc w:val="center"/>
            </w:pPr>
            <w:r>
              <w:rPr>
                <w:rFonts w:ascii="仿宋_GB2312" w:hAnsi="仿宋_GB2312" w:cs="仿宋_GB2312" w:eastAsia="仿宋_GB2312"/>
              </w:rPr>
              <w:t>66.0000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投标（响应）产品技术参数表.docx</w:t>
            </w:r>
          </w:p>
        </w:tc>
      </w:tr>
      <w:tr>
        <w:tc>
          <w:tcPr>
            <w:tcW w:type="dxa" w:w="831"/>
            <w:vMerge/>
          </w:tcPr>
          <w:p/>
        </w:tc>
        <w:tc>
          <w:tcPr>
            <w:tcW w:type="dxa" w:w="1661"/>
          </w:tcPr>
          <w:p>
            <w:pPr>
              <w:pStyle w:val="null3"/>
              <w:jc w:val="left"/>
            </w:pPr>
            <w:r>
              <w:rPr>
                <w:rFonts w:ascii="仿宋_GB2312" w:hAnsi="仿宋_GB2312" w:cs="仿宋_GB2312" w:eastAsia="仿宋_GB2312"/>
              </w:rPr>
              <w:t>售后服务保障措施</w:t>
            </w:r>
          </w:p>
        </w:tc>
        <w:tc>
          <w:tcPr>
            <w:tcW w:type="dxa" w:w="2575"/>
          </w:tcPr>
          <w:p>
            <w:pPr>
              <w:pStyle w:val="null3"/>
              <w:jc w:val="left"/>
            </w:pPr>
            <w:r>
              <w:rPr>
                <w:rFonts w:ascii="仿宋_GB2312" w:hAnsi="仿宋_GB2312" w:cs="仿宋_GB2312" w:eastAsia="仿宋_GB2312"/>
              </w:rPr>
              <w:t>根据投标人编制的服务方案进行评审，方案内容至少包括①应急预案；②包装运输；③安装调试；④人员配置，方案完全包含上述内容的得4分，每有一项内容缺失的扣1分，每有一项内容有缺陷的扣0.5分，（缺陷是指：内容非专门针对本项目的；或存在不适用该项目的情形；或涉及的规范及标准错误；或方案内容前后矛盾）。未提供方案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其他要求应答表.docx</w:t>
            </w:r>
          </w:p>
          <w:p>
            <w:pPr>
              <w:pStyle w:val="null3"/>
              <w:jc w:val="left"/>
            </w:pPr>
            <w:r>
              <w:rPr>
                <w:rFonts w:ascii="仿宋_GB2312" w:hAnsi="仿宋_GB2312" w:cs="仿宋_GB2312" w:eastAsia="仿宋_GB2312"/>
              </w:rPr>
              <w:t>供应商认为需要提交的其他相关证明材料.docx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中小企业声明函,残疾人福利性单位声明函,报价明细表,报价表,监狱企业的证明文件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详见附件：投标（响应）产品技术参数表.docx</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详见附件：其他要求应答表.docx</w:t>
      </w:r>
    </w:p>
    <w:p>
      <w:pPr>
        <w:pStyle w:val="null3"/>
        <w:ind w:firstLine="960"/>
        <w:jc w:val="left"/>
      </w:pPr>
      <w:r>
        <w:rPr>
          <w:rFonts w:ascii="仿宋_GB2312" w:hAnsi="仿宋_GB2312" w:cs="仿宋_GB2312" w:eastAsia="仿宋_GB2312"/>
        </w:rPr>
        <w:t>详见附件：供应商认为需要提交的其他相关证明材料.docx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