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版本号：N511502202600004120260316001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S547翠屏区金秋湖镇（南溪界）至永兴镇（叙州界）段改建工程用地报批相关技术服务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N5115022026000041</w:t>
      </w:r>
    </w:p>
    <w:p>
      <w:pPr>
        <w:pStyle w:val="null3"/>
        <w:jc w:val="center"/>
        <w:outlineLvl w:val="2"/>
      </w:pPr>
      <w:r>
        <w:rPr>
          <w:rFonts w:ascii="仿宋_GB2312" w:hAnsi="仿宋_GB2312" w:cs="仿宋_GB2312" w:eastAsia="仿宋_GB2312"/>
          <w:sz w:val="28"/>
          <w:b/>
        </w:rPr>
        <w:t>宜宾市翠屏区农村公路建设服务中心</w:t>
      </w:r>
    </w:p>
    <w:p>
      <w:pPr>
        <w:pStyle w:val="null3"/>
        <w:jc w:val="center"/>
        <w:outlineLvl w:val="2"/>
      </w:pPr>
      <w:r>
        <w:rPr>
          <w:rFonts w:ascii="仿宋_GB2312" w:hAnsi="仿宋_GB2312" w:cs="仿宋_GB2312" w:eastAsia="仿宋_GB2312"/>
          <w:sz w:val="28"/>
          <w:b/>
        </w:rPr>
        <w:t>四川洋宸项目管理有限责任公司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2026年03月16日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四川洋宸项目管理有限责任公司</w:t>
      </w:r>
      <w:r>
        <w:rPr>
          <w:rFonts w:ascii="仿宋_GB2312" w:hAnsi="仿宋_GB2312" w:cs="仿宋_GB2312" w:eastAsia="仿宋_GB2312"/>
        </w:rPr>
        <w:t xml:space="preserve"> （以下简称“代理机构”）受 </w:t>
      </w:r>
      <w:r>
        <w:rPr>
          <w:rFonts w:ascii="仿宋_GB2312" w:hAnsi="仿宋_GB2312" w:cs="仿宋_GB2312" w:eastAsia="仿宋_GB2312"/>
        </w:rPr>
        <w:t>宜宾市翠屏区农村公路建设服务中心</w:t>
      </w:r>
      <w:r>
        <w:rPr>
          <w:rFonts w:ascii="仿宋_GB2312" w:hAnsi="仿宋_GB2312" w:cs="仿宋_GB2312" w:eastAsia="仿宋_GB2312"/>
        </w:rPr>
        <w:t xml:space="preserve"> 委托，拟对 </w:t>
      </w:r>
      <w:r>
        <w:rPr>
          <w:rFonts w:ascii="仿宋_GB2312" w:hAnsi="仿宋_GB2312" w:cs="仿宋_GB2312" w:eastAsia="仿宋_GB2312"/>
        </w:rPr>
        <w:t>S547翠屏区金秋湖镇（南溪界）至永兴镇（叙州界）段改建工程用地报批相关技术服务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宜宾市翠屏区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N5115022026000041</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S547翠屏区金秋湖镇（南溪界）至永兴镇（叙州界）段改建工程用地报批相关技术服务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宜宾市翠屏区农村公路建设服务中心采购S547翠屏区金秋湖镇（南溪界）至永兴镇（叙州界）段改建工程用地报批相关技术服务一项</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1、本项目的特殊资质性要求（描述：供应商需提供行政主管部门颁发的有效的乙级及以上测绘资质证书。（提供证书复印件加盖供应商电子公章））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宜宾市翠屏区农村公路建设服务中心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宜宾市翠屏区象鼻街道兴盛路436号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644099</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余女士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18881988431</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四川洋宸项目管理有限责任公司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四川省宜宾市翠屏区“正和·金帝庄园”A区6幢-8幢商业裙楼（平街二层）64-66号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644000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何先生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18224291951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采购包1：1,065,000.00元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遵循以成本支出加合理利润为原则，依据招标代理协议及磋商文件的约定，本项目招标代理服务费定额人民币18624元收取，其费用由成交供应商收到成交通知后2个工作日一次性支付至采购代理机构。</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宜宾市翠屏区农村公路建设服务中心</w:t>
      </w:r>
      <w:r>
        <w:rPr>
          <w:rFonts w:ascii="仿宋_GB2312" w:hAnsi="仿宋_GB2312" w:cs="仿宋_GB2312" w:eastAsia="仿宋_GB2312"/>
        </w:rPr>
        <w:t xml:space="preserve"> 和 </w:t>
      </w:r>
      <w:r>
        <w:rPr>
          <w:rFonts w:ascii="仿宋_GB2312" w:hAnsi="仿宋_GB2312" w:cs="仿宋_GB2312" w:eastAsia="仿宋_GB2312"/>
        </w:rPr>
        <w:t>四川洋宸项目管理有限责任公司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宜宾市翠屏区农村公路建设服务中心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四川洋宸项目管理有限责任公司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达到验收条件</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参照政府采购相关法律法规以及《财政部关于进一步加强政府采购需求和履约验收管理的指导意见》（财库〔2016〕205号）的要求、采购文件的内容及要求、供应商的响应文件及承诺以及合同约定标准进行验收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按照采购文件与响应文件及合同约定执行</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按照采购文件与响应文件及合同约定执行</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技术验收内容：包括采购内容、具体技术参数指标（技术服务要求）、商务条件、售后服务等涉及本项目建设质量的所有内容。2.商务验收内容：按招标文件和供应商递交的响应文件逐一进行验收。其他未尽事宜应严格按照《财政部关于进一步加强政府采购需求和履约验收管理的指导意见》(财库〔2016〕205号)、《政府采购需求管理办法》((财库〔2021〕22号)及磋商文件相关规定组织验收或成果经上级审查合格通过。</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宜宾市翠屏区农村公路建设服务中心</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四川洋宸项目管理有限责任公司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四川洋宸项目管理有限责任公司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联系人：何先生</w:t>
      </w:r>
    </w:p>
    <w:p>
      <w:pPr>
        <w:pStyle w:val="null3"/>
        <w:jc w:val="left"/>
      </w:pPr>
      <w:r>
        <w:rPr>
          <w:rFonts w:ascii="仿宋_GB2312" w:hAnsi="仿宋_GB2312" w:cs="仿宋_GB2312" w:eastAsia="仿宋_GB2312"/>
        </w:rPr>
        <w:t>联系电话：18224291951</w:t>
      </w:r>
    </w:p>
    <w:p>
      <w:pPr>
        <w:pStyle w:val="null3"/>
        <w:jc w:val="left"/>
      </w:pPr>
      <w:r>
        <w:rPr>
          <w:rFonts w:ascii="仿宋_GB2312" w:hAnsi="仿宋_GB2312" w:cs="仿宋_GB2312" w:eastAsia="仿宋_GB2312"/>
        </w:rPr>
        <w:t>地址：四川省宜宾市翠屏区“正和·金帝庄园”A区6幢-8幢商业裙楼（平街二层）64-66号</w:t>
      </w:r>
    </w:p>
    <w:p>
      <w:pPr>
        <w:pStyle w:val="null3"/>
        <w:jc w:val="left"/>
      </w:pPr>
      <w:r>
        <w:rPr>
          <w:rFonts w:ascii="仿宋_GB2312" w:hAnsi="仿宋_GB2312" w:cs="仿宋_GB2312" w:eastAsia="仿宋_GB2312"/>
        </w:rPr>
        <w:t>邮编：644000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1,065,000.00</w:t>
      </w:r>
    </w:p>
    <w:p>
      <w:pPr>
        <w:pStyle w:val="null3"/>
        <w:jc w:val="left"/>
      </w:pPr>
      <w:r>
        <w:rPr>
          <w:rFonts w:ascii="仿宋_GB2312" w:hAnsi="仿宋_GB2312" w:cs="仿宋_GB2312" w:eastAsia="仿宋_GB2312"/>
        </w:rPr>
        <w:t>采购包最高限价（元）: 1,065,000.00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C99000000 其他服务</w:t>
            </w:r>
          </w:p>
        </w:tc>
        <w:tc>
          <w:tcPr>
            <w:tcW w:type="dxa" w:w="821"/>
          </w:tcPr>
          <w:p>
            <w:pPr>
              <w:pStyle w:val="null3"/>
              <w:jc w:val="left"/>
            </w:pPr>
            <w:r>
              <w:rPr>
                <w:rFonts w:ascii="仿宋_GB2312" w:hAnsi="仿宋_GB2312" w:cs="仿宋_GB2312" w:eastAsia="仿宋_GB2312"/>
              </w:rPr>
              <w:t>S547翠屏区金秋湖镇（南溪界）至永兴镇（叙州界）段改建工程用地报批相关技术服务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1,065,000.00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S547翠屏区金秋湖镇（南溪界）至永兴镇（叙州界）段改建工程用地报批相关技术服务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1,065,000.00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标的名称：S547翠屏区金秋湖镇（南溪界）至永兴镇（叙州界）段改建工程用地报批相关技术服务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（一）服务内容</w:t>
            </w:r>
          </w:p>
        </w:tc>
        <w:tc>
          <w:tcPr>
            <w:tcW w:type="dxa" w:w="5814"/>
          </w:tcPr>
          <w:p>
            <w:pPr>
              <w:pStyle w:val="null3"/>
              <w:jc w:val="left"/>
            </w:pPr>
            <w:r>
              <w:rPr>
                <w:rFonts w:ascii="仿宋_GB2312" w:hAnsi="仿宋_GB2312" w:cs="仿宋_GB2312" w:eastAsia="仿宋_GB2312"/>
                <w:sz w:val="21"/>
              </w:rPr>
              <w:t>完成本项目土地报批等专题技术服务包括勘测定界工作、压覆重要矿产资源调查及评估、占用耕地踏勘论证、表土剥离方案、征地社会稳定风险评估报告编制、非农痕迹说明及卫片查处资料、组卷报批等工作。</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（二）服务要求</w:t>
            </w:r>
          </w:p>
        </w:tc>
        <w:tc>
          <w:tcPr>
            <w:tcW w:type="dxa" w:w="5814"/>
          </w:tcPr>
          <w:p>
            <w:pPr>
              <w:pStyle w:val="null3"/>
              <w:jc w:val="both"/>
            </w:pPr>
            <w:r>
              <w:rPr>
                <w:rFonts w:ascii="仿宋_GB2312" w:hAnsi="仿宋_GB2312" w:cs="仿宋_GB2312" w:eastAsia="仿宋_GB2312"/>
                <w:sz w:val="21"/>
              </w:rPr>
              <w:t>1、如因供应商工作人员在履行职务过程中的疏忽、失职、过错等故意或者过失原因给采购人造成损失或侵害，包括但不限于采购人本身的财产损失、由此而导致的采购人对任何第三方的法律责任等，供应商对此均应承担全部的赔偿责任。〔单独提供承诺函，格式自拟。〕</w:t>
            </w:r>
          </w:p>
          <w:p>
            <w:pPr>
              <w:pStyle w:val="null3"/>
              <w:jc w:val="both"/>
            </w:pPr>
            <w:r>
              <w:rPr>
                <w:rFonts w:ascii="仿宋_GB2312" w:hAnsi="仿宋_GB2312" w:cs="仿宋_GB2312" w:eastAsia="仿宋_GB2312"/>
                <w:sz w:val="21"/>
              </w:rPr>
              <w:t>2、安全要求:供应商需做好实施工作人员的安全培训工作，如在项目实施过程中，发生安全事故，由供应商自行承担。〔单独提供承诺函，格式自拟。〕</w:t>
            </w:r>
          </w:p>
          <w:p>
            <w:pPr>
              <w:pStyle w:val="null3"/>
              <w:jc w:val="both"/>
            </w:pPr>
            <w:r>
              <w:rPr>
                <w:rFonts w:ascii="仿宋_GB2312" w:hAnsi="仿宋_GB2312" w:cs="仿宋_GB2312" w:eastAsia="仿宋_GB2312"/>
                <w:sz w:val="21"/>
              </w:rPr>
              <w:t>3、供应商承诺针对本项目严格遵守相关的保密法律、法规的规定，切实履行好保密义务，做好保密管理工作。供应商接到采购人技术问题咨询或者相关资料补充，应立即响应，如不能立即解决问题，应向采购人说明情况，并在24小时内解决。〔单独提供承诺函，格式自拟。〕</w:t>
            </w:r>
          </w:p>
          <w:p>
            <w:pPr>
              <w:pStyle w:val="null3"/>
              <w:jc w:val="both"/>
            </w:pPr>
            <w:r>
              <w:rPr>
                <w:rFonts w:ascii="仿宋_GB2312" w:hAnsi="仿宋_GB2312" w:cs="仿宋_GB2312" w:eastAsia="仿宋_GB2312"/>
              </w:rPr>
              <w:t>4、技术标准及规范：应满足现行有效的国家相关标准、行业标准、地方标准以及相关规范等。质量、安全、技术规格、物理特性等参数应满足国家、行业、地方相关标准和要求。</w:t>
            </w:r>
          </w:p>
          <w:p>
            <w:pPr>
              <w:pStyle w:val="null3"/>
              <w:jc w:val="both"/>
            </w:pPr>
            <w:r>
              <w:rPr>
                <w:rFonts w:ascii="仿宋_GB2312" w:hAnsi="仿宋_GB2312" w:cs="仿宋_GB2312" w:eastAsia="仿宋_GB2312"/>
              </w:rPr>
              <w:t>5、供应商应为完成本项目提供充足的工作保障力量，以保障项目能顺利实施并能按照采购人的要求在规定时间内保质保量完成项目所有工作内容。</w:t>
            </w:r>
          </w:p>
          <w:p>
            <w:pPr>
              <w:pStyle w:val="null3"/>
              <w:jc w:val="left"/>
            </w:pPr>
            <w:r>
              <w:rPr>
                <w:rFonts w:ascii="仿宋_GB2312" w:hAnsi="仿宋_GB2312" w:cs="仿宋_GB2312" w:eastAsia="仿宋_GB2312"/>
                <w:sz w:val="21"/>
              </w:rPr>
              <w:t>6、供应商应按照《中华人民共和国土地管理法》、四川省自然资源厅和宜宾市自然资源局等相关要求开展相关工作,供应商完成的所有工作内容需通过采购人及其他相关部门的验收。</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（三）成果要求</w:t>
            </w:r>
          </w:p>
        </w:tc>
        <w:tc>
          <w:tcPr>
            <w:tcW w:type="dxa" w:w="5814"/>
          </w:tcPr>
          <w:p>
            <w:pPr>
              <w:pStyle w:val="null3"/>
              <w:jc w:val="left"/>
            </w:pPr>
            <w:r>
              <w:rPr>
                <w:rFonts w:ascii="仿宋_GB2312" w:hAnsi="仿宋_GB2312" w:cs="仿宋_GB2312" w:eastAsia="仿宋_GB2312"/>
                <w:sz w:val="21"/>
              </w:rPr>
              <w:t>供应商应按采购人要求交付本项目涉及的相关资料（纸质资料和电子资料）</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（四）其他要求</w:t>
            </w:r>
          </w:p>
        </w:tc>
        <w:tc>
          <w:tcPr>
            <w:tcW w:type="dxa" w:w="5814"/>
          </w:tcPr>
          <w:p>
            <w:pPr>
              <w:pStyle w:val="null3"/>
              <w:jc w:val="both"/>
            </w:pPr>
            <w:r>
              <w:rPr>
                <w:rFonts w:ascii="仿宋_GB2312" w:hAnsi="仿宋_GB2312" w:cs="仿宋_GB2312" w:eastAsia="仿宋_GB2312"/>
                <w:sz w:val="21"/>
              </w:rPr>
              <w:t>一、供应商针对本项目提供方案如下：</w:t>
            </w:r>
            <w:r>
              <w:rPr>
                <w:rFonts w:ascii="仿宋_GB2312" w:hAnsi="仿宋_GB2312" w:cs="仿宋_GB2312" w:eastAsia="仿宋_GB2312"/>
                <w:sz w:val="21"/>
              </w:rPr>
              <w:t>1.技术方案（包含：①工作背景与调查对象；②工作任务与调查内容；③调查目标与项目工期；④自然地理概况分析。）；2.实施方案（实施方案内容包含：①项目工作内容；②工作进度计划；③质量保证措施；④重点难点分析；⑤信息保密措施。）；3.后续服务（包含：①对项目后续相关服务内容的响应；②人员保障及措施；③应急措施；④后续服务技术支持能力。）</w:t>
            </w:r>
          </w:p>
          <w:p>
            <w:pPr>
              <w:pStyle w:val="null3"/>
              <w:jc w:val="both"/>
            </w:pPr>
            <w:r>
              <w:rPr>
                <w:rFonts w:ascii="仿宋_GB2312" w:hAnsi="仿宋_GB2312" w:cs="仿宋_GB2312" w:eastAsia="仿宋_GB2312"/>
                <w:sz w:val="21"/>
              </w:rPr>
              <w:t>二、报价要求：报价是供应商完成本项目所有服务内容的综合最终报价，本次报价为服务费包干总报价，包括服务全过程的人力、安全责任、税金、人员保险以及完成本项目服务所需的所有费用。采购人在项目结算时不再向成交人支付其他任何费用。如出现在响应报价估算错误等引起的损失由中标人自行承担。</w:t>
            </w:r>
          </w:p>
          <w:p>
            <w:pPr>
              <w:pStyle w:val="null3"/>
              <w:jc w:val="left"/>
            </w:pPr>
            <w:r>
              <w:rPr>
                <w:rFonts w:ascii="仿宋_GB2312" w:hAnsi="仿宋_GB2312" w:cs="仿宋_GB2312" w:eastAsia="仿宋_GB2312"/>
                <w:sz w:val="21"/>
              </w:rPr>
              <w:t>三、人员配置及履约经验要求：供应商须针对本项目成立独立的项目组，安排足够专业技术人员参加本项目工作并提供人员对应的证明材料。在项目组织机构中应明确各岗位的职责、任职资格，确保项目顺利实施。供应商提供</w:t>
            </w:r>
            <w:r>
              <w:rPr>
                <w:rFonts w:ascii="仿宋_GB2312" w:hAnsi="仿宋_GB2312" w:cs="仿宋_GB2312" w:eastAsia="仿宋_GB2312"/>
                <w:sz w:val="21"/>
              </w:rPr>
              <w:t>2023年1月1日（含1日）至今的履约经验材料。</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180天</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宜宾市辖区范围内</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技术验收内容：包括采购内容、具体技术参数指标（技术服务要求）、商务条件、售后服务等涉及本项目建设质量的所有内容。2.商务验收内容：按招标文件和供应商递交的响应文件逐一进行验收。其他未尽事宜应严格按照《财政部关于进一步加强政府采购需求和履约验收管理的指导意见》(财库〔2016〕205号)、《政府采购需求管理办法》((财库〔2021〕22号)及磋商文件相关规定组织验收或成果经上级审查合格通过。</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1、进度款，自合同签订之日，达到付款条件起10日内，据实结算说明为支付合同总额的30%</w:t>
            </w:r>
          </w:p>
          <w:p>
            <w:pPr>
              <w:pStyle w:val="null3"/>
              <w:jc w:val="left"/>
            </w:pPr>
            <w:r>
              <w:rPr>
                <w:rFonts w:ascii="仿宋_GB2312" w:hAnsi="仿宋_GB2312" w:cs="仿宋_GB2312" w:eastAsia="仿宋_GB2312"/>
              </w:rPr>
              <w:t>2、进度款，取得该项目《专题技术服务成果资料》后，达到付款条件起10日内，据实结算说明为支付合同总额 的 20%</w:t>
            </w:r>
          </w:p>
          <w:p>
            <w:pPr>
              <w:pStyle w:val="null3"/>
              <w:jc w:val="left"/>
            </w:pPr>
            <w:r>
              <w:rPr>
                <w:rFonts w:ascii="仿宋_GB2312" w:hAnsi="仿宋_GB2312" w:cs="仿宋_GB2312" w:eastAsia="仿宋_GB2312"/>
              </w:rPr>
              <w:t>3、进度款，该项目用地组卷报批报入省自然资源厅，达到付款条件起10日内，据实结算说明为支付合同总额的 30%</w:t>
            </w:r>
          </w:p>
          <w:p>
            <w:pPr>
              <w:pStyle w:val="null3"/>
              <w:jc w:val="left"/>
            </w:pPr>
            <w:r>
              <w:rPr>
                <w:rFonts w:ascii="仿宋_GB2312" w:hAnsi="仿宋_GB2312" w:cs="仿宋_GB2312" w:eastAsia="仿宋_GB2312"/>
              </w:rPr>
              <w:t>4、进度款，该项目取得建设用地批复后，达到付款条件起10日内，据实结算说明为支付合同总额的20%</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成交供应商应严格遵守承诺，如有违约，将赔偿因违约给采购人造成的经济损失。如因成交供应商工作人员在履行职责过程中的疏忽、失职、过错等故意或者过失原因给采购人造成损失或侵害，包括但不限于采购人本身的财产损失、由此而导致的采购人对任何第三方的法律责任等，成交供应商对此均应承担全部的赔偿责任。 2.合同履行期间,若双方发生争议，双方本着友好合作的态度，对合同履行过程中发生的违约行为进行及时的协商解决或由有关部门调解解决，如不能协商解决可向人民法院通过诉讼解决。 3．若因成交供应商原因在合同规定服务期限内无法履约及提供合格的服务，采购人有权终止合同，并由采购人提请项目同级财政部门将其列入不良行为记录；因不可抗力所导致的服务中止或终止等按照《中华人民共和国民法典》有关条文处理。</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★1.供应商在项目执行过程中定期及时向采购人通告本项目实施的重大事项及其进度。 ★2.接受项目行业管理部门及政府有关部门的指导，接受采购人的监督。 ★3.报价要求：本项目合同按总价包干。 ★4.供应商应保证所提供的产品其任何一部分均不会侵犯任何第三方的专利权、商标权或著作权。 ★5.本项目采购过程和合同履行过程中的风险严格按照采购人的风险控制管理要求执行。。 ★6.特别说明：成交供应商应当保证提供的所有服务符合国家现行有关质量标准或者优于国家现行相关行业技术规范（或标准）及国家强制性标准。 7.未尽事宜，签订合同时具体约定。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银行出具的资信证明。未经审计的提供财务报告（包括资产负债表、利润表、现金流量表、所有者权益变动表及其附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本项目的特殊资质性要求</w:t>
            </w:r>
          </w:p>
        </w:tc>
        <w:tc>
          <w:tcPr>
            <w:tcW w:type="dxa" w:w="3322"/>
          </w:tcPr>
          <w:p>
            <w:pPr>
              <w:pStyle w:val="null3"/>
              <w:jc w:val="left"/>
            </w:pPr>
            <w:r>
              <w:rPr>
                <w:rFonts w:ascii="仿宋_GB2312" w:hAnsi="仿宋_GB2312" w:cs="仿宋_GB2312" w:eastAsia="仿宋_GB2312"/>
              </w:rPr>
              <w:t>供应商需提供行政主管部门颁发的有效的乙级及以上测绘资质证书。（提供证书复印件加盖供应商电子公章）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技术要求</w:t>
            </w:r>
          </w:p>
        </w:tc>
        <w:tc>
          <w:tcPr>
            <w:tcW w:type="dxa" w:w="3322"/>
          </w:tcPr>
          <w:p>
            <w:pPr>
              <w:pStyle w:val="null3"/>
              <w:jc w:val="left"/>
            </w:pPr>
            <w:r>
              <w:rPr>
                <w:rFonts w:ascii="仿宋_GB2312" w:hAnsi="仿宋_GB2312" w:cs="仿宋_GB2312" w:eastAsia="仿宋_GB2312"/>
              </w:rPr>
              <w:t>对技术要求响应进行审查</w:t>
            </w:r>
          </w:p>
        </w:tc>
        <w:tc>
          <w:tcPr>
            <w:tcW w:type="dxa" w:w="1661"/>
          </w:tcPr>
          <w:p>
            <w:pPr>
              <w:pStyle w:val="null3"/>
              <w:jc w:val="left"/>
            </w:pPr>
            <w:r>
              <w:rPr>
                <w:rFonts w:ascii="仿宋_GB2312" w:hAnsi="仿宋_GB2312" w:cs="仿宋_GB2312" w:eastAsia="仿宋_GB2312"/>
              </w:rPr>
              <w:t>技术应答表.pdf,供应商应提交的相关证明材料,服务应答表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商务要求</w:t>
            </w:r>
          </w:p>
        </w:tc>
        <w:tc>
          <w:tcPr>
            <w:tcW w:type="dxa" w:w="3322"/>
          </w:tcPr>
          <w:p>
            <w:pPr>
              <w:pStyle w:val="null3"/>
              <w:jc w:val="left"/>
            </w:pPr>
            <w:r>
              <w:rPr>
                <w:rFonts w:ascii="仿宋_GB2312" w:hAnsi="仿宋_GB2312" w:cs="仿宋_GB2312" w:eastAsia="仿宋_GB2312"/>
              </w:rPr>
              <w:t>对商务要求响应进行审查</w:t>
            </w:r>
          </w:p>
        </w:tc>
        <w:tc>
          <w:tcPr>
            <w:tcW w:type="dxa" w:w="1661"/>
          </w:tcPr>
          <w:p>
            <w:pPr>
              <w:pStyle w:val="null3"/>
              <w:jc w:val="left"/>
            </w:pPr>
            <w:r>
              <w:rPr>
                <w:rFonts w:ascii="仿宋_GB2312" w:hAnsi="仿宋_GB2312" w:cs="仿宋_GB2312" w:eastAsia="仿宋_GB2312"/>
              </w:rPr>
              <w:t>商务应答表.pdf</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技术方案</w:t>
            </w:r>
          </w:p>
        </w:tc>
        <w:tc>
          <w:tcPr>
            <w:tcW w:type="dxa" w:w="2575"/>
          </w:tcPr>
          <w:p>
            <w:pPr>
              <w:pStyle w:val="null3"/>
              <w:jc w:val="left"/>
            </w:pPr>
            <w:r>
              <w:rPr>
                <w:rFonts w:ascii="仿宋_GB2312" w:hAnsi="仿宋_GB2312" w:cs="仿宋_GB2312" w:eastAsia="仿宋_GB2312"/>
              </w:rPr>
              <w:t>根据本项目的实际情况提供技术方案（技术方案内容包含：①工作背景与调查对象；②工作任务与调查内容；③调查目标与项目工期；④实施地自然地理概况分析。）进行综合评审，方案包括以上4项内容且无缺陷得16分；每缺一项扣4分；每有一处缺陷扣2分，扣完为止。 注：缺陷是指方案内容不符合采购需求、内容非专门针对本项目或不适用项目特性、方案中内容前后不一致、涉及的规范及标准错误、地点区域错误、方案标题与内容不相符合、方案仅有框架或标题、复制其他项目内容，套用其它方案、实施内容前后矛盾、引用的科学原理错误情形。</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根据本项目的实际情况提供项目实施方案（实施方案内容包含：①项目工作内容；②工作进度计划；③质量保证措施；④重点难点分析；⑤信息保密措施）进行综合评审，方案包括以上5项内容且无缺陷得30分；每缺一项扣6分；每有一处缺陷扣3分，扣完为止。 注：缺陷是指方案内容不符合采购需求、内容非专门针对本项目或不适用项目特性、方案中内容前后不一致、涉及的规范及标准错误、地点区域错误、方案标题与内容不相符合、方案仅有框架或标题、复制其他项目内容，套用其它方案、实施内容前后矛盾、引用的科学原理错误情形。</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1.项目负责人（1人）：具有相关专业（国土类或测绘类或规划类）中级职称得3分，具有相关专业（国土类或测绘类或规划类）高级及以上职称得6分，本项最多得6分。 2.技术负责人（1人）：具有相关专业（国土类或测绘类或规划类）中级职称得3分，具有相关专业（国土类或测绘类或规划类）高级及以上职称得6分，本项最多得6分。 3.其他技术人员：具有相关专业（国土类或测绘类或规划类）初级及以上职称证书的得1分，本项最多得6分。 注：以上人员不重复得分，提供对应人员身份证、在职证明材料、毕业证、证书复印件并加盖供应商公章。</w:t>
            </w:r>
          </w:p>
        </w:tc>
        <w:tc>
          <w:tcPr>
            <w:tcW w:type="dxa" w:w="831"/>
          </w:tcPr>
          <w:p>
            <w:pPr>
              <w:pStyle w:val="null3"/>
              <w:jc w:val="center"/>
            </w:pPr>
            <w:r>
              <w:rPr>
                <w:rFonts w:ascii="仿宋_GB2312" w:hAnsi="仿宋_GB2312" w:cs="仿宋_GB2312" w:eastAsia="仿宋_GB2312"/>
              </w:rPr>
              <w:t>18.0000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履约经验</w:t>
            </w:r>
          </w:p>
        </w:tc>
        <w:tc>
          <w:tcPr>
            <w:tcW w:type="dxa" w:w="2575"/>
          </w:tcPr>
          <w:p>
            <w:pPr>
              <w:pStyle w:val="null3"/>
              <w:jc w:val="left"/>
            </w:pPr>
            <w:r>
              <w:rPr>
                <w:rFonts w:ascii="仿宋_GB2312" w:hAnsi="仿宋_GB2312" w:cs="仿宋_GB2312" w:eastAsia="仿宋_GB2312"/>
              </w:rPr>
              <w:t>供应商2023年1月1日（含1日）至本项目投标截止之日，每有1个测绘类业绩得2分，本项最多得6分。 注：须提供中标（成交）通知书或者项目合同（协议书）复印件加盖公章，日期以合同签订时间为准。</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后续服务</w:t>
            </w:r>
          </w:p>
        </w:tc>
        <w:tc>
          <w:tcPr>
            <w:tcW w:type="dxa" w:w="2575"/>
          </w:tcPr>
          <w:p>
            <w:pPr>
              <w:pStyle w:val="null3"/>
              <w:jc w:val="left"/>
            </w:pPr>
            <w:r>
              <w:rPr>
                <w:rFonts w:ascii="仿宋_GB2312" w:hAnsi="仿宋_GB2312" w:cs="仿宋_GB2312" w:eastAsia="仿宋_GB2312"/>
              </w:rPr>
              <w:t>根据本项目的实际情况提供后续服务方案（方案内容包含：①对项目后续相关服务内容的响应；②人员保障及措施；③应急措施；④后续服务技术支持能力。）进行综合评审，方案包括以上4项内容且无缺陷得20分；每缺一项扣5分；每有一处缺陷扣2分，扣完为止。 注：缺陷是指方案内容不符合采购需求、内容非专门针对本项目或不适用项目特性、方案中内容前后不一致、涉及的规范及标准错误、地点区域错误、方案标题与内容不相符合、方案仅有框架或标题、复制其他项目内容，套用其它方案、实施内容前后矛盾、引用的科学原理错误情形。</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详见附件：技术应答表.pdf</w:t>
      </w:r>
    </w:p>
    <w:p>
      <w:pPr>
        <w:pStyle w:val="null3"/>
        <w:ind w:firstLine="960"/>
        <w:jc w:val="left"/>
      </w:pPr>
      <w:r>
        <w:rPr>
          <w:rFonts w:ascii="仿宋_GB2312" w:hAnsi="仿宋_GB2312" w:cs="仿宋_GB2312" w:eastAsia="仿宋_GB2312"/>
        </w:rPr>
        <w:t>详见附件：商务应答表.pdf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