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1ABAF">
      <w:pPr>
        <w:pStyle w:val="4"/>
        <w:jc w:val="center"/>
        <w:outlineLvl w:val="1"/>
      </w:pPr>
      <w:r>
        <w:rPr>
          <w:rFonts w:ascii="仿宋_GB2312" w:hAnsi="仿宋_GB2312" w:eastAsia="仿宋_GB2312" w:cs="仿宋_GB2312"/>
          <w:b/>
          <w:sz w:val="36"/>
        </w:rPr>
        <w:t>技术、服务及其他要求</w:t>
      </w:r>
    </w:p>
    <w:p w14:paraId="57B41A3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582F445">
      <w:pPr>
        <w:pStyle w:val="4"/>
        <w:jc w:val="left"/>
        <w:outlineLvl w:val="2"/>
      </w:pPr>
      <w:r>
        <w:rPr>
          <w:rFonts w:ascii="仿宋_GB2312" w:hAnsi="仿宋_GB2312" w:eastAsia="仿宋_GB2312" w:cs="仿宋_GB2312"/>
          <w:b/>
          <w:sz w:val="28"/>
        </w:rPr>
        <w:t>3.1.采购内容</w:t>
      </w:r>
      <w:bookmarkStart w:id="0" w:name="_GoBack"/>
      <w:bookmarkEnd w:id="0"/>
    </w:p>
    <w:p w14:paraId="13B94594">
      <w:pPr>
        <w:pStyle w:val="4"/>
        <w:jc w:val="left"/>
      </w:pPr>
      <w:r>
        <w:rPr>
          <w:rFonts w:ascii="仿宋_GB2312" w:hAnsi="仿宋_GB2312" w:eastAsia="仿宋_GB2312" w:cs="仿宋_GB2312"/>
        </w:rPr>
        <w:t>采购包1：</w:t>
      </w:r>
    </w:p>
    <w:p w14:paraId="119CCC93">
      <w:pPr>
        <w:pStyle w:val="4"/>
        <w:jc w:val="left"/>
      </w:pPr>
      <w:r>
        <w:rPr>
          <w:rFonts w:ascii="仿宋_GB2312" w:hAnsi="仿宋_GB2312" w:eastAsia="仿宋_GB2312" w:cs="仿宋_GB2312"/>
        </w:rPr>
        <w:t>采购包预算金额（元）: 676,800.00</w:t>
      </w:r>
    </w:p>
    <w:p w14:paraId="0E7F4FDE">
      <w:pPr>
        <w:pStyle w:val="4"/>
        <w:jc w:val="left"/>
      </w:pPr>
      <w:r>
        <w:rPr>
          <w:rFonts w:ascii="仿宋_GB2312" w:hAnsi="仿宋_GB2312" w:eastAsia="仿宋_GB2312" w:cs="仿宋_GB2312"/>
        </w:rPr>
        <w:t>采购包最高限价（元）: 676,800.00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BBE9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D7A2B5">
            <w:pPr>
              <w:pStyle w:val="4"/>
              <w:jc w:val="center"/>
            </w:pPr>
            <w:r>
              <w:rPr>
                <w:rFonts w:ascii="仿宋_GB2312" w:hAnsi="仿宋_GB2312" w:eastAsia="仿宋_GB2312" w:cs="仿宋_GB2312"/>
              </w:rPr>
              <w:t>序号</w:t>
            </w:r>
          </w:p>
        </w:tc>
        <w:tc>
          <w:tcPr>
            <w:tcW w:w="821" w:type="dxa"/>
          </w:tcPr>
          <w:p w14:paraId="63AFF796">
            <w:pPr>
              <w:pStyle w:val="4"/>
              <w:jc w:val="center"/>
            </w:pPr>
            <w:r>
              <w:rPr>
                <w:rFonts w:ascii="仿宋_GB2312" w:hAnsi="仿宋_GB2312" w:eastAsia="仿宋_GB2312" w:cs="仿宋_GB2312"/>
              </w:rPr>
              <w:t>采购品目名称</w:t>
            </w:r>
          </w:p>
        </w:tc>
        <w:tc>
          <w:tcPr>
            <w:tcW w:w="821" w:type="dxa"/>
          </w:tcPr>
          <w:p w14:paraId="46B3C3F8">
            <w:pPr>
              <w:pStyle w:val="4"/>
              <w:jc w:val="center"/>
            </w:pPr>
            <w:r>
              <w:rPr>
                <w:rFonts w:ascii="仿宋_GB2312" w:hAnsi="仿宋_GB2312" w:eastAsia="仿宋_GB2312" w:cs="仿宋_GB2312"/>
              </w:rPr>
              <w:t>标的名称</w:t>
            </w:r>
          </w:p>
        </w:tc>
        <w:tc>
          <w:tcPr>
            <w:tcW w:w="821" w:type="dxa"/>
          </w:tcPr>
          <w:p w14:paraId="511A1BC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AFC06BE">
            <w:pPr>
              <w:pStyle w:val="4"/>
              <w:jc w:val="center"/>
            </w:pPr>
            <w:r>
              <w:rPr>
                <w:rFonts w:ascii="仿宋_GB2312" w:hAnsi="仿宋_GB2312" w:eastAsia="仿宋_GB2312" w:cs="仿宋_GB2312"/>
              </w:rPr>
              <w:t>标的金额 （元）</w:t>
            </w:r>
          </w:p>
        </w:tc>
        <w:tc>
          <w:tcPr>
            <w:tcW w:w="821" w:type="dxa"/>
          </w:tcPr>
          <w:p w14:paraId="7324BAE6">
            <w:pPr>
              <w:pStyle w:val="4"/>
              <w:jc w:val="center"/>
            </w:pPr>
            <w:r>
              <w:rPr>
                <w:rFonts w:ascii="仿宋_GB2312" w:hAnsi="仿宋_GB2312" w:eastAsia="仿宋_GB2312" w:cs="仿宋_GB2312"/>
              </w:rPr>
              <w:t>所属行业</w:t>
            </w:r>
          </w:p>
        </w:tc>
        <w:tc>
          <w:tcPr>
            <w:tcW w:w="821" w:type="dxa"/>
          </w:tcPr>
          <w:p w14:paraId="0E6BA882">
            <w:pPr>
              <w:pStyle w:val="4"/>
              <w:jc w:val="center"/>
            </w:pPr>
            <w:r>
              <w:rPr>
                <w:rFonts w:ascii="仿宋_GB2312" w:hAnsi="仿宋_GB2312" w:eastAsia="仿宋_GB2312" w:cs="仿宋_GB2312"/>
              </w:rPr>
              <w:t>是否涉及核心产品</w:t>
            </w:r>
          </w:p>
        </w:tc>
        <w:tc>
          <w:tcPr>
            <w:tcW w:w="821" w:type="dxa"/>
          </w:tcPr>
          <w:p w14:paraId="69DD9E28">
            <w:pPr>
              <w:pStyle w:val="4"/>
              <w:jc w:val="center"/>
            </w:pPr>
            <w:r>
              <w:rPr>
                <w:rFonts w:ascii="仿宋_GB2312" w:hAnsi="仿宋_GB2312" w:eastAsia="仿宋_GB2312" w:cs="仿宋_GB2312"/>
              </w:rPr>
              <w:t>是否涉及采购进口产品</w:t>
            </w:r>
          </w:p>
        </w:tc>
        <w:tc>
          <w:tcPr>
            <w:tcW w:w="821" w:type="dxa"/>
          </w:tcPr>
          <w:p w14:paraId="56A32F90">
            <w:pPr>
              <w:pStyle w:val="4"/>
              <w:jc w:val="center"/>
            </w:pPr>
            <w:r>
              <w:rPr>
                <w:rFonts w:ascii="仿宋_GB2312" w:hAnsi="仿宋_GB2312" w:eastAsia="仿宋_GB2312" w:cs="仿宋_GB2312"/>
              </w:rPr>
              <w:t>是否涉及强制采购节能产品</w:t>
            </w:r>
          </w:p>
        </w:tc>
        <w:tc>
          <w:tcPr>
            <w:tcW w:w="639" w:type="dxa"/>
          </w:tcPr>
          <w:p w14:paraId="4EBB51BF">
            <w:pPr>
              <w:pStyle w:val="4"/>
              <w:jc w:val="center"/>
            </w:pPr>
            <w:r>
              <w:rPr>
                <w:rFonts w:ascii="仿宋_GB2312" w:hAnsi="仿宋_GB2312" w:eastAsia="仿宋_GB2312" w:cs="仿宋_GB2312"/>
              </w:rPr>
              <w:t>是否涉及优先采购节能产品</w:t>
            </w:r>
          </w:p>
        </w:tc>
        <w:tc>
          <w:tcPr>
            <w:tcW w:w="639" w:type="dxa"/>
          </w:tcPr>
          <w:p w14:paraId="45CFA99D">
            <w:pPr>
              <w:pStyle w:val="4"/>
              <w:jc w:val="center"/>
            </w:pPr>
            <w:r>
              <w:rPr>
                <w:rFonts w:ascii="仿宋_GB2312" w:hAnsi="仿宋_GB2312" w:eastAsia="仿宋_GB2312" w:cs="仿宋_GB2312"/>
              </w:rPr>
              <w:t>是否涉及优先采购环境标志产品</w:t>
            </w:r>
          </w:p>
        </w:tc>
      </w:tr>
      <w:tr w14:paraId="0CA1C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BCAA72">
            <w:pPr>
              <w:pStyle w:val="4"/>
              <w:jc w:val="left"/>
            </w:pPr>
            <w:r>
              <w:rPr>
                <w:rFonts w:ascii="仿宋_GB2312" w:hAnsi="仿宋_GB2312" w:eastAsia="仿宋_GB2312" w:cs="仿宋_GB2312"/>
              </w:rPr>
              <w:t>1</w:t>
            </w:r>
          </w:p>
        </w:tc>
        <w:tc>
          <w:tcPr>
            <w:tcW w:w="821" w:type="dxa"/>
          </w:tcPr>
          <w:p w14:paraId="4157FD1A">
            <w:pPr>
              <w:pStyle w:val="4"/>
              <w:jc w:val="left"/>
            </w:pPr>
            <w:r>
              <w:rPr>
                <w:rFonts w:ascii="仿宋_GB2312" w:hAnsi="仿宋_GB2312" w:eastAsia="仿宋_GB2312" w:cs="仿宋_GB2312"/>
              </w:rPr>
              <w:t>C20039900 其他咨询服务</w:t>
            </w:r>
          </w:p>
        </w:tc>
        <w:tc>
          <w:tcPr>
            <w:tcW w:w="821" w:type="dxa"/>
          </w:tcPr>
          <w:p w14:paraId="7C9BCA9D">
            <w:pPr>
              <w:pStyle w:val="4"/>
              <w:jc w:val="left"/>
            </w:pPr>
            <w:r>
              <w:rPr>
                <w:rFonts w:ascii="仿宋_GB2312" w:hAnsi="仿宋_GB2312" w:eastAsia="仿宋_GB2312" w:cs="仿宋_GB2312"/>
              </w:rPr>
              <w:t>红鱼洞水库及灌区工程竣工财务决算编制服务</w:t>
            </w:r>
          </w:p>
        </w:tc>
        <w:tc>
          <w:tcPr>
            <w:tcW w:w="821" w:type="dxa"/>
          </w:tcPr>
          <w:p w14:paraId="6A50175C">
            <w:pPr>
              <w:pStyle w:val="4"/>
              <w:jc w:val="right"/>
            </w:pPr>
            <w:r>
              <w:rPr>
                <w:rFonts w:ascii="仿宋_GB2312" w:hAnsi="仿宋_GB2312" w:eastAsia="仿宋_GB2312" w:cs="仿宋_GB2312"/>
              </w:rPr>
              <w:t>1.00（项）</w:t>
            </w:r>
          </w:p>
        </w:tc>
        <w:tc>
          <w:tcPr>
            <w:tcW w:w="821" w:type="dxa"/>
          </w:tcPr>
          <w:p w14:paraId="34D28917">
            <w:pPr>
              <w:pStyle w:val="4"/>
              <w:jc w:val="right"/>
            </w:pPr>
            <w:r>
              <w:rPr>
                <w:rFonts w:ascii="仿宋_GB2312" w:hAnsi="仿宋_GB2312" w:eastAsia="仿宋_GB2312" w:cs="仿宋_GB2312"/>
              </w:rPr>
              <w:t>676,800.00</w:t>
            </w:r>
          </w:p>
        </w:tc>
        <w:tc>
          <w:tcPr>
            <w:tcW w:w="821" w:type="dxa"/>
          </w:tcPr>
          <w:p w14:paraId="50B58DC8">
            <w:pPr>
              <w:pStyle w:val="4"/>
              <w:jc w:val="left"/>
            </w:pPr>
            <w:r>
              <w:rPr>
                <w:rFonts w:ascii="仿宋_GB2312" w:hAnsi="仿宋_GB2312" w:eastAsia="仿宋_GB2312" w:cs="仿宋_GB2312"/>
              </w:rPr>
              <w:t>其他未列明行业</w:t>
            </w:r>
          </w:p>
        </w:tc>
        <w:tc>
          <w:tcPr>
            <w:tcW w:w="821" w:type="dxa"/>
          </w:tcPr>
          <w:p w14:paraId="5BE00282">
            <w:pPr>
              <w:pStyle w:val="4"/>
              <w:jc w:val="left"/>
            </w:pPr>
            <w:r>
              <w:rPr>
                <w:rFonts w:ascii="仿宋_GB2312" w:hAnsi="仿宋_GB2312" w:eastAsia="仿宋_GB2312" w:cs="仿宋_GB2312"/>
              </w:rPr>
              <w:t>否</w:t>
            </w:r>
          </w:p>
        </w:tc>
        <w:tc>
          <w:tcPr>
            <w:tcW w:w="821" w:type="dxa"/>
          </w:tcPr>
          <w:p w14:paraId="4094396D">
            <w:pPr>
              <w:pStyle w:val="4"/>
              <w:jc w:val="left"/>
            </w:pPr>
            <w:r>
              <w:rPr>
                <w:rFonts w:ascii="仿宋_GB2312" w:hAnsi="仿宋_GB2312" w:eastAsia="仿宋_GB2312" w:cs="仿宋_GB2312"/>
              </w:rPr>
              <w:t>否</w:t>
            </w:r>
          </w:p>
        </w:tc>
        <w:tc>
          <w:tcPr>
            <w:tcW w:w="821" w:type="dxa"/>
          </w:tcPr>
          <w:p w14:paraId="119930D6">
            <w:pPr>
              <w:pStyle w:val="4"/>
              <w:jc w:val="left"/>
            </w:pPr>
            <w:r>
              <w:rPr>
                <w:rFonts w:ascii="仿宋_GB2312" w:hAnsi="仿宋_GB2312" w:eastAsia="仿宋_GB2312" w:cs="仿宋_GB2312"/>
              </w:rPr>
              <w:t>否</w:t>
            </w:r>
          </w:p>
        </w:tc>
        <w:tc>
          <w:tcPr>
            <w:tcW w:w="639" w:type="dxa"/>
          </w:tcPr>
          <w:p w14:paraId="0F1723BE">
            <w:pPr>
              <w:pStyle w:val="4"/>
              <w:jc w:val="left"/>
            </w:pPr>
            <w:r>
              <w:rPr>
                <w:rFonts w:ascii="仿宋_GB2312" w:hAnsi="仿宋_GB2312" w:eastAsia="仿宋_GB2312" w:cs="仿宋_GB2312"/>
              </w:rPr>
              <w:t>否</w:t>
            </w:r>
          </w:p>
        </w:tc>
        <w:tc>
          <w:tcPr>
            <w:tcW w:w="639" w:type="dxa"/>
          </w:tcPr>
          <w:p w14:paraId="448925A1">
            <w:pPr>
              <w:pStyle w:val="4"/>
              <w:jc w:val="left"/>
            </w:pPr>
            <w:r>
              <w:rPr>
                <w:rFonts w:ascii="仿宋_GB2312" w:hAnsi="仿宋_GB2312" w:eastAsia="仿宋_GB2312" w:cs="仿宋_GB2312"/>
              </w:rPr>
              <w:t>否</w:t>
            </w:r>
          </w:p>
        </w:tc>
      </w:tr>
    </w:tbl>
    <w:p w14:paraId="10FDD90D">
      <w:pPr>
        <w:pStyle w:val="4"/>
        <w:jc w:val="left"/>
      </w:pPr>
      <w:r>
        <w:rPr>
          <w:rFonts w:ascii="仿宋_GB2312" w:hAnsi="仿宋_GB2312" w:eastAsia="仿宋_GB2312" w:cs="仿宋_GB2312"/>
        </w:rPr>
        <w:t>是否适用本国产品标准：</w:t>
      </w:r>
    </w:p>
    <w:p w14:paraId="6EC917FE">
      <w:pPr>
        <w:pStyle w:val="4"/>
        <w:jc w:val="left"/>
      </w:pPr>
      <w:r>
        <w:rPr>
          <w:rFonts w:ascii="仿宋_GB2312" w:hAnsi="仿宋_GB2312" w:eastAsia="仿宋_GB2312" w:cs="仿宋_GB2312"/>
        </w:rPr>
        <w:t>采购包1：是</w:t>
      </w:r>
    </w:p>
    <w:p w14:paraId="0F247326">
      <w:pPr>
        <w:pStyle w:val="4"/>
        <w:jc w:val="left"/>
        <w:outlineLvl w:val="3"/>
      </w:pPr>
      <w:r>
        <w:rPr>
          <w:rFonts w:ascii="仿宋_GB2312" w:hAnsi="仿宋_GB2312" w:eastAsia="仿宋_GB2312" w:cs="仿宋_GB2312"/>
          <w:b/>
          <w:sz w:val="24"/>
        </w:rPr>
        <w:t>报价要求</w:t>
      </w:r>
    </w:p>
    <w:p w14:paraId="65BD4A7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BBFF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384336">
            <w:pPr>
              <w:pStyle w:val="4"/>
              <w:jc w:val="center"/>
            </w:pPr>
            <w:r>
              <w:rPr>
                <w:rFonts w:ascii="仿宋_GB2312" w:hAnsi="仿宋_GB2312" w:eastAsia="仿宋_GB2312" w:cs="仿宋_GB2312"/>
              </w:rPr>
              <w:t>序号</w:t>
            </w:r>
          </w:p>
        </w:tc>
        <w:tc>
          <w:tcPr>
            <w:tcW w:w="1707" w:type="dxa"/>
          </w:tcPr>
          <w:p w14:paraId="7B4602F4">
            <w:pPr>
              <w:pStyle w:val="4"/>
              <w:jc w:val="center"/>
            </w:pPr>
            <w:r>
              <w:rPr>
                <w:rFonts w:ascii="仿宋_GB2312" w:hAnsi="仿宋_GB2312" w:eastAsia="仿宋_GB2312" w:cs="仿宋_GB2312"/>
              </w:rPr>
              <w:t>报价内容</w:t>
            </w:r>
          </w:p>
        </w:tc>
        <w:tc>
          <w:tcPr>
            <w:tcW w:w="1138" w:type="dxa"/>
          </w:tcPr>
          <w:p w14:paraId="1FB6B630">
            <w:pPr>
              <w:pStyle w:val="4"/>
              <w:jc w:val="center"/>
            </w:pPr>
            <w:r>
              <w:rPr>
                <w:rFonts w:ascii="仿宋_GB2312" w:hAnsi="仿宋_GB2312" w:eastAsia="仿宋_GB2312" w:cs="仿宋_GB2312"/>
              </w:rPr>
              <w:t>数量（计量单位）</w:t>
            </w:r>
          </w:p>
        </w:tc>
        <w:tc>
          <w:tcPr>
            <w:tcW w:w="1365" w:type="dxa"/>
          </w:tcPr>
          <w:p w14:paraId="4A6160CA">
            <w:pPr>
              <w:pStyle w:val="4"/>
              <w:jc w:val="center"/>
            </w:pPr>
            <w:r>
              <w:rPr>
                <w:rFonts w:ascii="仿宋_GB2312" w:hAnsi="仿宋_GB2312" w:eastAsia="仿宋_GB2312" w:cs="仿宋_GB2312"/>
              </w:rPr>
              <w:t>最高限价</w:t>
            </w:r>
          </w:p>
        </w:tc>
        <w:tc>
          <w:tcPr>
            <w:tcW w:w="1138" w:type="dxa"/>
          </w:tcPr>
          <w:p w14:paraId="4F3425E0">
            <w:pPr>
              <w:pStyle w:val="4"/>
              <w:jc w:val="center"/>
            </w:pPr>
            <w:r>
              <w:rPr>
                <w:rFonts w:ascii="仿宋_GB2312" w:hAnsi="仿宋_GB2312" w:eastAsia="仿宋_GB2312" w:cs="仿宋_GB2312"/>
              </w:rPr>
              <w:t>价款形式</w:t>
            </w:r>
          </w:p>
        </w:tc>
        <w:tc>
          <w:tcPr>
            <w:tcW w:w="1934" w:type="dxa"/>
          </w:tcPr>
          <w:p w14:paraId="1A683865">
            <w:pPr>
              <w:pStyle w:val="4"/>
              <w:jc w:val="center"/>
            </w:pPr>
            <w:r>
              <w:rPr>
                <w:rFonts w:ascii="仿宋_GB2312" w:hAnsi="仿宋_GB2312" w:eastAsia="仿宋_GB2312" w:cs="仿宋_GB2312"/>
              </w:rPr>
              <w:t>报价说明</w:t>
            </w:r>
          </w:p>
        </w:tc>
      </w:tr>
      <w:tr w14:paraId="3765A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1F3DCA">
            <w:pPr>
              <w:pStyle w:val="4"/>
              <w:jc w:val="center"/>
            </w:pPr>
            <w:r>
              <w:rPr>
                <w:rFonts w:ascii="仿宋_GB2312" w:hAnsi="仿宋_GB2312" w:eastAsia="仿宋_GB2312" w:cs="仿宋_GB2312"/>
              </w:rPr>
              <w:t>1</w:t>
            </w:r>
          </w:p>
        </w:tc>
        <w:tc>
          <w:tcPr>
            <w:tcW w:w="1707" w:type="dxa"/>
          </w:tcPr>
          <w:p w14:paraId="089A7905">
            <w:pPr>
              <w:pStyle w:val="4"/>
              <w:jc w:val="center"/>
            </w:pPr>
            <w:r>
              <w:rPr>
                <w:rFonts w:ascii="仿宋_GB2312" w:hAnsi="仿宋_GB2312" w:eastAsia="仿宋_GB2312" w:cs="仿宋_GB2312"/>
              </w:rPr>
              <w:t>红鱼洞水库及灌区工程竣工财务决算编制服务</w:t>
            </w:r>
          </w:p>
        </w:tc>
        <w:tc>
          <w:tcPr>
            <w:tcW w:w="1138" w:type="dxa"/>
          </w:tcPr>
          <w:p w14:paraId="7A4A5D02">
            <w:pPr>
              <w:pStyle w:val="4"/>
              <w:jc w:val="center"/>
            </w:pPr>
            <w:r>
              <w:rPr>
                <w:rFonts w:ascii="仿宋_GB2312" w:hAnsi="仿宋_GB2312" w:eastAsia="仿宋_GB2312" w:cs="仿宋_GB2312"/>
              </w:rPr>
              <w:t>1.00（项）</w:t>
            </w:r>
          </w:p>
        </w:tc>
        <w:tc>
          <w:tcPr>
            <w:tcW w:w="1365" w:type="dxa"/>
          </w:tcPr>
          <w:p w14:paraId="0EE5D7EB">
            <w:pPr>
              <w:pStyle w:val="4"/>
              <w:jc w:val="center"/>
            </w:pPr>
            <w:r>
              <w:rPr>
                <w:rFonts w:ascii="仿宋_GB2312" w:hAnsi="仿宋_GB2312" w:eastAsia="仿宋_GB2312" w:cs="仿宋_GB2312"/>
              </w:rPr>
              <w:t>676,800.00</w:t>
            </w:r>
          </w:p>
        </w:tc>
        <w:tc>
          <w:tcPr>
            <w:tcW w:w="1138" w:type="dxa"/>
          </w:tcPr>
          <w:p w14:paraId="65ED6173">
            <w:pPr>
              <w:pStyle w:val="4"/>
              <w:jc w:val="center"/>
            </w:pPr>
            <w:r>
              <w:rPr>
                <w:rFonts w:ascii="仿宋_GB2312" w:hAnsi="仿宋_GB2312" w:eastAsia="仿宋_GB2312" w:cs="仿宋_GB2312"/>
              </w:rPr>
              <w:t>总价</w:t>
            </w:r>
          </w:p>
        </w:tc>
        <w:tc>
          <w:tcPr>
            <w:tcW w:w="1934" w:type="dxa"/>
          </w:tcPr>
          <w:p w14:paraId="10A4C1B9">
            <w:pPr>
              <w:pStyle w:val="4"/>
              <w:jc w:val="left"/>
            </w:pPr>
            <w:r>
              <w:rPr>
                <w:rFonts w:ascii="仿宋_GB2312" w:hAnsi="仿宋_GB2312" w:eastAsia="仿宋_GB2312" w:cs="仿宋_GB2312"/>
              </w:rPr>
              <w:t>无</w:t>
            </w:r>
          </w:p>
        </w:tc>
      </w:tr>
    </w:tbl>
    <w:p w14:paraId="54B4E052">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9DA03B6">
      <w:pPr>
        <w:pStyle w:val="4"/>
        <w:jc w:val="left"/>
        <w:outlineLvl w:val="3"/>
      </w:pPr>
      <w:r>
        <w:rPr>
          <w:rFonts w:ascii="仿宋_GB2312" w:hAnsi="仿宋_GB2312" w:eastAsia="仿宋_GB2312" w:cs="仿宋_GB2312"/>
          <w:b/>
          <w:sz w:val="24"/>
        </w:rPr>
        <w:t>本项目涉及核心产品：</w:t>
      </w:r>
    </w:p>
    <w:p w14:paraId="35050EA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B41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814738">
            <w:pPr>
              <w:pStyle w:val="4"/>
              <w:jc w:val="center"/>
            </w:pPr>
            <w:r>
              <w:rPr>
                <w:rFonts w:ascii="仿宋_GB2312" w:hAnsi="仿宋_GB2312" w:eastAsia="仿宋_GB2312" w:cs="仿宋_GB2312"/>
              </w:rPr>
              <w:t>序号</w:t>
            </w:r>
          </w:p>
        </w:tc>
        <w:tc>
          <w:tcPr>
            <w:tcW w:w="2492" w:type="dxa"/>
          </w:tcPr>
          <w:p w14:paraId="0632F0EB">
            <w:pPr>
              <w:pStyle w:val="4"/>
              <w:jc w:val="center"/>
            </w:pPr>
            <w:r>
              <w:rPr>
                <w:rFonts w:ascii="仿宋_GB2312" w:hAnsi="仿宋_GB2312" w:eastAsia="仿宋_GB2312" w:cs="仿宋_GB2312"/>
              </w:rPr>
              <w:t>采购品目名称</w:t>
            </w:r>
          </w:p>
        </w:tc>
        <w:tc>
          <w:tcPr>
            <w:tcW w:w="2492" w:type="dxa"/>
          </w:tcPr>
          <w:p w14:paraId="42AA60C7">
            <w:pPr>
              <w:pStyle w:val="4"/>
              <w:jc w:val="center"/>
            </w:pPr>
            <w:r>
              <w:rPr>
                <w:rFonts w:ascii="仿宋_GB2312" w:hAnsi="仿宋_GB2312" w:eastAsia="仿宋_GB2312" w:cs="仿宋_GB2312"/>
              </w:rPr>
              <w:t>标的名称</w:t>
            </w:r>
          </w:p>
        </w:tc>
        <w:tc>
          <w:tcPr>
            <w:tcW w:w="2492" w:type="dxa"/>
          </w:tcPr>
          <w:p w14:paraId="1BD55982">
            <w:pPr>
              <w:pStyle w:val="4"/>
              <w:jc w:val="center"/>
            </w:pPr>
            <w:r>
              <w:rPr>
                <w:rFonts w:ascii="仿宋_GB2312" w:hAnsi="仿宋_GB2312" w:eastAsia="仿宋_GB2312" w:cs="仿宋_GB2312"/>
              </w:rPr>
              <w:t>产品名称</w:t>
            </w:r>
          </w:p>
        </w:tc>
      </w:tr>
      <w:tr w14:paraId="0F930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762B501">
            <w:pPr>
              <w:pStyle w:val="4"/>
              <w:jc w:val="center"/>
            </w:pPr>
            <w:r>
              <w:rPr>
                <w:rFonts w:ascii="仿宋_GB2312" w:hAnsi="仿宋_GB2312" w:eastAsia="仿宋_GB2312" w:cs="仿宋_GB2312"/>
              </w:rPr>
              <w:t>不涉及</w:t>
            </w:r>
          </w:p>
        </w:tc>
      </w:tr>
    </w:tbl>
    <w:p w14:paraId="3F483A7D">
      <w:pPr>
        <w:pStyle w:val="4"/>
        <w:ind w:firstLine="480"/>
        <w:jc w:val="left"/>
      </w:pPr>
      <w:r>
        <w:rPr>
          <w:rFonts w:ascii="仿宋_GB2312" w:hAnsi="仿宋_GB2312" w:eastAsia="仿宋_GB2312" w:cs="仿宋_GB2312"/>
        </w:rPr>
        <w:t>注：涉及核心产品的，具体评审规定见第五章。</w:t>
      </w:r>
    </w:p>
    <w:p w14:paraId="16DC68C7">
      <w:pPr>
        <w:pStyle w:val="4"/>
        <w:jc w:val="left"/>
        <w:outlineLvl w:val="3"/>
      </w:pPr>
      <w:r>
        <w:rPr>
          <w:rFonts w:ascii="仿宋_GB2312" w:hAnsi="仿宋_GB2312" w:eastAsia="仿宋_GB2312" w:cs="仿宋_GB2312"/>
          <w:b/>
          <w:sz w:val="24"/>
        </w:rPr>
        <w:t>本项目涉及采购进口产品：</w:t>
      </w:r>
    </w:p>
    <w:p w14:paraId="653DE13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7DC3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906E8D">
            <w:pPr>
              <w:pStyle w:val="4"/>
              <w:jc w:val="center"/>
            </w:pPr>
            <w:r>
              <w:rPr>
                <w:rFonts w:ascii="仿宋_GB2312" w:hAnsi="仿宋_GB2312" w:eastAsia="仿宋_GB2312" w:cs="仿宋_GB2312"/>
              </w:rPr>
              <w:t>序号</w:t>
            </w:r>
          </w:p>
        </w:tc>
        <w:tc>
          <w:tcPr>
            <w:tcW w:w="2492" w:type="dxa"/>
          </w:tcPr>
          <w:p w14:paraId="7F957B76">
            <w:pPr>
              <w:pStyle w:val="4"/>
              <w:jc w:val="center"/>
            </w:pPr>
            <w:r>
              <w:rPr>
                <w:rFonts w:ascii="仿宋_GB2312" w:hAnsi="仿宋_GB2312" w:eastAsia="仿宋_GB2312" w:cs="仿宋_GB2312"/>
              </w:rPr>
              <w:t>采购品目名称</w:t>
            </w:r>
          </w:p>
        </w:tc>
        <w:tc>
          <w:tcPr>
            <w:tcW w:w="2492" w:type="dxa"/>
          </w:tcPr>
          <w:p w14:paraId="6505C201">
            <w:pPr>
              <w:pStyle w:val="4"/>
              <w:jc w:val="center"/>
            </w:pPr>
            <w:r>
              <w:rPr>
                <w:rFonts w:ascii="仿宋_GB2312" w:hAnsi="仿宋_GB2312" w:eastAsia="仿宋_GB2312" w:cs="仿宋_GB2312"/>
              </w:rPr>
              <w:t>标的名称</w:t>
            </w:r>
          </w:p>
        </w:tc>
        <w:tc>
          <w:tcPr>
            <w:tcW w:w="2492" w:type="dxa"/>
          </w:tcPr>
          <w:p w14:paraId="7A743C4A">
            <w:pPr>
              <w:pStyle w:val="4"/>
              <w:jc w:val="center"/>
            </w:pPr>
            <w:r>
              <w:rPr>
                <w:rFonts w:ascii="仿宋_GB2312" w:hAnsi="仿宋_GB2312" w:eastAsia="仿宋_GB2312" w:cs="仿宋_GB2312"/>
              </w:rPr>
              <w:t>产品名称</w:t>
            </w:r>
          </w:p>
        </w:tc>
      </w:tr>
      <w:tr w14:paraId="4E174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53BB80C">
            <w:pPr>
              <w:pStyle w:val="4"/>
              <w:jc w:val="center"/>
            </w:pPr>
            <w:r>
              <w:rPr>
                <w:rFonts w:ascii="仿宋_GB2312" w:hAnsi="仿宋_GB2312" w:eastAsia="仿宋_GB2312" w:cs="仿宋_GB2312"/>
              </w:rPr>
              <w:t>不涉及</w:t>
            </w:r>
          </w:p>
        </w:tc>
      </w:tr>
    </w:tbl>
    <w:p w14:paraId="1EDF965E">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C892804">
      <w:pPr>
        <w:pStyle w:val="4"/>
        <w:jc w:val="left"/>
        <w:outlineLvl w:val="3"/>
      </w:pPr>
      <w:r>
        <w:rPr>
          <w:rFonts w:ascii="仿宋_GB2312" w:hAnsi="仿宋_GB2312" w:eastAsia="仿宋_GB2312" w:cs="仿宋_GB2312"/>
          <w:b/>
          <w:sz w:val="24"/>
        </w:rPr>
        <w:t>本项目涉及强制采购节能产品：</w:t>
      </w:r>
    </w:p>
    <w:p w14:paraId="52E7D18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7C9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2BF916">
            <w:pPr>
              <w:pStyle w:val="4"/>
              <w:jc w:val="center"/>
            </w:pPr>
            <w:r>
              <w:rPr>
                <w:rFonts w:ascii="仿宋_GB2312" w:hAnsi="仿宋_GB2312" w:eastAsia="仿宋_GB2312" w:cs="仿宋_GB2312"/>
              </w:rPr>
              <w:t>序号</w:t>
            </w:r>
          </w:p>
        </w:tc>
        <w:tc>
          <w:tcPr>
            <w:tcW w:w="2492" w:type="dxa"/>
          </w:tcPr>
          <w:p w14:paraId="5A4BD34B">
            <w:pPr>
              <w:pStyle w:val="4"/>
              <w:jc w:val="center"/>
            </w:pPr>
            <w:r>
              <w:rPr>
                <w:rFonts w:ascii="仿宋_GB2312" w:hAnsi="仿宋_GB2312" w:eastAsia="仿宋_GB2312" w:cs="仿宋_GB2312"/>
              </w:rPr>
              <w:t>采购品目名称</w:t>
            </w:r>
          </w:p>
        </w:tc>
        <w:tc>
          <w:tcPr>
            <w:tcW w:w="2492" w:type="dxa"/>
          </w:tcPr>
          <w:p w14:paraId="46D8442A">
            <w:pPr>
              <w:pStyle w:val="4"/>
              <w:jc w:val="center"/>
            </w:pPr>
            <w:r>
              <w:rPr>
                <w:rFonts w:ascii="仿宋_GB2312" w:hAnsi="仿宋_GB2312" w:eastAsia="仿宋_GB2312" w:cs="仿宋_GB2312"/>
              </w:rPr>
              <w:t>标的名称</w:t>
            </w:r>
          </w:p>
        </w:tc>
        <w:tc>
          <w:tcPr>
            <w:tcW w:w="2492" w:type="dxa"/>
          </w:tcPr>
          <w:p w14:paraId="65ED0052">
            <w:pPr>
              <w:pStyle w:val="4"/>
              <w:jc w:val="center"/>
            </w:pPr>
            <w:r>
              <w:rPr>
                <w:rFonts w:ascii="仿宋_GB2312" w:hAnsi="仿宋_GB2312" w:eastAsia="仿宋_GB2312" w:cs="仿宋_GB2312"/>
              </w:rPr>
              <w:t>产品名称</w:t>
            </w:r>
          </w:p>
        </w:tc>
      </w:tr>
      <w:tr w14:paraId="306F9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B12095">
            <w:pPr>
              <w:pStyle w:val="4"/>
              <w:jc w:val="center"/>
            </w:pPr>
            <w:r>
              <w:rPr>
                <w:rFonts w:ascii="仿宋_GB2312" w:hAnsi="仿宋_GB2312" w:eastAsia="仿宋_GB2312" w:cs="仿宋_GB2312"/>
              </w:rPr>
              <w:t>不涉及</w:t>
            </w:r>
          </w:p>
        </w:tc>
      </w:tr>
    </w:tbl>
    <w:p w14:paraId="002EDF0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1C1A431">
      <w:pPr>
        <w:pStyle w:val="4"/>
        <w:jc w:val="left"/>
      </w:pPr>
      <w:r>
        <w:rPr>
          <w:rFonts w:ascii="仿宋_GB2312" w:hAnsi="仿宋_GB2312" w:eastAsia="仿宋_GB2312" w:cs="仿宋_GB2312"/>
          <w:b/>
        </w:rPr>
        <w:t>本项目涉及优先采购节能产品：</w:t>
      </w:r>
    </w:p>
    <w:p w14:paraId="6EFD4CD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D7E8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73A48">
            <w:pPr>
              <w:pStyle w:val="4"/>
              <w:jc w:val="center"/>
            </w:pPr>
            <w:r>
              <w:rPr>
                <w:rFonts w:ascii="仿宋_GB2312" w:hAnsi="仿宋_GB2312" w:eastAsia="仿宋_GB2312" w:cs="仿宋_GB2312"/>
              </w:rPr>
              <w:t>序号</w:t>
            </w:r>
          </w:p>
        </w:tc>
        <w:tc>
          <w:tcPr>
            <w:tcW w:w="2492" w:type="dxa"/>
          </w:tcPr>
          <w:p w14:paraId="7E048C4D">
            <w:pPr>
              <w:pStyle w:val="4"/>
              <w:jc w:val="center"/>
            </w:pPr>
            <w:r>
              <w:rPr>
                <w:rFonts w:ascii="仿宋_GB2312" w:hAnsi="仿宋_GB2312" w:eastAsia="仿宋_GB2312" w:cs="仿宋_GB2312"/>
              </w:rPr>
              <w:t>采购品目名称</w:t>
            </w:r>
          </w:p>
        </w:tc>
        <w:tc>
          <w:tcPr>
            <w:tcW w:w="2492" w:type="dxa"/>
          </w:tcPr>
          <w:p w14:paraId="56C7A5E1">
            <w:pPr>
              <w:pStyle w:val="4"/>
              <w:jc w:val="center"/>
            </w:pPr>
            <w:r>
              <w:rPr>
                <w:rFonts w:ascii="仿宋_GB2312" w:hAnsi="仿宋_GB2312" w:eastAsia="仿宋_GB2312" w:cs="仿宋_GB2312"/>
              </w:rPr>
              <w:t>标的名称</w:t>
            </w:r>
          </w:p>
        </w:tc>
        <w:tc>
          <w:tcPr>
            <w:tcW w:w="2492" w:type="dxa"/>
          </w:tcPr>
          <w:p w14:paraId="50161E91">
            <w:pPr>
              <w:pStyle w:val="4"/>
              <w:jc w:val="center"/>
            </w:pPr>
            <w:r>
              <w:rPr>
                <w:rFonts w:ascii="仿宋_GB2312" w:hAnsi="仿宋_GB2312" w:eastAsia="仿宋_GB2312" w:cs="仿宋_GB2312"/>
              </w:rPr>
              <w:t>产品名称</w:t>
            </w:r>
          </w:p>
        </w:tc>
      </w:tr>
      <w:tr w14:paraId="69583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18159B8">
            <w:pPr>
              <w:pStyle w:val="4"/>
              <w:jc w:val="center"/>
            </w:pPr>
            <w:r>
              <w:rPr>
                <w:rFonts w:ascii="仿宋_GB2312" w:hAnsi="仿宋_GB2312" w:eastAsia="仿宋_GB2312" w:cs="仿宋_GB2312"/>
              </w:rPr>
              <w:t>不涉及</w:t>
            </w:r>
          </w:p>
        </w:tc>
      </w:tr>
    </w:tbl>
    <w:p w14:paraId="69EEAE5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363EFAD">
      <w:pPr>
        <w:pStyle w:val="4"/>
        <w:jc w:val="left"/>
        <w:outlineLvl w:val="3"/>
      </w:pPr>
      <w:r>
        <w:rPr>
          <w:rFonts w:ascii="仿宋_GB2312" w:hAnsi="仿宋_GB2312" w:eastAsia="仿宋_GB2312" w:cs="仿宋_GB2312"/>
          <w:b/>
          <w:sz w:val="24"/>
        </w:rPr>
        <w:t>本项目涉及优先采购环境标志产品：</w:t>
      </w:r>
    </w:p>
    <w:p w14:paraId="7CBF9F9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295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19B51E">
            <w:pPr>
              <w:pStyle w:val="4"/>
              <w:jc w:val="center"/>
            </w:pPr>
            <w:r>
              <w:rPr>
                <w:rFonts w:ascii="仿宋_GB2312" w:hAnsi="仿宋_GB2312" w:eastAsia="仿宋_GB2312" w:cs="仿宋_GB2312"/>
              </w:rPr>
              <w:t>序号</w:t>
            </w:r>
          </w:p>
        </w:tc>
        <w:tc>
          <w:tcPr>
            <w:tcW w:w="2492" w:type="dxa"/>
          </w:tcPr>
          <w:p w14:paraId="56ACFB94">
            <w:pPr>
              <w:pStyle w:val="4"/>
              <w:jc w:val="center"/>
            </w:pPr>
            <w:r>
              <w:rPr>
                <w:rFonts w:ascii="仿宋_GB2312" w:hAnsi="仿宋_GB2312" w:eastAsia="仿宋_GB2312" w:cs="仿宋_GB2312"/>
              </w:rPr>
              <w:t>采购品目名称</w:t>
            </w:r>
          </w:p>
        </w:tc>
        <w:tc>
          <w:tcPr>
            <w:tcW w:w="2492" w:type="dxa"/>
          </w:tcPr>
          <w:p w14:paraId="69E72DA8">
            <w:pPr>
              <w:pStyle w:val="4"/>
              <w:jc w:val="center"/>
            </w:pPr>
            <w:r>
              <w:rPr>
                <w:rFonts w:ascii="仿宋_GB2312" w:hAnsi="仿宋_GB2312" w:eastAsia="仿宋_GB2312" w:cs="仿宋_GB2312"/>
              </w:rPr>
              <w:t>标的名称</w:t>
            </w:r>
          </w:p>
        </w:tc>
        <w:tc>
          <w:tcPr>
            <w:tcW w:w="2492" w:type="dxa"/>
          </w:tcPr>
          <w:p w14:paraId="2801E130">
            <w:pPr>
              <w:pStyle w:val="4"/>
              <w:jc w:val="center"/>
            </w:pPr>
            <w:r>
              <w:rPr>
                <w:rFonts w:ascii="仿宋_GB2312" w:hAnsi="仿宋_GB2312" w:eastAsia="仿宋_GB2312" w:cs="仿宋_GB2312"/>
              </w:rPr>
              <w:t>产品名称</w:t>
            </w:r>
          </w:p>
        </w:tc>
      </w:tr>
      <w:tr w14:paraId="20951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B351B1">
            <w:pPr>
              <w:pStyle w:val="4"/>
              <w:jc w:val="center"/>
            </w:pPr>
            <w:r>
              <w:rPr>
                <w:rFonts w:ascii="仿宋_GB2312" w:hAnsi="仿宋_GB2312" w:eastAsia="仿宋_GB2312" w:cs="仿宋_GB2312"/>
              </w:rPr>
              <w:t>不涉及</w:t>
            </w:r>
          </w:p>
        </w:tc>
      </w:tr>
    </w:tbl>
    <w:p w14:paraId="4B0AA2DD">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044801D">
      <w:pPr>
        <w:pStyle w:val="4"/>
        <w:jc w:val="left"/>
        <w:outlineLvl w:val="2"/>
      </w:pPr>
      <w:r>
        <w:rPr>
          <w:rFonts w:ascii="仿宋_GB2312" w:hAnsi="仿宋_GB2312" w:eastAsia="仿宋_GB2312" w:cs="仿宋_GB2312"/>
          <w:b/>
          <w:sz w:val="28"/>
        </w:rPr>
        <w:t>3.2.技术要求</w:t>
      </w:r>
    </w:p>
    <w:p w14:paraId="4F1E8958">
      <w:pPr>
        <w:pStyle w:val="4"/>
        <w:jc w:val="left"/>
      </w:pPr>
      <w:r>
        <w:rPr>
          <w:rFonts w:ascii="仿宋_GB2312" w:hAnsi="仿宋_GB2312" w:eastAsia="仿宋_GB2312" w:cs="仿宋_GB2312"/>
        </w:rPr>
        <w:t>采购包1：</w:t>
      </w:r>
    </w:p>
    <w:p w14:paraId="714AD0C7">
      <w:pPr>
        <w:pStyle w:val="4"/>
        <w:jc w:val="left"/>
      </w:pPr>
      <w:r>
        <w:rPr>
          <w:rFonts w:ascii="仿宋_GB2312" w:hAnsi="仿宋_GB2312" w:eastAsia="仿宋_GB2312" w:cs="仿宋_GB2312"/>
        </w:rPr>
        <w:t>标的名称：红鱼洞水库及灌区工程竣工财务决算编制服务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80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2A62D3">
            <w:pPr>
              <w:pStyle w:val="4"/>
              <w:jc w:val="center"/>
            </w:pPr>
            <w:r>
              <w:rPr>
                <w:rFonts w:ascii="仿宋_GB2312" w:hAnsi="仿宋_GB2312" w:eastAsia="仿宋_GB2312" w:cs="仿宋_GB2312"/>
              </w:rPr>
              <w:t>序号</w:t>
            </w:r>
          </w:p>
        </w:tc>
        <w:tc>
          <w:tcPr>
            <w:tcW w:w="581" w:type="dxa"/>
          </w:tcPr>
          <w:p w14:paraId="05B0A38D">
            <w:pPr>
              <w:pStyle w:val="4"/>
              <w:jc w:val="center"/>
            </w:pPr>
            <w:r>
              <w:rPr>
                <w:rFonts w:ascii="仿宋_GB2312" w:hAnsi="仿宋_GB2312" w:eastAsia="仿宋_GB2312" w:cs="仿宋_GB2312"/>
              </w:rPr>
              <w:t>符号标识</w:t>
            </w:r>
          </w:p>
        </w:tc>
        <w:tc>
          <w:tcPr>
            <w:tcW w:w="1495" w:type="dxa"/>
          </w:tcPr>
          <w:p w14:paraId="25B151FF">
            <w:pPr>
              <w:pStyle w:val="4"/>
              <w:jc w:val="center"/>
            </w:pPr>
            <w:r>
              <w:rPr>
                <w:rFonts w:ascii="仿宋_GB2312" w:hAnsi="仿宋_GB2312" w:eastAsia="仿宋_GB2312" w:cs="仿宋_GB2312"/>
              </w:rPr>
              <w:t>技术要求名称</w:t>
            </w:r>
          </w:p>
        </w:tc>
        <w:tc>
          <w:tcPr>
            <w:tcW w:w="5814" w:type="dxa"/>
          </w:tcPr>
          <w:p w14:paraId="62B238E7">
            <w:pPr>
              <w:pStyle w:val="4"/>
              <w:jc w:val="center"/>
            </w:pPr>
            <w:r>
              <w:rPr>
                <w:rFonts w:ascii="仿宋_GB2312" w:hAnsi="仿宋_GB2312" w:eastAsia="仿宋_GB2312" w:cs="仿宋_GB2312"/>
              </w:rPr>
              <w:t>技术参数与性能指标</w:t>
            </w:r>
          </w:p>
        </w:tc>
      </w:tr>
      <w:tr w14:paraId="5F841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917B9">
            <w:pPr>
              <w:pStyle w:val="4"/>
              <w:jc w:val="center"/>
            </w:pPr>
            <w:r>
              <w:rPr>
                <w:rFonts w:ascii="仿宋_GB2312" w:hAnsi="仿宋_GB2312" w:eastAsia="仿宋_GB2312" w:cs="仿宋_GB2312"/>
              </w:rPr>
              <w:t>1</w:t>
            </w:r>
          </w:p>
        </w:tc>
        <w:tc>
          <w:tcPr>
            <w:tcW w:w="581" w:type="dxa"/>
          </w:tcPr>
          <w:p w14:paraId="40AA06A0"/>
        </w:tc>
        <w:tc>
          <w:tcPr>
            <w:tcW w:w="1495" w:type="dxa"/>
          </w:tcPr>
          <w:p w14:paraId="643FD079">
            <w:pPr>
              <w:pStyle w:val="4"/>
              <w:jc w:val="left"/>
            </w:pPr>
            <w:r>
              <w:rPr>
                <w:rFonts w:ascii="仿宋_GB2312" w:hAnsi="仿宋_GB2312" w:eastAsia="仿宋_GB2312" w:cs="仿宋_GB2312"/>
              </w:rPr>
              <w:t>技术服务要求</w:t>
            </w:r>
          </w:p>
        </w:tc>
        <w:tc>
          <w:tcPr>
            <w:tcW w:w="5814" w:type="dxa"/>
          </w:tcPr>
          <w:p w14:paraId="3875F3F7">
            <w:pPr>
              <w:pStyle w:val="4"/>
              <w:ind w:firstLine="482"/>
              <w:jc w:val="both"/>
            </w:pPr>
            <w:r>
              <w:rPr>
                <w:rFonts w:ascii="仿宋_GB2312" w:hAnsi="仿宋_GB2312" w:eastAsia="仿宋_GB2312" w:cs="仿宋_GB2312"/>
                <w:b/>
                <w:sz w:val="24"/>
              </w:rPr>
              <w:t>一、项目基本情况</w:t>
            </w:r>
          </w:p>
          <w:p w14:paraId="4F15C3DB">
            <w:pPr>
              <w:pStyle w:val="4"/>
              <w:ind w:firstLine="482"/>
              <w:jc w:val="both"/>
            </w:pPr>
            <w:r>
              <w:rPr>
                <w:rFonts w:ascii="仿宋_GB2312" w:hAnsi="仿宋_GB2312" w:eastAsia="仿宋_GB2312" w:cs="仿宋_GB2312"/>
                <w:b/>
                <w:sz w:val="24"/>
              </w:rPr>
              <w:t>1、项目背景</w:t>
            </w:r>
          </w:p>
          <w:p w14:paraId="60687A9A">
            <w:pPr>
              <w:pStyle w:val="4"/>
              <w:ind w:firstLine="480"/>
              <w:jc w:val="both"/>
            </w:pPr>
            <w:r>
              <w:rPr>
                <w:rFonts w:ascii="仿宋_GB2312" w:hAnsi="仿宋_GB2312" w:eastAsia="仿宋_GB2312" w:cs="仿宋_GB2312"/>
                <w:sz w:val="24"/>
              </w:rPr>
              <w:t>红鱼洞水库及灌区工程是一项综合性水利基础设施项目，主要由大坝枢纽（含导流洞）、干渠、支渠及分干渠等部分组成。项目已陆续完成建设并投入使用，根据《基本建设财务规则》《基本建设项目竣工财务决算管理暂行办法》及《水利基本建设项目竣工财务决算编制规程》（SL/T19-2023）等规定开展竣工财务决算编制工作。</w:t>
            </w:r>
          </w:p>
          <w:p w14:paraId="103120A7">
            <w:pPr>
              <w:pStyle w:val="4"/>
              <w:ind w:firstLine="482"/>
              <w:jc w:val="both"/>
            </w:pPr>
            <w:r>
              <w:rPr>
                <w:rFonts w:ascii="仿宋_GB2312" w:hAnsi="仿宋_GB2312" w:eastAsia="仿宋_GB2312" w:cs="仿宋_GB2312"/>
                <w:b/>
                <w:sz w:val="24"/>
              </w:rPr>
              <w:t>2、项目特点</w:t>
            </w:r>
          </w:p>
          <w:p w14:paraId="2D80948D">
            <w:pPr>
              <w:pStyle w:val="4"/>
              <w:ind w:firstLine="480"/>
              <w:jc w:val="both"/>
            </w:pPr>
            <w:r>
              <w:rPr>
                <w:rFonts w:ascii="仿宋_GB2312" w:hAnsi="仿宋_GB2312" w:eastAsia="仿宋_GB2312" w:cs="仿宋_GB2312"/>
                <w:sz w:val="24"/>
              </w:rPr>
              <w:t>工程位于四川省巴中市南江县桥亭镇，地处南江河上游、渠江流域上游，集雨面积316km²，总库容1.67亿m³，兴利库容1.31亿m³，正常蓄水位650m。主坝为沥青混凝土心墙堆石坝，坝高104.8m、坝顶长290m，是国内百米级沥青心墙堆石坝代表工程；项目总投资约31.89亿元，2015年6月开工建设，大坝枢纽和导流隧洞已完工，灌区工程即将完工。</w:t>
            </w:r>
          </w:p>
          <w:p w14:paraId="3D037506">
            <w:pPr>
              <w:pStyle w:val="4"/>
              <w:ind w:firstLine="482"/>
              <w:jc w:val="both"/>
            </w:pPr>
            <w:r>
              <w:rPr>
                <w:rFonts w:ascii="仿宋_GB2312" w:hAnsi="仿宋_GB2312" w:eastAsia="仿宋_GB2312" w:cs="仿宋_GB2312"/>
                <w:b/>
                <w:sz w:val="24"/>
              </w:rPr>
              <w:t>3、资金来源</w:t>
            </w:r>
          </w:p>
          <w:p w14:paraId="02EF5FBF">
            <w:pPr>
              <w:pStyle w:val="4"/>
              <w:ind w:firstLine="480"/>
              <w:jc w:val="both"/>
            </w:pPr>
            <w:r>
              <w:rPr>
                <w:rFonts w:ascii="仿宋_GB2312" w:hAnsi="仿宋_GB2312" w:eastAsia="仿宋_GB2312" w:cs="仿宋_GB2312"/>
                <w:sz w:val="24"/>
              </w:rPr>
              <w:t>项目建设资金已按计划落实（包括财政资金、贷款等），符合竣工财务决算编制条件。</w:t>
            </w:r>
          </w:p>
          <w:p w14:paraId="2E0376A9">
            <w:pPr>
              <w:pStyle w:val="4"/>
              <w:ind w:firstLine="482"/>
              <w:jc w:val="both"/>
            </w:pPr>
            <w:r>
              <w:rPr>
                <w:rFonts w:ascii="仿宋_GB2312" w:hAnsi="仿宋_GB2312" w:eastAsia="仿宋_GB2312" w:cs="仿宋_GB2312"/>
                <w:b/>
                <w:sz w:val="24"/>
              </w:rPr>
              <w:t>二、服务范围与内容</w:t>
            </w:r>
          </w:p>
          <w:p w14:paraId="30ED6CCF">
            <w:pPr>
              <w:pStyle w:val="4"/>
              <w:ind w:firstLine="480"/>
              <w:jc w:val="both"/>
            </w:pPr>
            <w:r>
              <w:rPr>
                <w:rFonts w:ascii="仿宋_GB2312" w:hAnsi="仿宋_GB2312" w:eastAsia="仿宋_GB2312" w:cs="仿宋_GB2312"/>
                <w:sz w:val="24"/>
              </w:rPr>
              <w:t>1、严格遵循国家法律法规、水利行业规范完成红鱼洞水库及灌区工程竣工财务决算编制工作，确保编制内容真实、数据准确、程序合规、格式规范。采用分段编制、最终汇总的工作模式，包括但不限于以下两个阶段及编制内容：</w:t>
            </w:r>
          </w:p>
          <w:p w14:paraId="0A73055C">
            <w:pPr>
              <w:pStyle w:val="4"/>
              <w:ind w:firstLine="480"/>
              <w:jc w:val="both"/>
            </w:pPr>
            <w:r>
              <w:rPr>
                <w:rFonts w:ascii="仿宋_GB2312" w:hAnsi="仿宋_GB2312" w:eastAsia="仿宋_GB2312" w:cs="仿宋_GB2312"/>
                <w:sz w:val="24"/>
              </w:rPr>
              <w:t>第一阶段：完成大坝枢纽及导流隧洞工程竣工财务决算编制</w:t>
            </w:r>
          </w:p>
          <w:p w14:paraId="6AFBC304">
            <w:pPr>
              <w:pStyle w:val="4"/>
              <w:ind w:firstLine="480"/>
              <w:jc w:val="both"/>
            </w:pPr>
            <w:r>
              <w:rPr>
                <w:rFonts w:ascii="仿宋_GB2312" w:hAnsi="仿宋_GB2312" w:eastAsia="仿宋_GB2312" w:cs="仿宋_GB2312"/>
                <w:sz w:val="24"/>
              </w:rPr>
              <w:t>第二阶段：完成灌区竣工财务决算编制，并汇总形成整体项目竣工财务总决算。</w:t>
            </w:r>
          </w:p>
          <w:p w14:paraId="754832F4">
            <w:pPr>
              <w:pStyle w:val="4"/>
              <w:ind w:firstLine="482"/>
              <w:jc w:val="both"/>
            </w:pPr>
            <w:r>
              <w:rPr>
                <w:rFonts w:ascii="仿宋_GB2312" w:hAnsi="仿宋_GB2312" w:eastAsia="仿宋_GB2312" w:cs="仿宋_GB2312"/>
                <w:b/>
                <w:sz w:val="24"/>
              </w:rPr>
              <w:t>2、具体工作内容</w:t>
            </w:r>
          </w:p>
          <w:p w14:paraId="62457A85">
            <w:pPr>
              <w:pStyle w:val="4"/>
              <w:ind w:firstLine="482"/>
              <w:jc w:val="both"/>
            </w:pPr>
            <w:r>
              <w:rPr>
                <w:rFonts w:ascii="仿宋_GB2312" w:hAnsi="仿宋_GB2312" w:eastAsia="仿宋_GB2312" w:cs="仿宋_GB2312"/>
                <w:b/>
                <w:sz w:val="24"/>
              </w:rPr>
              <w:t>2.1基础资料梳理与审核</w:t>
            </w:r>
          </w:p>
          <w:p w14:paraId="77588CF3">
            <w:pPr>
              <w:pStyle w:val="4"/>
              <w:ind w:firstLine="480"/>
              <w:jc w:val="both"/>
            </w:pPr>
            <w:r>
              <w:rPr>
                <w:rFonts w:ascii="仿宋_GB2312" w:hAnsi="仿宋_GB2312" w:eastAsia="仿宋_GB2312" w:cs="仿宋_GB2312"/>
                <w:sz w:val="24"/>
              </w:rPr>
              <w:t>全面梳理、归集、审核项目建设全过程资料，具体包括但不限于：项目立项批复、工程结算等资料；资金到位凭证（如财政拨款文件、自筹资金证明、贷款合同等）；建设成本支出明细（涵盖建筑安装工程投资、设备投资、待摊投资、其他投资等）；合同台账及履行情况（含工程合同、设备采购合同、服务合同等）；付款记录及税费缴纳凭证；往来款项明细（包括应收应付款、预付款、质保金、保证金等）；项目形成的各类资产（包括建（构）筑物、设备、附属设施、办公设施设备、无形资产等）；以及银行对账单、会计凭证、会计账簿、财务报表等相关资料。对基础资料进行分类核对整理，建立完善的资料台账，确保资料完整，对缺失和问题资料出具资料补正清单。</w:t>
            </w:r>
          </w:p>
          <w:p w14:paraId="2F4E94EC">
            <w:pPr>
              <w:pStyle w:val="4"/>
              <w:ind w:firstLine="482"/>
              <w:jc w:val="both"/>
            </w:pPr>
            <w:r>
              <w:rPr>
                <w:rFonts w:ascii="仿宋_GB2312" w:hAnsi="仿宋_GB2312" w:eastAsia="仿宋_GB2312" w:cs="仿宋_GB2312"/>
                <w:b/>
                <w:sz w:val="24"/>
              </w:rPr>
              <w:t>2.2财务清理与成本归集</w:t>
            </w:r>
          </w:p>
          <w:p w14:paraId="5429C805">
            <w:pPr>
              <w:pStyle w:val="4"/>
              <w:ind w:firstLine="480"/>
              <w:jc w:val="left"/>
            </w:pPr>
            <w:r>
              <w:rPr>
                <w:rFonts w:ascii="仿宋_GB2312" w:hAnsi="仿宋_GB2312" w:eastAsia="仿宋_GB2312" w:cs="仿宋_GB2312"/>
                <w:sz w:val="24"/>
              </w:rPr>
              <w:t>审核项目资金来源与使用的合规性，确保每一笔资金的使用均有据可依；全面核实建设投资完成情况，确保各项数据真实、准确，系统清理各项债权债务，认真核对工程、物资、设备等款项的结算情况，确保往来款项清晰无误。规范核算项目建设成本，合理划分待摊投资支出，并完成建设成本的归集与分摊工作，特别是涉及多个单项工程的共用成本，需确保分摊依据充分、结果合理。清理项目结余资金，逐项核实实物资产并提出处置意见和账务调整建议，为竣工财务决算的编制提供准确、完整的基础数据。</w:t>
            </w:r>
          </w:p>
          <w:p w14:paraId="7DFC138A">
            <w:pPr>
              <w:pStyle w:val="4"/>
              <w:ind w:firstLine="482"/>
              <w:jc w:val="both"/>
            </w:pPr>
            <w:r>
              <w:rPr>
                <w:rFonts w:ascii="仿宋_GB2312" w:hAnsi="仿宋_GB2312" w:eastAsia="仿宋_GB2312" w:cs="仿宋_GB2312"/>
                <w:b/>
                <w:sz w:val="24"/>
              </w:rPr>
              <w:t>2.3 决算报告编制</w:t>
            </w:r>
          </w:p>
          <w:p w14:paraId="22C85C44">
            <w:pPr>
              <w:pStyle w:val="4"/>
              <w:ind w:firstLine="480"/>
              <w:jc w:val="both"/>
            </w:pPr>
            <w:r>
              <w:rPr>
                <w:rFonts w:ascii="仿宋_GB2312" w:hAnsi="仿宋_GB2312" w:eastAsia="仿宋_GB2312" w:cs="仿宋_GB2312"/>
                <w:sz w:val="24"/>
              </w:rPr>
              <w:t>依据国家及行业规定编制竣工财务决算报告，主要内容包括：一是竣工财务决算报表，需严格按照《水利基本建设项目竣工财务决算编制规程》（SL/T19-2023）规定的格式进行编制，具体涵盖基本建设竣工财务决算报表、财务情况表、交付使用资产总表、交付使用资产明细表等；二是竣工财务决算说明书，需对项目概况、资金来源、投资完成情况、概算执行情况、建设成本分析，结余资金情况、资产移交情况等进行详细说明；三是相关附表及附注，包括待摊费用归集及分摊清单、资金到位及使用情况表、合同履行及结算情况汇总表、固定资产明细表等，确保决算报告内容完整、数据准确、格式规范。</w:t>
            </w:r>
          </w:p>
          <w:p w14:paraId="7378EAAE">
            <w:pPr>
              <w:pStyle w:val="4"/>
              <w:ind w:firstLine="482"/>
              <w:jc w:val="both"/>
            </w:pPr>
            <w:r>
              <w:rPr>
                <w:rFonts w:ascii="仿宋_GB2312" w:hAnsi="仿宋_GB2312" w:eastAsia="仿宋_GB2312" w:cs="仿宋_GB2312"/>
                <w:b/>
                <w:sz w:val="24"/>
              </w:rPr>
              <w:t>2.4审核配合与后续服务</w:t>
            </w:r>
          </w:p>
          <w:p w14:paraId="4C654C21">
            <w:pPr>
              <w:pStyle w:val="4"/>
              <w:ind w:firstLine="480"/>
              <w:jc w:val="left"/>
            </w:pPr>
            <w:r>
              <w:rPr>
                <w:rFonts w:ascii="仿宋_GB2312" w:hAnsi="仿宋_GB2312" w:eastAsia="仿宋_GB2312" w:cs="仿宋_GB2312"/>
                <w:sz w:val="24"/>
              </w:rPr>
              <w:t>配合完成竣工财务决算的全流程审核与后续工作：1.需积极协助采购人完成内部审核及相关部门审查，并全力配合审计机关或社会审计机构开展的竣工财务决算专项审计工作；2.根据审核及审计意见，及时对决算报告进行修改和完善；3.配合完成决算报告的备案及归档工作，并协助做好项目资产移交及产权登记等相关后续事务；4.承担项目通过相关部门审核或备案后，配合各类检查、巡视及后续审计中涉及竣工财务决算的答疑解释工作，确保项目顺利通过最终审核或备案。</w:t>
            </w:r>
          </w:p>
          <w:p w14:paraId="2D117EE9">
            <w:pPr>
              <w:pStyle w:val="4"/>
              <w:ind w:firstLine="482"/>
              <w:jc w:val="both"/>
            </w:pPr>
            <w:r>
              <w:rPr>
                <w:rFonts w:ascii="仿宋_GB2312" w:hAnsi="仿宋_GB2312" w:eastAsia="仿宋_GB2312" w:cs="仿宋_GB2312"/>
                <w:b/>
                <w:sz w:val="24"/>
              </w:rPr>
              <w:t>3、服务标准与依据</w:t>
            </w:r>
          </w:p>
          <w:p w14:paraId="67F7FDAD">
            <w:pPr>
              <w:pStyle w:val="4"/>
              <w:ind w:firstLine="480"/>
              <w:jc w:val="left"/>
            </w:pPr>
            <w:r>
              <w:rPr>
                <w:rFonts w:ascii="仿宋_GB2312" w:hAnsi="仿宋_GB2312" w:eastAsia="仿宋_GB2312" w:cs="仿宋_GB2312"/>
                <w:sz w:val="24"/>
              </w:rPr>
              <w:t>成交供应商应严格按照《基本建设财务规则》（财政部令第81号）、《基本建设项目竣工财务决算管理暂行办法》（财建〔2016〕503号）、《水利基本建设项目竣工财务决算编制规程》（SL/T19-2023）等相关规定开展竣工财务决算编制工作；同时，还应以项目批准文件、初步设计及概算批复、工程合同、结算资料、会计资料等其他相关资料作为重要编制依据，确保决算编制工作有据可依、规范严谨。</w:t>
            </w:r>
          </w:p>
          <w:p w14:paraId="53E7092B">
            <w:pPr>
              <w:pStyle w:val="4"/>
              <w:ind w:firstLine="482"/>
              <w:jc w:val="left"/>
            </w:pPr>
            <w:r>
              <w:rPr>
                <w:rFonts w:ascii="仿宋_GB2312" w:hAnsi="仿宋_GB2312" w:eastAsia="仿宋_GB2312" w:cs="仿宋_GB2312"/>
                <w:b/>
                <w:sz w:val="24"/>
              </w:rPr>
              <w:t>三、质量要求</w:t>
            </w:r>
          </w:p>
          <w:p w14:paraId="4B6877EF">
            <w:pPr>
              <w:pStyle w:val="4"/>
              <w:ind w:firstLine="482"/>
              <w:jc w:val="both"/>
            </w:pPr>
            <w:r>
              <w:rPr>
                <w:rFonts w:ascii="仿宋_GB2312" w:hAnsi="仿宋_GB2312" w:eastAsia="仿宋_GB2312" w:cs="仿宋_GB2312"/>
                <w:b/>
                <w:sz w:val="24"/>
              </w:rPr>
              <w:t>1、准确性要求</w:t>
            </w:r>
          </w:p>
          <w:p w14:paraId="024B210E">
            <w:pPr>
              <w:pStyle w:val="4"/>
              <w:ind w:firstLine="480"/>
              <w:jc w:val="both"/>
            </w:pPr>
            <w:r>
              <w:rPr>
                <w:rFonts w:ascii="仿宋_GB2312" w:hAnsi="仿宋_GB2312" w:eastAsia="仿宋_GB2312" w:cs="仿宋_GB2312"/>
                <w:sz w:val="24"/>
              </w:rPr>
              <w:t>确保竣工财务决算数据与工程实际成本、材料费用、人工费等各项开支相符，所有数据来源清晰、可追溯且计算依据充分（如遇经济业务处理不当的，提出账务调整建议），同时保证报表数据与会计账簿、凭证、合同等原始资料核对一致，从源头到结果全方位保障决算数据的准确性。</w:t>
            </w:r>
          </w:p>
          <w:p w14:paraId="56334C8A">
            <w:pPr>
              <w:pStyle w:val="4"/>
              <w:ind w:firstLine="482"/>
              <w:jc w:val="both"/>
            </w:pPr>
            <w:r>
              <w:rPr>
                <w:rFonts w:ascii="仿宋_GB2312" w:hAnsi="仿宋_GB2312" w:eastAsia="仿宋_GB2312" w:cs="仿宋_GB2312"/>
                <w:b/>
                <w:sz w:val="24"/>
              </w:rPr>
              <w:t>2、完整性要求</w:t>
            </w:r>
          </w:p>
          <w:p w14:paraId="2B4F5482">
            <w:pPr>
              <w:pStyle w:val="4"/>
              <w:ind w:firstLine="480"/>
              <w:jc w:val="both"/>
            </w:pPr>
            <w:r>
              <w:rPr>
                <w:rFonts w:ascii="仿宋_GB2312" w:hAnsi="仿宋_GB2312" w:eastAsia="仿宋_GB2312" w:cs="仿宋_GB2312"/>
                <w:sz w:val="24"/>
              </w:rPr>
              <w:t>竣工决算报告应全面反映项目建设全过程中的财务状况，涵盖所有经济业务，确保不遗漏任何应纳入决算的支出项目或资产，从而完整、系统地呈现项目全周期的资金流动与资产形成情况，确保决算报告的完整性。</w:t>
            </w:r>
          </w:p>
          <w:p w14:paraId="2DF09BE2">
            <w:pPr>
              <w:pStyle w:val="4"/>
              <w:ind w:firstLine="482"/>
              <w:jc w:val="both"/>
            </w:pPr>
            <w:r>
              <w:rPr>
                <w:rFonts w:ascii="仿宋_GB2312" w:hAnsi="仿宋_GB2312" w:eastAsia="仿宋_GB2312" w:cs="仿宋_GB2312"/>
                <w:b/>
                <w:sz w:val="24"/>
              </w:rPr>
              <w:t>3、合法合规性要求</w:t>
            </w:r>
          </w:p>
          <w:p w14:paraId="0987CEC6">
            <w:pPr>
              <w:pStyle w:val="4"/>
              <w:ind w:firstLine="480"/>
              <w:jc w:val="both"/>
            </w:pPr>
            <w:r>
              <w:rPr>
                <w:rFonts w:ascii="仿宋_GB2312" w:hAnsi="仿宋_GB2312" w:eastAsia="仿宋_GB2312" w:cs="仿宋_GB2312"/>
                <w:sz w:val="24"/>
              </w:rPr>
              <w:t>严格遵循相关法律法规、部门规章及行业标准，确保计算方法、编制依据及报表格式均符合国家、行业及地方相关规定；同时，把控项目资金使用及待摊投资分摊的合规合法，若存在超概算支出等特殊情况，须详细梳理原因说明情况，提供相应的佐证资料，并提出相关处置建议。</w:t>
            </w:r>
          </w:p>
          <w:p w14:paraId="2F9B1FA7">
            <w:pPr>
              <w:pStyle w:val="4"/>
              <w:ind w:firstLine="482"/>
              <w:jc w:val="both"/>
            </w:pPr>
            <w:r>
              <w:rPr>
                <w:rFonts w:ascii="仿宋_GB2312" w:hAnsi="仿宋_GB2312" w:eastAsia="仿宋_GB2312" w:cs="仿宋_GB2312"/>
                <w:b/>
                <w:sz w:val="24"/>
              </w:rPr>
              <w:t>4、对比分析要求</w:t>
            </w:r>
          </w:p>
          <w:p w14:paraId="28BD9631">
            <w:pPr>
              <w:pStyle w:val="4"/>
              <w:ind w:firstLine="480"/>
              <w:jc w:val="both"/>
            </w:pPr>
            <w:r>
              <w:rPr>
                <w:rFonts w:ascii="仿宋_GB2312" w:hAnsi="仿宋_GB2312" w:eastAsia="仿宋_GB2312" w:cs="仿宋_GB2312"/>
                <w:sz w:val="24"/>
              </w:rPr>
              <w:t>将实际发生成本与概（预）算进行对比分析，对超概或节余情况找出差异原因，提出处置建议。</w:t>
            </w:r>
          </w:p>
          <w:p w14:paraId="2F301B5B">
            <w:pPr>
              <w:pStyle w:val="4"/>
              <w:ind w:firstLine="482"/>
              <w:jc w:val="both"/>
            </w:pPr>
            <w:r>
              <w:rPr>
                <w:rFonts w:ascii="仿宋_GB2312" w:hAnsi="仿宋_GB2312" w:eastAsia="仿宋_GB2312" w:cs="仿宋_GB2312"/>
                <w:b/>
                <w:sz w:val="24"/>
              </w:rPr>
              <w:t>5、审核重点达标要求</w:t>
            </w:r>
          </w:p>
          <w:p w14:paraId="1AD1CE81">
            <w:pPr>
              <w:pStyle w:val="4"/>
              <w:ind w:firstLine="480"/>
              <w:jc w:val="both"/>
            </w:pPr>
            <w:r>
              <w:rPr>
                <w:rFonts w:ascii="仿宋_GB2312" w:hAnsi="仿宋_GB2312" w:eastAsia="仿宋_GB2312" w:cs="仿宋_GB2312"/>
                <w:sz w:val="24"/>
              </w:rPr>
              <w:t>编制的竣工财务决算报告应满足以下审查要求：工程价款结算准确无误，无多算、重复计算工程量及高估冒算材料价格现象；待摊投资处理支出合理、分摊正确、依据充分；资金核算规范，使用合理，无挤占、挪用现象；报表格式符合国家规定，数据完整且表间勾稽关系清晰；项目形成资产全面反映，计价准确；尾工工程及预留费用控制在概算范围内，依据充分。</w:t>
            </w:r>
          </w:p>
          <w:p w14:paraId="60A8445D">
            <w:pPr>
              <w:pStyle w:val="4"/>
              <w:ind w:firstLine="482"/>
              <w:jc w:val="both"/>
            </w:pPr>
            <w:r>
              <w:rPr>
                <w:rFonts w:ascii="仿宋_GB2312" w:hAnsi="仿宋_GB2312" w:eastAsia="仿宋_GB2312" w:cs="仿宋_GB2312"/>
                <w:b/>
                <w:sz w:val="24"/>
              </w:rPr>
              <w:t>6、最终成果要求</w:t>
            </w:r>
          </w:p>
          <w:p w14:paraId="2D23692C">
            <w:pPr>
              <w:pStyle w:val="4"/>
              <w:ind w:firstLine="480"/>
              <w:jc w:val="both"/>
            </w:pPr>
            <w:r>
              <w:rPr>
                <w:rFonts w:ascii="仿宋_GB2312" w:hAnsi="仿宋_GB2312" w:eastAsia="仿宋_GB2312" w:cs="仿宋_GB2312"/>
                <w:sz w:val="24"/>
              </w:rPr>
              <w:t>出具的竣工财务决算报告需通过相关部门的审核/备案。</w:t>
            </w:r>
          </w:p>
          <w:p w14:paraId="7045C2A0">
            <w:pPr>
              <w:pStyle w:val="4"/>
              <w:ind w:firstLine="482"/>
              <w:jc w:val="both"/>
            </w:pPr>
            <w:r>
              <w:rPr>
                <w:rFonts w:ascii="仿宋_GB2312" w:hAnsi="仿宋_GB2312" w:eastAsia="仿宋_GB2312" w:cs="仿宋_GB2312"/>
                <w:b/>
                <w:sz w:val="24"/>
              </w:rPr>
              <w:t>四、成果文件要求</w:t>
            </w:r>
          </w:p>
          <w:p w14:paraId="74CC5FE6">
            <w:pPr>
              <w:pStyle w:val="4"/>
              <w:ind w:firstLine="482"/>
              <w:jc w:val="both"/>
            </w:pPr>
            <w:r>
              <w:rPr>
                <w:rFonts w:ascii="仿宋_GB2312" w:hAnsi="仿宋_GB2312" w:eastAsia="仿宋_GB2312" w:cs="仿宋_GB2312"/>
                <w:b/>
                <w:sz w:val="24"/>
              </w:rPr>
              <w:t>1、核心成果</w:t>
            </w:r>
          </w:p>
          <w:p w14:paraId="6F265801">
            <w:pPr>
              <w:pStyle w:val="4"/>
              <w:ind w:firstLine="480"/>
              <w:jc w:val="both"/>
            </w:pPr>
            <w:r>
              <w:rPr>
                <w:rFonts w:ascii="仿宋_GB2312" w:hAnsi="仿宋_GB2312" w:eastAsia="仿宋_GB2312" w:cs="仿宋_GB2312"/>
                <w:sz w:val="24"/>
              </w:rPr>
              <w:t>竣工财务决算的核心成果文件包括：按SL/T19-2023规定格式编制的竣工财务决算报表（含主表及附表）；全面说明项目及财务状况的竣工财务决算说明书；记录审核过程及意见的竣工财务决（结）算审核情况；以及支持决算报告的基础资料汇编，确保成果文件体系完整、层次清晰。</w:t>
            </w:r>
          </w:p>
          <w:p w14:paraId="300C3770">
            <w:pPr>
              <w:pStyle w:val="4"/>
              <w:ind w:firstLine="482"/>
              <w:jc w:val="both"/>
            </w:pPr>
            <w:r>
              <w:rPr>
                <w:rFonts w:ascii="仿宋_GB2312" w:hAnsi="仿宋_GB2312" w:eastAsia="仿宋_GB2312" w:cs="仿宋_GB2312"/>
                <w:b/>
                <w:sz w:val="24"/>
              </w:rPr>
              <w:t>2、辅助成果</w:t>
            </w:r>
          </w:p>
          <w:p w14:paraId="4758808C">
            <w:pPr>
              <w:pStyle w:val="4"/>
              <w:ind w:firstLine="480"/>
              <w:jc w:val="both"/>
            </w:pPr>
            <w:r>
              <w:rPr>
                <w:rFonts w:ascii="仿宋_GB2312" w:hAnsi="仿宋_GB2312" w:eastAsia="仿宋_GB2312" w:cs="仿宋_GB2312"/>
                <w:sz w:val="24"/>
              </w:rPr>
              <w:t>除核心成果外，成交供应商还需编制完整的辅助成果体系，具体包括但不限于：反映各项资产成本构成的明细表；列示待摊投资项目归集明细、分摊方法及分摊结果的明细表；分资金来源列示到位及使用情况的资金到位及使用情况表；汇总各合同履行及结算情况的合同履行及结算情况汇总表；详细列明应收应付款项的往来款项明细表；对账务处理提出调整建议；以及说明结余资金构成及处理建议的结余资金情况表，以确保决算报告数据详实、支撑有力。</w:t>
            </w:r>
          </w:p>
          <w:p w14:paraId="720E74F7">
            <w:pPr>
              <w:pStyle w:val="4"/>
              <w:ind w:firstLine="482"/>
              <w:jc w:val="both"/>
            </w:pPr>
            <w:r>
              <w:rPr>
                <w:rFonts w:ascii="仿宋_GB2312" w:hAnsi="仿宋_GB2312" w:eastAsia="仿宋_GB2312" w:cs="仿宋_GB2312"/>
                <w:b/>
                <w:sz w:val="24"/>
              </w:rPr>
              <w:t>3、成果形式</w:t>
            </w:r>
          </w:p>
          <w:p w14:paraId="71077D2E">
            <w:pPr>
              <w:pStyle w:val="4"/>
              <w:ind w:firstLine="480"/>
              <w:jc w:val="both"/>
            </w:pPr>
            <w:r>
              <w:rPr>
                <w:rFonts w:ascii="仿宋_GB2312" w:hAnsi="仿宋_GB2312" w:eastAsia="仿宋_GB2312" w:cs="仿宋_GB2312"/>
                <w:sz w:val="24"/>
              </w:rPr>
              <w:t>成果文件的形式要求如下：纸质版应提交一式捌份，装订成册，并在封面加盖成交单位公章；电子版应提交一式两份（以U盘或光盘存储），内含可编辑的Word或Excel版和PDF扫描版，确保成果文件格式规范、便于存档和使用。</w:t>
            </w:r>
          </w:p>
          <w:p w14:paraId="3106B868">
            <w:pPr>
              <w:pStyle w:val="4"/>
              <w:ind w:firstLine="482"/>
              <w:jc w:val="both"/>
            </w:pPr>
            <w:r>
              <w:rPr>
                <w:rFonts w:ascii="仿宋_GB2312" w:hAnsi="仿宋_GB2312" w:eastAsia="仿宋_GB2312" w:cs="仿宋_GB2312"/>
                <w:b/>
                <w:sz w:val="24"/>
              </w:rPr>
              <w:t>4、各阶段成果提交</w:t>
            </w:r>
          </w:p>
          <w:p w14:paraId="22B0F68D">
            <w:pPr>
              <w:pStyle w:val="4"/>
              <w:ind w:firstLine="480"/>
              <w:jc w:val="both"/>
            </w:pPr>
            <w:r>
              <w:rPr>
                <w:rFonts w:ascii="仿宋_GB2312" w:hAnsi="仿宋_GB2312" w:eastAsia="仿宋_GB2312" w:cs="仿宋_GB2312"/>
                <w:sz w:val="24"/>
              </w:rPr>
              <w:t>第一阶段：提交大坝枢纽导流洞单项工程竣工财务决算报告及相关资料。</w:t>
            </w:r>
          </w:p>
          <w:p w14:paraId="693599A8">
            <w:pPr>
              <w:pStyle w:val="4"/>
              <w:ind w:firstLine="480"/>
              <w:jc w:val="both"/>
            </w:pPr>
            <w:r>
              <w:rPr>
                <w:rFonts w:ascii="仿宋_GB2312" w:hAnsi="仿宋_GB2312" w:eastAsia="仿宋_GB2312" w:cs="仿宋_GB2312"/>
                <w:sz w:val="24"/>
              </w:rPr>
              <w:t>第二阶段：提交灌区工程竣工财务决算报告及相关资料，以及整体项目竣工财务总决算报告及相关资料，形成完整档案。</w:t>
            </w:r>
          </w:p>
          <w:p w14:paraId="6C627828">
            <w:pPr>
              <w:pStyle w:val="4"/>
              <w:ind w:firstLine="482"/>
              <w:jc w:val="both"/>
            </w:pPr>
            <w:r>
              <w:rPr>
                <w:rFonts w:ascii="仿宋_GB2312" w:hAnsi="仿宋_GB2312" w:eastAsia="仿宋_GB2312" w:cs="仿宋_GB2312"/>
                <w:b/>
                <w:sz w:val="24"/>
              </w:rPr>
              <w:t>五、进度与时限要求</w:t>
            </w:r>
          </w:p>
          <w:p w14:paraId="3E33A196">
            <w:pPr>
              <w:pStyle w:val="4"/>
              <w:ind w:firstLine="482"/>
              <w:jc w:val="both"/>
            </w:pPr>
            <w:r>
              <w:rPr>
                <w:rFonts w:ascii="仿宋_GB2312" w:hAnsi="仿宋_GB2312" w:eastAsia="仿宋_GB2312" w:cs="仿宋_GB2312"/>
                <w:b/>
                <w:sz w:val="24"/>
              </w:rPr>
              <w:t>1、总体原则</w:t>
            </w:r>
          </w:p>
          <w:p w14:paraId="1771CC76">
            <w:pPr>
              <w:pStyle w:val="4"/>
              <w:ind w:firstLine="480"/>
              <w:jc w:val="both"/>
            </w:pPr>
            <w:r>
              <w:rPr>
                <w:rFonts w:ascii="仿宋_GB2312" w:hAnsi="仿宋_GB2312" w:eastAsia="仿宋_GB2312" w:cs="仿宋_GB2312"/>
                <w:sz w:val="24"/>
              </w:rPr>
              <w:t>采购人根据各单项工程建设情况，通过书面、口头、电话或微信等方式向成交供应商发出《竣工财务决算编制工作通知》，成交供应商按要求开展竣工财务决算编制工作。</w:t>
            </w:r>
          </w:p>
          <w:p w14:paraId="3EA8FFBA">
            <w:pPr>
              <w:pStyle w:val="4"/>
              <w:ind w:firstLine="482"/>
              <w:jc w:val="both"/>
            </w:pPr>
            <w:r>
              <w:rPr>
                <w:rFonts w:ascii="仿宋_GB2312" w:hAnsi="仿宋_GB2312" w:eastAsia="仿宋_GB2312" w:cs="仿宋_GB2312"/>
                <w:b/>
                <w:sz w:val="24"/>
              </w:rPr>
              <w:t>2、工作任务执行</w:t>
            </w:r>
          </w:p>
          <w:p w14:paraId="7097CB10">
            <w:pPr>
              <w:pStyle w:val="4"/>
              <w:ind w:firstLine="480"/>
              <w:jc w:val="both"/>
            </w:pPr>
            <w:r>
              <w:rPr>
                <w:rFonts w:ascii="仿宋_GB2312" w:hAnsi="仿宋_GB2312" w:eastAsia="仿宋_GB2312" w:cs="仿宋_GB2312"/>
                <w:sz w:val="24"/>
              </w:rPr>
              <w:t>本项目工作具体执行要求如下：工作通知是采购人向成交供应商发出的具体工作启动指令，一经双方确认即成为合同的有效组成部分。成交供应商在收到工作任务后，应在2个工作日内予以确认并回复（如在2个工作日内无回复，视为同意且确认），以确保工作及时启动且按要求保质、保量、按期完成工作内容。</w:t>
            </w:r>
          </w:p>
          <w:p w14:paraId="3B25C400">
            <w:pPr>
              <w:pStyle w:val="4"/>
              <w:ind w:firstLine="482"/>
              <w:jc w:val="both"/>
            </w:pPr>
            <w:r>
              <w:rPr>
                <w:rFonts w:ascii="仿宋_GB2312" w:hAnsi="仿宋_GB2312" w:eastAsia="仿宋_GB2312" w:cs="仿宋_GB2312"/>
                <w:b/>
                <w:sz w:val="24"/>
              </w:rPr>
              <w:t>3、时限要求</w:t>
            </w:r>
          </w:p>
          <w:p w14:paraId="2BE5EE5A">
            <w:pPr>
              <w:pStyle w:val="4"/>
              <w:ind w:firstLine="480"/>
              <w:jc w:val="both"/>
            </w:pPr>
            <w:r>
              <w:rPr>
                <w:rFonts w:ascii="仿宋_GB2312" w:hAnsi="仿宋_GB2312" w:eastAsia="仿宋_GB2312" w:cs="仿宋_GB2312"/>
                <w:sz w:val="24"/>
              </w:rPr>
              <w:t>本项目各阶段工作严格遵循以下时限要求：在收到单项工作任务后，成交供应商应在5个工作日内派项目团队进场开展工作；单项工程竣工财务决算编制及整体项目竣工财务总决算编制应在采购人要求的时限内完成编制并通过相关部门审核或备案；根据审核意见的修改完善工作，应在采购人要求的时限内完成；此外，成交供应商需全过程配合后续审核、审计、备案等工作，直至项目完全通过相关部门审核或备案，并完成审计整改。</w:t>
            </w:r>
          </w:p>
          <w:p w14:paraId="6C58A2D2">
            <w:pPr>
              <w:pStyle w:val="4"/>
              <w:ind w:firstLine="482"/>
              <w:jc w:val="both"/>
            </w:pPr>
            <w:r>
              <w:rPr>
                <w:rFonts w:ascii="仿宋_GB2312" w:hAnsi="仿宋_GB2312" w:eastAsia="仿宋_GB2312" w:cs="仿宋_GB2312"/>
                <w:b/>
                <w:sz w:val="24"/>
              </w:rPr>
              <w:t>4、进度报告要求</w:t>
            </w:r>
          </w:p>
          <w:p w14:paraId="6B401AC4">
            <w:pPr>
              <w:pStyle w:val="4"/>
              <w:ind w:firstLine="480"/>
              <w:jc w:val="both"/>
            </w:pPr>
            <w:r>
              <w:rPr>
                <w:rFonts w:ascii="仿宋_GB2312" w:hAnsi="仿宋_GB2312" w:eastAsia="仿宋_GB2312" w:cs="仿宋_GB2312"/>
                <w:sz w:val="24"/>
              </w:rPr>
              <w:t>编制过程中需及时向采购人汇报工作进展，重大事项（如发现重大问题、可能影响进度的情况等）需在12小时内及时汇报、沟通，并给出解决建议。</w:t>
            </w:r>
          </w:p>
          <w:p w14:paraId="5281B0A2">
            <w:pPr>
              <w:pStyle w:val="4"/>
              <w:ind w:firstLine="482"/>
              <w:jc w:val="both"/>
            </w:pPr>
            <w:r>
              <w:rPr>
                <w:rFonts w:ascii="仿宋_GB2312" w:hAnsi="仿宋_GB2312" w:eastAsia="仿宋_GB2312" w:cs="仿宋_GB2312"/>
                <w:b/>
                <w:sz w:val="24"/>
              </w:rPr>
              <w:t>六、驻场要求</w:t>
            </w:r>
          </w:p>
          <w:p w14:paraId="34FA62FC">
            <w:pPr>
              <w:pStyle w:val="4"/>
              <w:ind w:firstLine="480"/>
              <w:jc w:val="both"/>
            </w:pPr>
            <w:r>
              <w:rPr>
                <w:rFonts w:ascii="仿宋_GB2312" w:hAnsi="仿宋_GB2312" w:eastAsia="仿宋_GB2312" w:cs="仿宋_GB2312"/>
                <w:sz w:val="24"/>
              </w:rPr>
              <w:t>驻场时间和频率根据工作需要及采购人的要求确定，且成交供应商无条件服从。</w:t>
            </w:r>
          </w:p>
          <w:p w14:paraId="10F80A44">
            <w:pPr>
              <w:pStyle w:val="4"/>
              <w:ind w:firstLine="482"/>
              <w:jc w:val="both"/>
            </w:pPr>
            <w:r>
              <w:rPr>
                <w:rFonts w:ascii="仿宋_GB2312" w:hAnsi="仿宋_GB2312" w:eastAsia="仿宋_GB2312" w:cs="仿宋_GB2312"/>
                <w:b/>
                <w:sz w:val="24"/>
              </w:rPr>
              <w:t>七、独立性要求</w:t>
            </w:r>
          </w:p>
          <w:p w14:paraId="42EB008F">
            <w:pPr>
              <w:pStyle w:val="4"/>
              <w:jc w:val="left"/>
            </w:pPr>
            <w:r>
              <w:rPr>
                <w:rFonts w:ascii="仿宋_GB2312" w:hAnsi="仿宋_GB2312" w:eastAsia="仿宋_GB2312" w:cs="仿宋_GB2312"/>
                <w:sz w:val="24"/>
              </w:rPr>
              <w:t>成交供应商应保证编制工作的独立性、客观性，不得与项目设计、施工、监理、造价咨询等单位存在可能影响独立性的关联关系。</w:t>
            </w:r>
          </w:p>
        </w:tc>
      </w:tr>
      <w:tr w14:paraId="4EDCD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B1C831">
            <w:pPr>
              <w:pStyle w:val="4"/>
              <w:jc w:val="center"/>
            </w:pPr>
            <w:r>
              <w:rPr>
                <w:rFonts w:ascii="仿宋_GB2312" w:hAnsi="仿宋_GB2312" w:eastAsia="仿宋_GB2312" w:cs="仿宋_GB2312"/>
              </w:rPr>
              <w:t>2</w:t>
            </w:r>
          </w:p>
        </w:tc>
        <w:tc>
          <w:tcPr>
            <w:tcW w:w="581" w:type="dxa"/>
          </w:tcPr>
          <w:p w14:paraId="5A9694EA">
            <w:pPr>
              <w:pStyle w:val="4"/>
              <w:jc w:val="center"/>
            </w:pPr>
            <w:r>
              <w:rPr>
                <w:rFonts w:ascii="仿宋_GB2312" w:hAnsi="仿宋_GB2312" w:eastAsia="仿宋_GB2312" w:cs="仿宋_GB2312"/>
              </w:rPr>
              <w:t>★</w:t>
            </w:r>
          </w:p>
        </w:tc>
        <w:tc>
          <w:tcPr>
            <w:tcW w:w="1495" w:type="dxa"/>
          </w:tcPr>
          <w:p w14:paraId="292D5F8E">
            <w:pPr>
              <w:pStyle w:val="4"/>
              <w:jc w:val="left"/>
            </w:pPr>
            <w:r>
              <w:rPr>
                <w:rFonts w:ascii="仿宋_GB2312" w:hAnsi="仿宋_GB2312" w:eastAsia="仿宋_GB2312" w:cs="仿宋_GB2312"/>
              </w:rPr>
              <w:t>保密要求</w:t>
            </w:r>
          </w:p>
        </w:tc>
        <w:tc>
          <w:tcPr>
            <w:tcW w:w="5814" w:type="dxa"/>
          </w:tcPr>
          <w:p w14:paraId="1627F47E">
            <w:pPr>
              <w:pStyle w:val="4"/>
              <w:jc w:val="left"/>
            </w:pPr>
            <w:r>
              <w:rPr>
                <w:rFonts w:ascii="仿宋_GB2312" w:hAnsi="仿宋_GB2312" w:eastAsia="仿宋_GB2312" w:cs="仿宋_GB2312"/>
                <w:sz w:val="24"/>
              </w:rPr>
              <w:t>成交供应商须对项目实施过程中知悉的所有信息和资料承担严格的保密义务，未经采购人书面同意，不得以任何形式向任何第三方泄露。项目结束后，成交供应商应将所有相关资料（含电子版）全部移交采购人，不得私自留存。同时，双方应签订保密协议，作为合同的有效附件。</w:t>
            </w:r>
          </w:p>
        </w:tc>
      </w:tr>
      <w:tr w14:paraId="13FD9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C5000C">
            <w:pPr>
              <w:pStyle w:val="4"/>
              <w:jc w:val="center"/>
            </w:pPr>
            <w:r>
              <w:rPr>
                <w:rFonts w:ascii="仿宋_GB2312" w:hAnsi="仿宋_GB2312" w:eastAsia="仿宋_GB2312" w:cs="仿宋_GB2312"/>
              </w:rPr>
              <w:t>3</w:t>
            </w:r>
          </w:p>
        </w:tc>
        <w:tc>
          <w:tcPr>
            <w:tcW w:w="581" w:type="dxa"/>
          </w:tcPr>
          <w:p w14:paraId="3CDB833F"/>
        </w:tc>
        <w:tc>
          <w:tcPr>
            <w:tcW w:w="1495" w:type="dxa"/>
          </w:tcPr>
          <w:p w14:paraId="52D2A526">
            <w:pPr>
              <w:pStyle w:val="4"/>
              <w:jc w:val="left"/>
            </w:pPr>
            <w:r>
              <w:rPr>
                <w:rFonts w:ascii="仿宋_GB2312" w:hAnsi="仿宋_GB2312" w:eastAsia="仿宋_GB2312" w:cs="仿宋_GB2312"/>
              </w:rPr>
              <w:t>后续服务要求</w:t>
            </w:r>
          </w:p>
        </w:tc>
        <w:tc>
          <w:tcPr>
            <w:tcW w:w="5814" w:type="dxa"/>
          </w:tcPr>
          <w:p w14:paraId="7F60F653">
            <w:pPr>
              <w:pStyle w:val="4"/>
              <w:ind w:firstLine="480"/>
              <w:jc w:val="both"/>
            </w:pPr>
            <w:r>
              <w:rPr>
                <w:rFonts w:ascii="仿宋_GB2312" w:hAnsi="仿宋_GB2312" w:eastAsia="仿宋_GB2312" w:cs="仿宋_GB2312"/>
                <w:sz w:val="24"/>
              </w:rPr>
              <w:t>1、成交供应商应承诺在决算报告提交后，全程配合采购人完成审计、检查、答疑、备案等各项后续工作。同时，成交供应商须自项目通过相关部门审核或备案之日起，提供至少2年的免费咨询服务。（提供承诺函）</w:t>
            </w:r>
          </w:p>
          <w:p w14:paraId="670A9403">
            <w:pPr>
              <w:pStyle w:val="4"/>
              <w:jc w:val="left"/>
            </w:pPr>
            <w:r>
              <w:rPr>
                <w:rFonts w:ascii="仿宋_GB2312" w:hAnsi="仿宋_GB2312" w:eastAsia="仿宋_GB2312" w:cs="仿宋_GB2312"/>
                <w:sz w:val="24"/>
              </w:rPr>
              <w:t>2、在后续服务期内，如根据实际情况需对成交供应商提交的成果进行修订和完善，成交供应商应按采购人的要求进行修订和完善，同时为成果的后续使用提供技术支持。成交供应商在接到采购人的通知后1小时内响应，无法远程服务的，应在24小时内到达采购人指定地点，并按照采购人的要求开展相关工作，采购人不再另行支付费用。供应商应提供稳定的后续服务团队。</w:t>
            </w:r>
          </w:p>
        </w:tc>
      </w:tr>
      <w:tr w14:paraId="13B2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77ABD5">
            <w:pPr>
              <w:pStyle w:val="4"/>
              <w:jc w:val="center"/>
            </w:pPr>
            <w:r>
              <w:rPr>
                <w:rFonts w:ascii="仿宋_GB2312" w:hAnsi="仿宋_GB2312" w:eastAsia="仿宋_GB2312" w:cs="仿宋_GB2312"/>
              </w:rPr>
              <w:t>4</w:t>
            </w:r>
          </w:p>
        </w:tc>
        <w:tc>
          <w:tcPr>
            <w:tcW w:w="581" w:type="dxa"/>
          </w:tcPr>
          <w:p w14:paraId="221BE49F">
            <w:pPr>
              <w:pStyle w:val="4"/>
              <w:jc w:val="center"/>
            </w:pPr>
            <w:r>
              <w:rPr>
                <w:rFonts w:ascii="仿宋_GB2312" w:hAnsi="仿宋_GB2312" w:eastAsia="仿宋_GB2312" w:cs="仿宋_GB2312"/>
              </w:rPr>
              <w:t>★</w:t>
            </w:r>
          </w:p>
        </w:tc>
        <w:tc>
          <w:tcPr>
            <w:tcW w:w="1495" w:type="dxa"/>
          </w:tcPr>
          <w:p w14:paraId="07BD7A8B">
            <w:pPr>
              <w:pStyle w:val="4"/>
              <w:jc w:val="left"/>
            </w:pPr>
            <w:r>
              <w:rPr>
                <w:rFonts w:ascii="仿宋_GB2312" w:hAnsi="仿宋_GB2312" w:eastAsia="仿宋_GB2312" w:cs="仿宋_GB2312"/>
              </w:rPr>
              <w:t>知识产权</w:t>
            </w:r>
          </w:p>
        </w:tc>
        <w:tc>
          <w:tcPr>
            <w:tcW w:w="5814" w:type="dxa"/>
          </w:tcPr>
          <w:p w14:paraId="3121AF9F">
            <w:pPr>
              <w:pStyle w:val="4"/>
              <w:jc w:val="left"/>
            </w:pPr>
            <w:r>
              <w:rPr>
                <w:rFonts w:ascii="仿宋_GB2312" w:hAnsi="仿宋_GB2312" w:eastAsia="仿宋_GB2312" w:cs="仿宋_GB2312"/>
                <w:sz w:val="24"/>
              </w:rPr>
              <w:t>成交供应商完成的工作成果（包括但不限于决算报告、分析材料等）的知识产权归采购人所有，成交供应商不得擅自使用或授权他人使用。确实因学术交流、职称评定等需要而要做发表的必须征得采购人书面授权许可，若因此带来的相关法律经济纠纷与采购人无关，成交供应商应自行承担全部法律和经济等相关责任。</w:t>
            </w:r>
          </w:p>
        </w:tc>
      </w:tr>
      <w:tr w14:paraId="78C5D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1E237F">
            <w:pPr>
              <w:pStyle w:val="4"/>
              <w:jc w:val="center"/>
            </w:pPr>
            <w:r>
              <w:rPr>
                <w:rFonts w:ascii="仿宋_GB2312" w:hAnsi="仿宋_GB2312" w:eastAsia="仿宋_GB2312" w:cs="仿宋_GB2312"/>
              </w:rPr>
              <w:t>5</w:t>
            </w:r>
          </w:p>
        </w:tc>
        <w:tc>
          <w:tcPr>
            <w:tcW w:w="581" w:type="dxa"/>
          </w:tcPr>
          <w:p w14:paraId="1E0DDD1E"/>
        </w:tc>
        <w:tc>
          <w:tcPr>
            <w:tcW w:w="1495" w:type="dxa"/>
          </w:tcPr>
          <w:p w14:paraId="50499209">
            <w:pPr>
              <w:pStyle w:val="4"/>
              <w:jc w:val="left"/>
            </w:pPr>
            <w:r>
              <w:rPr>
                <w:rFonts w:ascii="仿宋_GB2312" w:hAnsi="仿宋_GB2312" w:eastAsia="仿宋_GB2312" w:cs="仿宋_GB2312"/>
              </w:rPr>
              <w:t>其他要求</w:t>
            </w:r>
          </w:p>
        </w:tc>
        <w:tc>
          <w:tcPr>
            <w:tcW w:w="5814" w:type="dxa"/>
          </w:tcPr>
          <w:p w14:paraId="63A62F28">
            <w:pPr>
              <w:pStyle w:val="4"/>
              <w:ind w:firstLine="480"/>
              <w:jc w:val="left"/>
            </w:pPr>
            <w:r>
              <w:rPr>
                <w:rFonts w:ascii="仿宋_GB2312" w:hAnsi="仿宋_GB2312" w:eastAsia="仿宋_GB2312" w:cs="仿宋_GB2312"/>
                <w:sz w:val="24"/>
              </w:rPr>
              <w:t>1.成交供应商在项目实施过程中必须接受和配合相关单位的监督、检查、审核和指导，同时负责编制、归档资料，在采购人需要的情况下协助采购人完成与本项目相关的其他工作。</w:t>
            </w:r>
          </w:p>
          <w:p w14:paraId="4420BF48">
            <w:pPr>
              <w:pStyle w:val="4"/>
              <w:spacing w:before="105" w:after="105"/>
              <w:ind w:firstLine="480"/>
              <w:jc w:val="left"/>
            </w:pPr>
            <w:r>
              <w:rPr>
                <w:rFonts w:ascii="仿宋_GB2312" w:hAnsi="仿宋_GB2312" w:eastAsia="仿宋_GB2312" w:cs="仿宋_GB2312"/>
                <w:sz w:val="24"/>
              </w:rPr>
              <w:t>2.在本磋商文件中没有提及的与本项目履约切实相关的事宜，在采购人与成交供应商订立合同时另行约定（约定的内容须符合国家相关法律法规的规定）。</w:t>
            </w:r>
          </w:p>
          <w:p w14:paraId="6410C722">
            <w:pPr>
              <w:pStyle w:val="4"/>
              <w:jc w:val="left"/>
            </w:pPr>
            <w:r>
              <w:rPr>
                <w:rFonts w:ascii="仿宋_GB2312" w:hAnsi="仿宋_GB2312" w:eastAsia="仿宋_GB2312" w:cs="仿宋_GB2312"/>
                <w:sz w:val="28"/>
              </w:rPr>
              <w:t>3.供应商须保证在本项目使用的任何服务(包括部分使用)时，不会产生因第三方提出侵犯其专利权、商标权或其他知识产权而引起的法律和经济纠纷，如因知识产权而引起法律和经济纠纷，由供应商承担所有相关责任。</w:t>
            </w:r>
          </w:p>
        </w:tc>
      </w:tr>
    </w:tbl>
    <w:p w14:paraId="5F919CA8">
      <w:pPr>
        <w:pStyle w:val="4"/>
        <w:jc w:val="left"/>
        <w:outlineLvl w:val="2"/>
      </w:pPr>
      <w:r>
        <w:rPr>
          <w:rFonts w:ascii="仿宋_GB2312" w:hAnsi="仿宋_GB2312" w:eastAsia="仿宋_GB2312" w:cs="仿宋_GB2312"/>
          <w:b/>
          <w:sz w:val="28"/>
        </w:rPr>
        <w:t>3.3.服务要求</w:t>
      </w:r>
    </w:p>
    <w:p w14:paraId="7850519C">
      <w:pPr>
        <w:pStyle w:val="4"/>
        <w:jc w:val="left"/>
        <w:outlineLvl w:val="3"/>
      </w:pPr>
      <w:r>
        <w:rPr>
          <w:rFonts w:ascii="仿宋_GB2312" w:hAnsi="仿宋_GB2312" w:eastAsia="仿宋_GB2312" w:cs="仿宋_GB2312"/>
          <w:b/>
          <w:sz w:val="24"/>
        </w:rPr>
        <w:t>3.3.1服务内容要求</w:t>
      </w:r>
    </w:p>
    <w:p w14:paraId="7C627E4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4EF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3BA30">
            <w:pPr>
              <w:pStyle w:val="4"/>
              <w:jc w:val="center"/>
            </w:pPr>
            <w:r>
              <w:rPr>
                <w:rFonts w:ascii="仿宋_GB2312" w:hAnsi="仿宋_GB2312" w:eastAsia="仿宋_GB2312" w:cs="仿宋_GB2312"/>
              </w:rPr>
              <w:t xml:space="preserve"> 序号</w:t>
            </w:r>
          </w:p>
        </w:tc>
        <w:tc>
          <w:tcPr>
            <w:tcW w:w="581" w:type="dxa"/>
          </w:tcPr>
          <w:p w14:paraId="774F7546">
            <w:pPr>
              <w:pStyle w:val="4"/>
              <w:jc w:val="center"/>
            </w:pPr>
            <w:r>
              <w:rPr>
                <w:rFonts w:ascii="仿宋_GB2312" w:hAnsi="仿宋_GB2312" w:eastAsia="仿宋_GB2312" w:cs="仿宋_GB2312"/>
              </w:rPr>
              <w:t xml:space="preserve"> 符号标识</w:t>
            </w:r>
          </w:p>
        </w:tc>
        <w:tc>
          <w:tcPr>
            <w:tcW w:w="1495" w:type="dxa"/>
          </w:tcPr>
          <w:p w14:paraId="4DE60427">
            <w:pPr>
              <w:pStyle w:val="4"/>
              <w:jc w:val="center"/>
            </w:pPr>
            <w:r>
              <w:rPr>
                <w:rFonts w:ascii="仿宋_GB2312" w:hAnsi="仿宋_GB2312" w:eastAsia="仿宋_GB2312" w:cs="仿宋_GB2312"/>
              </w:rPr>
              <w:t xml:space="preserve"> 服务要求名称</w:t>
            </w:r>
          </w:p>
        </w:tc>
        <w:tc>
          <w:tcPr>
            <w:tcW w:w="5814" w:type="dxa"/>
          </w:tcPr>
          <w:p w14:paraId="3E99F12E">
            <w:pPr>
              <w:pStyle w:val="4"/>
              <w:jc w:val="center"/>
            </w:pPr>
            <w:r>
              <w:rPr>
                <w:rFonts w:ascii="仿宋_GB2312" w:hAnsi="仿宋_GB2312" w:eastAsia="仿宋_GB2312" w:cs="仿宋_GB2312"/>
              </w:rPr>
              <w:t xml:space="preserve"> 服务要求内容</w:t>
            </w:r>
          </w:p>
        </w:tc>
      </w:tr>
      <w:tr w14:paraId="53E62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6D6B6093">
            <w:pPr>
              <w:pStyle w:val="4"/>
              <w:jc w:val="center"/>
            </w:pPr>
            <w:r>
              <w:rPr>
                <w:rFonts w:ascii="仿宋_GB2312" w:hAnsi="仿宋_GB2312" w:eastAsia="仿宋_GB2312" w:cs="仿宋_GB2312"/>
              </w:rPr>
              <w:t>无</w:t>
            </w:r>
          </w:p>
        </w:tc>
      </w:tr>
    </w:tbl>
    <w:p w14:paraId="6C66D018">
      <w:pPr>
        <w:pStyle w:val="4"/>
        <w:jc w:val="left"/>
        <w:outlineLvl w:val="3"/>
      </w:pPr>
      <w:r>
        <w:rPr>
          <w:rFonts w:ascii="仿宋_GB2312" w:hAnsi="仿宋_GB2312" w:eastAsia="仿宋_GB2312" w:cs="仿宋_GB2312"/>
          <w:b/>
          <w:sz w:val="24"/>
        </w:rPr>
        <w:t>3.3.2.商务要求</w:t>
      </w:r>
    </w:p>
    <w:p w14:paraId="6B236C1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08D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EB4AD">
            <w:pPr>
              <w:pStyle w:val="4"/>
              <w:jc w:val="center"/>
            </w:pPr>
            <w:r>
              <w:rPr>
                <w:rFonts w:ascii="仿宋_GB2312" w:hAnsi="仿宋_GB2312" w:eastAsia="仿宋_GB2312" w:cs="仿宋_GB2312"/>
              </w:rPr>
              <w:t>序号</w:t>
            </w:r>
          </w:p>
        </w:tc>
        <w:tc>
          <w:tcPr>
            <w:tcW w:w="581" w:type="dxa"/>
          </w:tcPr>
          <w:p w14:paraId="6B0A308E">
            <w:pPr>
              <w:pStyle w:val="4"/>
              <w:jc w:val="center"/>
            </w:pPr>
            <w:r>
              <w:rPr>
                <w:rFonts w:ascii="仿宋_GB2312" w:hAnsi="仿宋_GB2312" w:eastAsia="仿宋_GB2312" w:cs="仿宋_GB2312"/>
              </w:rPr>
              <w:t>符号标识</w:t>
            </w:r>
          </w:p>
        </w:tc>
        <w:tc>
          <w:tcPr>
            <w:tcW w:w="1495" w:type="dxa"/>
          </w:tcPr>
          <w:p w14:paraId="4B76A2DD">
            <w:pPr>
              <w:pStyle w:val="4"/>
              <w:jc w:val="center"/>
            </w:pPr>
            <w:r>
              <w:rPr>
                <w:rFonts w:ascii="仿宋_GB2312" w:hAnsi="仿宋_GB2312" w:eastAsia="仿宋_GB2312" w:cs="仿宋_GB2312"/>
              </w:rPr>
              <w:t>商务要求名称</w:t>
            </w:r>
          </w:p>
        </w:tc>
        <w:tc>
          <w:tcPr>
            <w:tcW w:w="5814" w:type="dxa"/>
          </w:tcPr>
          <w:p w14:paraId="758AD159">
            <w:pPr>
              <w:pStyle w:val="4"/>
              <w:jc w:val="center"/>
            </w:pPr>
            <w:r>
              <w:rPr>
                <w:rFonts w:ascii="仿宋_GB2312" w:hAnsi="仿宋_GB2312" w:eastAsia="仿宋_GB2312" w:cs="仿宋_GB2312"/>
              </w:rPr>
              <w:t>商务要求内容</w:t>
            </w:r>
          </w:p>
        </w:tc>
      </w:tr>
      <w:tr w14:paraId="657BA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3836C9">
            <w:pPr>
              <w:pStyle w:val="4"/>
              <w:jc w:val="center"/>
            </w:pPr>
            <w:r>
              <w:rPr>
                <w:rFonts w:ascii="仿宋_GB2312" w:hAnsi="仿宋_GB2312" w:eastAsia="仿宋_GB2312" w:cs="仿宋_GB2312"/>
              </w:rPr>
              <w:t>1</w:t>
            </w:r>
          </w:p>
        </w:tc>
        <w:tc>
          <w:tcPr>
            <w:tcW w:w="581" w:type="dxa"/>
          </w:tcPr>
          <w:p w14:paraId="6ACA5570"/>
        </w:tc>
        <w:tc>
          <w:tcPr>
            <w:tcW w:w="1495" w:type="dxa"/>
          </w:tcPr>
          <w:p w14:paraId="1E410B22">
            <w:pPr>
              <w:pStyle w:val="4"/>
              <w:jc w:val="left"/>
            </w:pPr>
            <w:r>
              <w:rPr>
                <w:rFonts w:ascii="仿宋_GB2312" w:hAnsi="仿宋_GB2312" w:eastAsia="仿宋_GB2312" w:cs="仿宋_GB2312"/>
              </w:rPr>
              <w:t>服务期限</w:t>
            </w:r>
          </w:p>
        </w:tc>
        <w:tc>
          <w:tcPr>
            <w:tcW w:w="5814" w:type="dxa"/>
          </w:tcPr>
          <w:p w14:paraId="10A74CDE">
            <w:pPr>
              <w:pStyle w:val="4"/>
              <w:jc w:val="left"/>
            </w:pPr>
            <w:r>
              <w:rPr>
                <w:rFonts w:ascii="仿宋_GB2312" w:hAnsi="仿宋_GB2312" w:eastAsia="仿宋_GB2312" w:cs="仿宋_GB2312"/>
              </w:rPr>
              <w:t>自合同签订之日起1095个日历天。</w:t>
            </w:r>
          </w:p>
        </w:tc>
      </w:tr>
      <w:tr w14:paraId="6DB8E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5374BF">
            <w:pPr>
              <w:pStyle w:val="4"/>
              <w:jc w:val="center"/>
            </w:pPr>
            <w:r>
              <w:rPr>
                <w:rFonts w:ascii="仿宋_GB2312" w:hAnsi="仿宋_GB2312" w:eastAsia="仿宋_GB2312" w:cs="仿宋_GB2312"/>
              </w:rPr>
              <w:t>2</w:t>
            </w:r>
          </w:p>
        </w:tc>
        <w:tc>
          <w:tcPr>
            <w:tcW w:w="581" w:type="dxa"/>
          </w:tcPr>
          <w:p w14:paraId="76DAD147">
            <w:pPr>
              <w:pStyle w:val="4"/>
              <w:jc w:val="center"/>
            </w:pPr>
            <w:r>
              <w:rPr>
                <w:rFonts w:ascii="仿宋_GB2312" w:hAnsi="仿宋_GB2312" w:eastAsia="仿宋_GB2312" w:cs="仿宋_GB2312"/>
              </w:rPr>
              <w:t>★</w:t>
            </w:r>
          </w:p>
        </w:tc>
        <w:tc>
          <w:tcPr>
            <w:tcW w:w="1495" w:type="dxa"/>
          </w:tcPr>
          <w:p w14:paraId="3DE76FA1">
            <w:pPr>
              <w:pStyle w:val="4"/>
              <w:jc w:val="left"/>
            </w:pPr>
            <w:r>
              <w:rPr>
                <w:rFonts w:ascii="仿宋_GB2312" w:hAnsi="仿宋_GB2312" w:eastAsia="仿宋_GB2312" w:cs="仿宋_GB2312"/>
              </w:rPr>
              <w:t>服务地点</w:t>
            </w:r>
          </w:p>
        </w:tc>
        <w:tc>
          <w:tcPr>
            <w:tcW w:w="5814" w:type="dxa"/>
          </w:tcPr>
          <w:p w14:paraId="1F512891">
            <w:pPr>
              <w:pStyle w:val="4"/>
              <w:jc w:val="left"/>
            </w:pPr>
            <w:r>
              <w:rPr>
                <w:rFonts w:ascii="仿宋_GB2312" w:hAnsi="仿宋_GB2312" w:eastAsia="仿宋_GB2312" w:cs="仿宋_GB2312"/>
              </w:rPr>
              <w:t>南江县域内</w:t>
            </w:r>
          </w:p>
        </w:tc>
      </w:tr>
      <w:tr w14:paraId="064B0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D02771">
            <w:pPr>
              <w:pStyle w:val="4"/>
              <w:jc w:val="center"/>
            </w:pPr>
            <w:r>
              <w:rPr>
                <w:rFonts w:ascii="仿宋_GB2312" w:hAnsi="仿宋_GB2312" w:eastAsia="仿宋_GB2312" w:cs="仿宋_GB2312"/>
              </w:rPr>
              <w:t>3</w:t>
            </w:r>
          </w:p>
        </w:tc>
        <w:tc>
          <w:tcPr>
            <w:tcW w:w="581" w:type="dxa"/>
          </w:tcPr>
          <w:p w14:paraId="339D9DBC">
            <w:pPr>
              <w:pStyle w:val="4"/>
              <w:jc w:val="center"/>
            </w:pPr>
            <w:r>
              <w:rPr>
                <w:rFonts w:ascii="仿宋_GB2312" w:hAnsi="仿宋_GB2312" w:eastAsia="仿宋_GB2312" w:cs="仿宋_GB2312"/>
              </w:rPr>
              <w:t>★</w:t>
            </w:r>
          </w:p>
        </w:tc>
        <w:tc>
          <w:tcPr>
            <w:tcW w:w="1495" w:type="dxa"/>
          </w:tcPr>
          <w:p w14:paraId="331E0873">
            <w:pPr>
              <w:pStyle w:val="4"/>
              <w:jc w:val="left"/>
            </w:pPr>
            <w:r>
              <w:rPr>
                <w:rFonts w:ascii="仿宋_GB2312" w:hAnsi="仿宋_GB2312" w:eastAsia="仿宋_GB2312" w:cs="仿宋_GB2312"/>
              </w:rPr>
              <w:t>支付方式</w:t>
            </w:r>
          </w:p>
        </w:tc>
        <w:tc>
          <w:tcPr>
            <w:tcW w:w="5814" w:type="dxa"/>
          </w:tcPr>
          <w:p w14:paraId="051537FE">
            <w:pPr>
              <w:pStyle w:val="4"/>
              <w:jc w:val="left"/>
            </w:pPr>
            <w:r>
              <w:rPr>
                <w:rFonts w:ascii="仿宋_GB2312" w:hAnsi="仿宋_GB2312" w:eastAsia="仿宋_GB2312" w:cs="仿宋_GB2312"/>
              </w:rPr>
              <w:t>分期付款</w:t>
            </w:r>
          </w:p>
        </w:tc>
      </w:tr>
      <w:tr w14:paraId="390DE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6A0AC9">
            <w:pPr>
              <w:pStyle w:val="4"/>
              <w:jc w:val="center"/>
            </w:pPr>
            <w:r>
              <w:rPr>
                <w:rFonts w:ascii="仿宋_GB2312" w:hAnsi="仿宋_GB2312" w:eastAsia="仿宋_GB2312" w:cs="仿宋_GB2312"/>
              </w:rPr>
              <w:t>4</w:t>
            </w:r>
          </w:p>
        </w:tc>
        <w:tc>
          <w:tcPr>
            <w:tcW w:w="581" w:type="dxa"/>
          </w:tcPr>
          <w:p w14:paraId="629756B0">
            <w:pPr>
              <w:pStyle w:val="4"/>
              <w:jc w:val="center"/>
            </w:pPr>
            <w:r>
              <w:rPr>
                <w:rFonts w:ascii="仿宋_GB2312" w:hAnsi="仿宋_GB2312" w:eastAsia="仿宋_GB2312" w:cs="仿宋_GB2312"/>
              </w:rPr>
              <w:t>★</w:t>
            </w:r>
          </w:p>
        </w:tc>
        <w:tc>
          <w:tcPr>
            <w:tcW w:w="1495" w:type="dxa"/>
          </w:tcPr>
          <w:p w14:paraId="7E64B299">
            <w:pPr>
              <w:pStyle w:val="4"/>
              <w:jc w:val="left"/>
            </w:pPr>
            <w:r>
              <w:rPr>
                <w:rFonts w:ascii="仿宋_GB2312" w:hAnsi="仿宋_GB2312" w:eastAsia="仿宋_GB2312" w:cs="仿宋_GB2312"/>
              </w:rPr>
              <w:t>付款进度安排</w:t>
            </w:r>
          </w:p>
        </w:tc>
        <w:tc>
          <w:tcPr>
            <w:tcW w:w="5814" w:type="dxa"/>
          </w:tcPr>
          <w:p w14:paraId="7F851BE1">
            <w:pPr>
              <w:pStyle w:val="4"/>
              <w:jc w:val="left"/>
            </w:pPr>
            <w:r>
              <w:rPr>
                <w:rFonts w:ascii="仿宋_GB2312" w:hAnsi="仿宋_GB2312" w:eastAsia="仿宋_GB2312" w:cs="仿宋_GB2312"/>
              </w:rPr>
              <w:t>1、预付款，合同签订生效后，达到付款条件起30日内，支付合同总金额的40.00%</w:t>
            </w:r>
          </w:p>
          <w:p w14:paraId="567312EB">
            <w:pPr>
              <w:pStyle w:val="4"/>
              <w:jc w:val="left"/>
            </w:pPr>
            <w:r>
              <w:rPr>
                <w:rFonts w:ascii="仿宋_GB2312" w:hAnsi="仿宋_GB2312" w:eastAsia="仿宋_GB2312" w:cs="仿宋_GB2312"/>
              </w:rPr>
              <w:t>2、进度款，第一阶段（乙方提交大坝枢纽导流洞单项工程竣工财务决算报告及相关资料，并顺利通过相关部门审核或备案）完成后，达到付款条件起30日内，支付合同总金额的20.00%</w:t>
            </w:r>
          </w:p>
          <w:p w14:paraId="37855502">
            <w:pPr>
              <w:pStyle w:val="4"/>
              <w:jc w:val="left"/>
            </w:pPr>
            <w:r>
              <w:rPr>
                <w:rFonts w:ascii="仿宋_GB2312" w:hAnsi="仿宋_GB2312" w:eastAsia="仿宋_GB2312" w:cs="仿宋_GB2312"/>
              </w:rPr>
              <w:t>3、进度款，第二阶段（乙方完成灌区单项工程竣工财务决算编制，并在此基础上汇总形成完整的整体项目竣工财务总决算报告及相关资料，经相关部门最终审核或备案，且全部成果文件移交完成）完成后，达到付款条件起30日内，支付合同总金额的20.00%</w:t>
            </w:r>
          </w:p>
          <w:p w14:paraId="0F7E5652">
            <w:pPr>
              <w:pStyle w:val="4"/>
              <w:jc w:val="left"/>
            </w:pPr>
            <w:r>
              <w:rPr>
                <w:rFonts w:ascii="仿宋_GB2312" w:hAnsi="仿宋_GB2312" w:eastAsia="仿宋_GB2312" w:cs="仿宋_GB2312"/>
              </w:rPr>
              <w:t>4、尾款，第三阶段（项目通过审计，且乙方根据审计意见完成全部整改工作）完成，服务期满后，达到付款条件起30日内，支付合同总金额的20.00%</w:t>
            </w:r>
          </w:p>
        </w:tc>
      </w:tr>
      <w:tr w14:paraId="2234C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EA1958">
            <w:pPr>
              <w:pStyle w:val="4"/>
              <w:jc w:val="center"/>
            </w:pPr>
            <w:r>
              <w:rPr>
                <w:rFonts w:ascii="仿宋_GB2312" w:hAnsi="仿宋_GB2312" w:eastAsia="仿宋_GB2312" w:cs="仿宋_GB2312"/>
              </w:rPr>
              <w:t>5</w:t>
            </w:r>
          </w:p>
        </w:tc>
        <w:tc>
          <w:tcPr>
            <w:tcW w:w="581" w:type="dxa"/>
          </w:tcPr>
          <w:p w14:paraId="1BDEDA4C">
            <w:pPr>
              <w:pStyle w:val="4"/>
              <w:jc w:val="center"/>
            </w:pPr>
            <w:r>
              <w:rPr>
                <w:rFonts w:ascii="仿宋_GB2312" w:hAnsi="仿宋_GB2312" w:eastAsia="仿宋_GB2312" w:cs="仿宋_GB2312"/>
              </w:rPr>
              <w:t>★</w:t>
            </w:r>
          </w:p>
        </w:tc>
        <w:tc>
          <w:tcPr>
            <w:tcW w:w="1495" w:type="dxa"/>
          </w:tcPr>
          <w:p w14:paraId="71315040">
            <w:pPr>
              <w:pStyle w:val="4"/>
              <w:jc w:val="left"/>
            </w:pPr>
            <w:r>
              <w:rPr>
                <w:rFonts w:ascii="仿宋_GB2312" w:hAnsi="仿宋_GB2312" w:eastAsia="仿宋_GB2312" w:cs="仿宋_GB2312"/>
              </w:rPr>
              <w:t>验收、交付标准和方法</w:t>
            </w:r>
          </w:p>
        </w:tc>
        <w:tc>
          <w:tcPr>
            <w:tcW w:w="5814" w:type="dxa"/>
          </w:tcPr>
          <w:p w14:paraId="32530B60">
            <w:pPr>
              <w:pStyle w:val="4"/>
              <w:jc w:val="left"/>
            </w:pPr>
            <w:r>
              <w:rPr>
                <w:rFonts w:ascii="仿宋_GB2312" w:hAnsi="仿宋_GB2312" w:eastAsia="仿宋_GB2312" w:cs="仿宋_GB2312"/>
              </w:rPr>
              <w:t>1.验收方式：由采购人组织，成交供应商参与并提交申请，项目实行分项分次验收。 2.验收标准：严格按照《财政部关于进一步加强政府采购需求和履约验收管理的指导意见的通知》（财库〔2016〕205号）、《财政部关于印发&lt;政府采购需求管理办法&gt;的通知》（财库〔2021〕22号）及《巴中市财政局关于进一步加强政府采购项目合同履约验收管理工作的通知》（巴财采〔2021〕21号）、采购文件规定的要求和响应文件承诺及合同约定的标准进行验收。 3.验收内容：技术服务和商务要求全部内容及合同履约情况。 4.验收结果运用：验收结果作为支付采购资金的依据；各阶段成果文件提交后，由采购人组织初步验收，最终成果以通过相关部门审核或备案作为最终验收合格标准。验收合格的，双方签署政府采购验收报告，验收不合格的，由成交供应商进行整改，直至验收合格为止。</w:t>
            </w:r>
          </w:p>
        </w:tc>
      </w:tr>
      <w:tr w14:paraId="26F33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F30AC">
            <w:pPr>
              <w:pStyle w:val="4"/>
              <w:jc w:val="center"/>
            </w:pPr>
            <w:r>
              <w:rPr>
                <w:rFonts w:ascii="仿宋_GB2312" w:hAnsi="仿宋_GB2312" w:eastAsia="仿宋_GB2312" w:cs="仿宋_GB2312"/>
              </w:rPr>
              <w:t>6</w:t>
            </w:r>
          </w:p>
        </w:tc>
        <w:tc>
          <w:tcPr>
            <w:tcW w:w="581" w:type="dxa"/>
          </w:tcPr>
          <w:p w14:paraId="7BEE13D9">
            <w:pPr>
              <w:pStyle w:val="4"/>
              <w:jc w:val="center"/>
            </w:pPr>
            <w:r>
              <w:rPr>
                <w:rFonts w:ascii="仿宋_GB2312" w:hAnsi="仿宋_GB2312" w:eastAsia="仿宋_GB2312" w:cs="仿宋_GB2312"/>
              </w:rPr>
              <w:t>★</w:t>
            </w:r>
          </w:p>
        </w:tc>
        <w:tc>
          <w:tcPr>
            <w:tcW w:w="1495" w:type="dxa"/>
          </w:tcPr>
          <w:p w14:paraId="47E7DE3D">
            <w:pPr>
              <w:pStyle w:val="4"/>
              <w:jc w:val="left"/>
            </w:pPr>
            <w:r>
              <w:rPr>
                <w:rFonts w:ascii="仿宋_GB2312" w:hAnsi="仿宋_GB2312" w:eastAsia="仿宋_GB2312" w:cs="仿宋_GB2312"/>
              </w:rPr>
              <w:t>违约责任与解决争议的方法</w:t>
            </w:r>
          </w:p>
        </w:tc>
        <w:tc>
          <w:tcPr>
            <w:tcW w:w="5814" w:type="dxa"/>
          </w:tcPr>
          <w:p w14:paraId="2762866A">
            <w:pPr>
              <w:pStyle w:val="4"/>
              <w:jc w:val="left"/>
            </w:pPr>
            <w:r>
              <w:rPr>
                <w:rFonts w:ascii="仿宋_GB2312" w:hAnsi="仿宋_GB2312" w:eastAsia="仿宋_GB2312" w:cs="仿宋_GB2312"/>
              </w:rPr>
              <w:t>1.违约责任 （1）双方必须遵守本合同并执行合同中的各项规定，保证本合同的正常履行。 （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 2.争议解决办法： （1）在执行本合同中发生的或与本合同有关的争议，双方应通过友好协商解决，经协商不能达成协议时，当事人依法维护合法权益。 （2）诉讼判决应为最终决定，并对双方具有约束力。 （3）除另有判决外，诉讼费应由败诉方负担。 （4）在诉讼期间，除正在进行诉讼部分外，合同其他部分继续执行。</w:t>
            </w:r>
          </w:p>
        </w:tc>
      </w:tr>
    </w:tbl>
    <w:p w14:paraId="327E11C2">
      <w:pPr>
        <w:pStyle w:val="4"/>
        <w:jc w:val="left"/>
        <w:outlineLvl w:val="2"/>
      </w:pPr>
      <w:r>
        <w:rPr>
          <w:rFonts w:ascii="仿宋_GB2312" w:hAnsi="仿宋_GB2312" w:eastAsia="仿宋_GB2312" w:cs="仿宋_GB2312"/>
          <w:b/>
          <w:sz w:val="28"/>
        </w:rPr>
        <w:t>3.4.其他要求</w:t>
      </w:r>
    </w:p>
    <w:p w14:paraId="278AC5E7">
      <w:pPr>
        <w:pStyle w:val="4"/>
        <w:ind w:firstLine="480"/>
        <w:jc w:val="left"/>
      </w:pPr>
      <w:r>
        <w:rPr>
          <w:rFonts w:ascii="仿宋_GB2312" w:hAnsi="仿宋_GB2312" w:eastAsia="仿宋_GB2312" w:cs="仿宋_GB2312"/>
        </w:rPr>
        <w:t>采购包1：</w:t>
      </w:r>
    </w:p>
    <w:p w14:paraId="28426CF9">
      <w:pPr>
        <w:pStyle w:val="4"/>
        <w:jc w:val="left"/>
      </w:pPr>
      <w:r>
        <w:rPr>
          <w:rFonts w:ascii="仿宋_GB2312" w:hAnsi="仿宋_GB2312" w:eastAsia="仿宋_GB2312" w:cs="仿宋_GB2312"/>
        </w:rPr>
        <w:t>★1.报价构成：供应商报价应是完成本项目的全部费用，包含所涉及的服务费、差旅费、人工费、资料费、设施设备（含软件）使用费、成果审查费、咨询费、安全文明费、打印费、保险费、税费、管理费、合理的利润、后续服务费等与本项目相关的一切费用，采购人不再另行支付其他费用。报价以元为单位，保留两位小数。 ★2.安全责任：在履行合同过程中，因供应商自身或其工作人员在履行职务过程中的疏忽、失职、过错等故意或者过失原因造成的人员安全责任及事故责任由供应商自行负责，如对采购人造成损失的，包括但不限于采购人本身的财产损失、由此而导致的采购人对任何第三方的法律责任等，供应商对此应承担相应的责任。供应商应当为参与本项目实施人员购买工伤保险或人身意外伤害保险。（在响应文件中提供承诺函） 3.供应商根据本项目技术服务要求配置必要的设备和专业人员，并接受采购人的监督管理。 4.供应商根据本项目采购需求及技术服务要求在响应文件中提供财务决算方案、内控管理制度，具体的细化量化指标及要求详见评审标准。</w:t>
      </w:r>
    </w:p>
    <w:p w14:paraId="6ACA0D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779B7"/>
    <w:rsid w:val="6CF7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2026-04-17T06:56:00Z</dcterms:created>
  <dc:creator>凌木</dc:creator>
  <cp:lastModifiedBy>凌木</cp:lastModifiedBy>
  <dcterms:modified xsi:type="dcterms:W3CDTF">2026-04-17T06:57:30Z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D38A006F3158437E95EAAC36EE15D43A_11</vt:lpwstr>
  </property>
  <property fmtid="{D5CDD505-2E9C-101B-9397-08002B2CF9AE}" pid="4" name="KSOTemplateDocerSaveRecord">
    <vt:lpwstr>eyJoZGlkIjoiMDdlMDdhMjI3NzVjZDU5ODMzZGI4OGQ2NWZiOGQ0ZjciLCJ1c2VySWQiOiIyNTY1NTIyNTkifQ==</vt:lpwstr>
  </property>
</Properties>
</file>