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28899">
      <w:pPr>
        <w:pStyle w:val="4"/>
        <w:jc w:val="center"/>
        <w:outlineLvl w:val="1"/>
      </w:pPr>
      <w:r>
        <w:rPr>
          <w:rFonts w:ascii="仿宋_GB2312" w:hAnsi="仿宋_GB2312" w:eastAsia="仿宋_GB2312" w:cs="仿宋_GB2312"/>
          <w:b/>
          <w:sz w:val="36"/>
        </w:rPr>
        <w:t>第三章 技术、服务及其他要求</w:t>
      </w:r>
    </w:p>
    <w:p w14:paraId="28E2554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3E914DD">
      <w:pPr>
        <w:pStyle w:val="4"/>
        <w:jc w:val="left"/>
        <w:outlineLvl w:val="2"/>
      </w:pPr>
      <w:r>
        <w:rPr>
          <w:rFonts w:ascii="仿宋_GB2312" w:hAnsi="仿宋_GB2312" w:eastAsia="仿宋_GB2312" w:cs="仿宋_GB2312"/>
          <w:b/>
          <w:sz w:val="28"/>
        </w:rPr>
        <w:t>3.1.采购内容</w:t>
      </w:r>
    </w:p>
    <w:p w14:paraId="0502F9FF">
      <w:pPr>
        <w:pStyle w:val="4"/>
        <w:jc w:val="left"/>
      </w:pPr>
      <w:r>
        <w:rPr>
          <w:rFonts w:ascii="仿宋_GB2312" w:hAnsi="仿宋_GB2312" w:eastAsia="仿宋_GB2312" w:cs="仿宋_GB2312"/>
        </w:rPr>
        <w:t>采购包1：</w:t>
      </w:r>
    </w:p>
    <w:p w14:paraId="2C8DCAF3">
      <w:pPr>
        <w:pStyle w:val="4"/>
        <w:jc w:val="left"/>
      </w:pPr>
      <w:r>
        <w:rPr>
          <w:rFonts w:ascii="仿宋_GB2312" w:hAnsi="仿宋_GB2312" w:eastAsia="仿宋_GB2312" w:cs="仿宋_GB2312"/>
        </w:rPr>
        <w:t>采购包预算金额（元）: 2,364,100.00</w:t>
      </w:r>
    </w:p>
    <w:p w14:paraId="020DF864">
      <w:pPr>
        <w:pStyle w:val="4"/>
        <w:jc w:val="left"/>
      </w:pPr>
      <w:r>
        <w:rPr>
          <w:rFonts w:ascii="仿宋_GB2312" w:hAnsi="仿宋_GB2312" w:eastAsia="仿宋_GB2312" w:cs="仿宋_GB2312"/>
        </w:rPr>
        <w:t>采购包最高限价（元）: 2,364,100.00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31C0F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52DAE0">
            <w:pPr>
              <w:pStyle w:val="4"/>
              <w:jc w:val="center"/>
            </w:pPr>
            <w:r>
              <w:rPr>
                <w:rFonts w:ascii="仿宋_GB2312" w:hAnsi="仿宋_GB2312" w:eastAsia="仿宋_GB2312" w:cs="仿宋_GB2312"/>
              </w:rPr>
              <w:t>序号</w:t>
            </w:r>
          </w:p>
        </w:tc>
        <w:tc>
          <w:tcPr>
            <w:tcW w:w="821" w:type="dxa"/>
          </w:tcPr>
          <w:p w14:paraId="0542F26F">
            <w:pPr>
              <w:pStyle w:val="4"/>
              <w:jc w:val="center"/>
            </w:pPr>
            <w:r>
              <w:rPr>
                <w:rFonts w:ascii="仿宋_GB2312" w:hAnsi="仿宋_GB2312" w:eastAsia="仿宋_GB2312" w:cs="仿宋_GB2312"/>
              </w:rPr>
              <w:t>采购品目名称</w:t>
            </w:r>
          </w:p>
        </w:tc>
        <w:tc>
          <w:tcPr>
            <w:tcW w:w="821" w:type="dxa"/>
          </w:tcPr>
          <w:p w14:paraId="4ED621B6">
            <w:pPr>
              <w:pStyle w:val="4"/>
              <w:jc w:val="center"/>
            </w:pPr>
            <w:r>
              <w:rPr>
                <w:rFonts w:ascii="仿宋_GB2312" w:hAnsi="仿宋_GB2312" w:eastAsia="仿宋_GB2312" w:cs="仿宋_GB2312"/>
              </w:rPr>
              <w:t>标的名称</w:t>
            </w:r>
          </w:p>
        </w:tc>
        <w:tc>
          <w:tcPr>
            <w:tcW w:w="821" w:type="dxa"/>
          </w:tcPr>
          <w:p w14:paraId="764A087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61B8122">
            <w:pPr>
              <w:pStyle w:val="4"/>
              <w:jc w:val="center"/>
            </w:pPr>
            <w:r>
              <w:rPr>
                <w:rFonts w:ascii="仿宋_GB2312" w:hAnsi="仿宋_GB2312" w:eastAsia="仿宋_GB2312" w:cs="仿宋_GB2312"/>
              </w:rPr>
              <w:t>标的金额 （元）</w:t>
            </w:r>
          </w:p>
        </w:tc>
        <w:tc>
          <w:tcPr>
            <w:tcW w:w="821" w:type="dxa"/>
          </w:tcPr>
          <w:p w14:paraId="51FA5234">
            <w:pPr>
              <w:pStyle w:val="4"/>
              <w:jc w:val="center"/>
            </w:pPr>
            <w:r>
              <w:rPr>
                <w:rFonts w:ascii="仿宋_GB2312" w:hAnsi="仿宋_GB2312" w:eastAsia="仿宋_GB2312" w:cs="仿宋_GB2312"/>
              </w:rPr>
              <w:t>所属行业</w:t>
            </w:r>
          </w:p>
        </w:tc>
        <w:tc>
          <w:tcPr>
            <w:tcW w:w="821" w:type="dxa"/>
          </w:tcPr>
          <w:p w14:paraId="529DB822">
            <w:pPr>
              <w:pStyle w:val="4"/>
              <w:jc w:val="center"/>
            </w:pPr>
            <w:r>
              <w:rPr>
                <w:rFonts w:ascii="仿宋_GB2312" w:hAnsi="仿宋_GB2312" w:eastAsia="仿宋_GB2312" w:cs="仿宋_GB2312"/>
              </w:rPr>
              <w:t>是否涉及核心产品</w:t>
            </w:r>
          </w:p>
        </w:tc>
        <w:tc>
          <w:tcPr>
            <w:tcW w:w="821" w:type="dxa"/>
          </w:tcPr>
          <w:p w14:paraId="746F7760">
            <w:pPr>
              <w:pStyle w:val="4"/>
              <w:jc w:val="center"/>
            </w:pPr>
            <w:r>
              <w:rPr>
                <w:rFonts w:ascii="仿宋_GB2312" w:hAnsi="仿宋_GB2312" w:eastAsia="仿宋_GB2312" w:cs="仿宋_GB2312"/>
              </w:rPr>
              <w:t>是否涉及采购进口产品</w:t>
            </w:r>
          </w:p>
        </w:tc>
        <w:tc>
          <w:tcPr>
            <w:tcW w:w="821" w:type="dxa"/>
          </w:tcPr>
          <w:p w14:paraId="5FAB11CD">
            <w:pPr>
              <w:pStyle w:val="4"/>
              <w:jc w:val="center"/>
            </w:pPr>
            <w:r>
              <w:rPr>
                <w:rFonts w:ascii="仿宋_GB2312" w:hAnsi="仿宋_GB2312" w:eastAsia="仿宋_GB2312" w:cs="仿宋_GB2312"/>
              </w:rPr>
              <w:t>是否涉及强制采购节能产品</w:t>
            </w:r>
          </w:p>
        </w:tc>
        <w:tc>
          <w:tcPr>
            <w:tcW w:w="639" w:type="dxa"/>
          </w:tcPr>
          <w:p w14:paraId="675D5A34">
            <w:pPr>
              <w:pStyle w:val="4"/>
              <w:jc w:val="center"/>
            </w:pPr>
            <w:r>
              <w:rPr>
                <w:rFonts w:ascii="仿宋_GB2312" w:hAnsi="仿宋_GB2312" w:eastAsia="仿宋_GB2312" w:cs="仿宋_GB2312"/>
              </w:rPr>
              <w:t>是否涉及优先采购节能产品</w:t>
            </w:r>
          </w:p>
        </w:tc>
        <w:tc>
          <w:tcPr>
            <w:tcW w:w="639" w:type="dxa"/>
          </w:tcPr>
          <w:p w14:paraId="56605A11">
            <w:pPr>
              <w:pStyle w:val="4"/>
              <w:jc w:val="center"/>
            </w:pPr>
            <w:r>
              <w:rPr>
                <w:rFonts w:ascii="仿宋_GB2312" w:hAnsi="仿宋_GB2312" w:eastAsia="仿宋_GB2312" w:cs="仿宋_GB2312"/>
              </w:rPr>
              <w:t>是否涉及优先采购环境标志产品</w:t>
            </w:r>
          </w:p>
        </w:tc>
      </w:tr>
      <w:tr w14:paraId="4779E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A4163D">
            <w:pPr>
              <w:pStyle w:val="4"/>
              <w:jc w:val="left"/>
            </w:pPr>
            <w:r>
              <w:rPr>
                <w:rFonts w:ascii="仿宋_GB2312" w:hAnsi="仿宋_GB2312" w:eastAsia="仿宋_GB2312" w:cs="仿宋_GB2312"/>
              </w:rPr>
              <w:t>1</w:t>
            </w:r>
          </w:p>
        </w:tc>
        <w:tc>
          <w:tcPr>
            <w:tcW w:w="821" w:type="dxa"/>
          </w:tcPr>
          <w:p w14:paraId="4AB0A8E2">
            <w:pPr>
              <w:pStyle w:val="4"/>
              <w:jc w:val="left"/>
            </w:pPr>
            <w:r>
              <w:rPr>
                <w:rFonts w:ascii="仿宋_GB2312" w:hAnsi="仿宋_GB2312" w:eastAsia="仿宋_GB2312" w:cs="仿宋_GB2312"/>
              </w:rPr>
              <w:t>C20030900 评审咨询服务</w:t>
            </w:r>
          </w:p>
        </w:tc>
        <w:tc>
          <w:tcPr>
            <w:tcW w:w="821" w:type="dxa"/>
          </w:tcPr>
          <w:p w14:paraId="02AEF3CA">
            <w:pPr>
              <w:pStyle w:val="4"/>
              <w:jc w:val="left"/>
            </w:pPr>
            <w:r>
              <w:rPr>
                <w:rFonts w:ascii="仿宋_GB2312" w:hAnsi="仿宋_GB2312" w:eastAsia="仿宋_GB2312" w:cs="仿宋_GB2312"/>
              </w:rPr>
              <w:t>大安区棚户区改造及配套基础设施建设工程结算复核服务项目</w:t>
            </w:r>
          </w:p>
        </w:tc>
        <w:tc>
          <w:tcPr>
            <w:tcW w:w="821" w:type="dxa"/>
          </w:tcPr>
          <w:p w14:paraId="78F72C49">
            <w:pPr>
              <w:pStyle w:val="4"/>
              <w:jc w:val="right"/>
            </w:pPr>
            <w:r>
              <w:rPr>
                <w:rFonts w:ascii="仿宋_GB2312" w:hAnsi="仿宋_GB2312" w:eastAsia="仿宋_GB2312" w:cs="仿宋_GB2312"/>
              </w:rPr>
              <w:t>1.00（项）</w:t>
            </w:r>
          </w:p>
        </w:tc>
        <w:tc>
          <w:tcPr>
            <w:tcW w:w="821" w:type="dxa"/>
          </w:tcPr>
          <w:p w14:paraId="686699D8">
            <w:pPr>
              <w:pStyle w:val="4"/>
              <w:jc w:val="right"/>
            </w:pPr>
            <w:r>
              <w:rPr>
                <w:rFonts w:ascii="仿宋_GB2312" w:hAnsi="仿宋_GB2312" w:eastAsia="仿宋_GB2312" w:cs="仿宋_GB2312"/>
              </w:rPr>
              <w:t>2,364,100.00</w:t>
            </w:r>
          </w:p>
        </w:tc>
        <w:tc>
          <w:tcPr>
            <w:tcW w:w="821" w:type="dxa"/>
          </w:tcPr>
          <w:p w14:paraId="5D607CE1">
            <w:pPr>
              <w:pStyle w:val="4"/>
              <w:jc w:val="left"/>
            </w:pPr>
            <w:r>
              <w:rPr>
                <w:rFonts w:ascii="仿宋_GB2312" w:hAnsi="仿宋_GB2312" w:eastAsia="仿宋_GB2312" w:cs="仿宋_GB2312"/>
              </w:rPr>
              <w:t>其他未列明行业</w:t>
            </w:r>
          </w:p>
        </w:tc>
        <w:tc>
          <w:tcPr>
            <w:tcW w:w="821" w:type="dxa"/>
          </w:tcPr>
          <w:p w14:paraId="7C0DDBC2">
            <w:pPr>
              <w:pStyle w:val="4"/>
              <w:jc w:val="left"/>
            </w:pPr>
            <w:r>
              <w:rPr>
                <w:rFonts w:ascii="仿宋_GB2312" w:hAnsi="仿宋_GB2312" w:eastAsia="仿宋_GB2312" w:cs="仿宋_GB2312"/>
              </w:rPr>
              <w:t>否</w:t>
            </w:r>
          </w:p>
        </w:tc>
        <w:tc>
          <w:tcPr>
            <w:tcW w:w="821" w:type="dxa"/>
          </w:tcPr>
          <w:p w14:paraId="1C1B00F7">
            <w:pPr>
              <w:pStyle w:val="4"/>
              <w:jc w:val="left"/>
            </w:pPr>
            <w:r>
              <w:rPr>
                <w:rFonts w:ascii="仿宋_GB2312" w:hAnsi="仿宋_GB2312" w:eastAsia="仿宋_GB2312" w:cs="仿宋_GB2312"/>
              </w:rPr>
              <w:t>否</w:t>
            </w:r>
          </w:p>
        </w:tc>
        <w:tc>
          <w:tcPr>
            <w:tcW w:w="821" w:type="dxa"/>
          </w:tcPr>
          <w:p w14:paraId="072E53B6">
            <w:pPr>
              <w:pStyle w:val="4"/>
              <w:jc w:val="left"/>
            </w:pPr>
            <w:r>
              <w:rPr>
                <w:rFonts w:ascii="仿宋_GB2312" w:hAnsi="仿宋_GB2312" w:eastAsia="仿宋_GB2312" w:cs="仿宋_GB2312"/>
              </w:rPr>
              <w:t>否</w:t>
            </w:r>
          </w:p>
        </w:tc>
        <w:tc>
          <w:tcPr>
            <w:tcW w:w="639" w:type="dxa"/>
          </w:tcPr>
          <w:p w14:paraId="029090AE">
            <w:pPr>
              <w:pStyle w:val="4"/>
              <w:jc w:val="left"/>
            </w:pPr>
            <w:r>
              <w:rPr>
                <w:rFonts w:ascii="仿宋_GB2312" w:hAnsi="仿宋_GB2312" w:eastAsia="仿宋_GB2312" w:cs="仿宋_GB2312"/>
              </w:rPr>
              <w:t>否</w:t>
            </w:r>
          </w:p>
        </w:tc>
        <w:tc>
          <w:tcPr>
            <w:tcW w:w="639" w:type="dxa"/>
          </w:tcPr>
          <w:p w14:paraId="1CB8BE04">
            <w:pPr>
              <w:pStyle w:val="4"/>
              <w:jc w:val="left"/>
            </w:pPr>
            <w:r>
              <w:rPr>
                <w:rFonts w:ascii="仿宋_GB2312" w:hAnsi="仿宋_GB2312" w:eastAsia="仿宋_GB2312" w:cs="仿宋_GB2312"/>
              </w:rPr>
              <w:t>否</w:t>
            </w:r>
          </w:p>
        </w:tc>
      </w:tr>
    </w:tbl>
    <w:p w14:paraId="22C41B9B">
      <w:pPr>
        <w:pStyle w:val="4"/>
        <w:jc w:val="left"/>
      </w:pPr>
      <w:r>
        <w:rPr>
          <w:rFonts w:ascii="仿宋_GB2312" w:hAnsi="仿宋_GB2312" w:eastAsia="仿宋_GB2312" w:cs="仿宋_GB2312"/>
        </w:rPr>
        <w:t xml:space="preserve"> 是否适用本国产品标准：</w:t>
      </w:r>
    </w:p>
    <w:p w14:paraId="37ED2278">
      <w:pPr>
        <w:pStyle w:val="4"/>
        <w:jc w:val="left"/>
      </w:pPr>
      <w:r>
        <w:rPr>
          <w:rFonts w:ascii="仿宋_GB2312" w:hAnsi="仿宋_GB2312" w:eastAsia="仿宋_GB2312" w:cs="仿宋_GB2312"/>
        </w:rPr>
        <w:t>采购包1：否</w:t>
      </w:r>
    </w:p>
    <w:p w14:paraId="0809E255">
      <w:pPr>
        <w:pStyle w:val="4"/>
        <w:jc w:val="left"/>
        <w:outlineLvl w:val="3"/>
      </w:pPr>
      <w:r>
        <w:rPr>
          <w:rFonts w:ascii="仿宋_GB2312" w:hAnsi="仿宋_GB2312" w:eastAsia="仿宋_GB2312" w:cs="仿宋_GB2312"/>
          <w:b/>
          <w:sz w:val="24"/>
        </w:rPr>
        <w:t>报价要求</w:t>
      </w:r>
    </w:p>
    <w:p w14:paraId="4BE57D5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0DB13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146A5763">
            <w:pPr>
              <w:pStyle w:val="4"/>
              <w:jc w:val="center"/>
            </w:pPr>
            <w:r>
              <w:rPr>
                <w:rFonts w:ascii="仿宋_GB2312" w:hAnsi="仿宋_GB2312" w:eastAsia="仿宋_GB2312" w:cs="仿宋_GB2312"/>
              </w:rPr>
              <w:t>序号</w:t>
            </w:r>
          </w:p>
        </w:tc>
        <w:tc>
          <w:tcPr>
            <w:tcW w:w="1759" w:type="dxa"/>
          </w:tcPr>
          <w:p w14:paraId="053A4A82">
            <w:pPr>
              <w:pStyle w:val="4"/>
              <w:jc w:val="center"/>
            </w:pPr>
            <w:r>
              <w:rPr>
                <w:rFonts w:ascii="仿宋_GB2312" w:hAnsi="仿宋_GB2312" w:eastAsia="仿宋_GB2312" w:cs="仿宋_GB2312"/>
              </w:rPr>
              <w:t>报价内容</w:t>
            </w:r>
          </w:p>
        </w:tc>
        <w:tc>
          <w:tcPr>
            <w:tcW w:w="977" w:type="dxa"/>
          </w:tcPr>
          <w:p w14:paraId="21526939">
            <w:pPr>
              <w:pStyle w:val="4"/>
              <w:jc w:val="center"/>
            </w:pPr>
            <w:r>
              <w:rPr>
                <w:rFonts w:ascii="仿宋_GB2312" w:hAnsi="仿宋_GB2312" w:eastAsia="仿宋_GB2312" w:cs="仿宋_GB2312"/>
              </w:rPr>
              <w:t>计量单位</w:t>
            </w:r>
          </w:p>
        </w:tc>
        <w:tc>
          <w:tcPr>
            <w:tcW w:w="977" w:type="dxa"/>
          </w:tcPr>
          <w:p w14:paraId="23C9A9A2">
            <w:pPr>
              <w:pStyle w:val="4"/>
              <w:jc w:val="center"/>
            </w:pPr>
            <w:r>
              <w:rPr>
                <w:rFonts w:ascii="仿宋_GB2312" w:hAnsi="仿宋_GB2312" w:eastAsia="仿宋_GB2312" w:cs="仿宋_GB2312"/>
              </w:rPr>
              <w:t>报价单位</w:t>
            </w:r>
          </w:p>
        </w:tc>
        <w:tc>
          <w:tcPr>
            <w:tcW w:w="1466" w:type="dxa"/>
          </w:tcPr>
          <w:p w14:paraId="57E571AE">
            <w:pPr>
              <w:pStyle w:val="4"/>
              <w:jc w:val="center"/>
            </w:pPr>
            <w:r>
              <w:rPr>
                <w:rFonts w:ascii="仿宋_GB2312" w:hAnsi="仿宋_GB2312" w:eastAsia="仿宋_GB2312" w:cs="仿宋_GB2312"/>
              </w:rPr>
              <w:t>最高限价</w:t>
            </w:r>
          </w:p>
        </w:tc>
        <w:tc>
          <w:tcPr>
            <w:tcW w:w="977" w:type="dxa"/>
          </w:tcPr>
          <w:p w14:paraId="4295624C">
            <w:pPr>
              <w:pStyle w:val="4"/>
              <w:jc w:val="center"/>
            </w:pPr>
            <w:r>
              <w:rPr>
                <w:rFonts w:ascii="仿宋_GB2312" w:hAnsi="仿宋_GB2312" w:eastAsia="仿宋_GB2312" w:cs="仿宋_GB2312"/>
              </w:rPr>
              <w:t>价款形式</w:t>
            </w:r>
          </w:p>
        </w:tc>
        <w:tc>
          <w:tcPr>
            <w:tcW w:w="1466" w:type="dxa"/>
          </w:tcPr>
          <w:p w14:paraId="1E716158">
            <w:pPr>
              <w:pStyle w:val="4"/>
              <w:jc w:val="center"/>
            </w:pPr>
            <w:r>
              <w:rPr>
                <w:rFonts w:ascii="仿宋_GB2312" w:hAnsi="仿宋_GB2312" w:eastAsia="仿宋_GB2312" w:cs="仿宋_GB2312"/>
              </w:rPr>
              <w:t>报价说明</w:t>
            </w:r>
          </w:p>
        </w:tc>
      </w:tr>
      <w:tr w14:paraId="117FE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36BFDDE9">
            <w:pPr>
              <w:pStyle w:val="4"/>
              <w:jc w:val="center"/>
            </w:pPr>
            <w:r>
              <w:rPr>
                <w:rFonts w:ascii="仿宋_GB2312" w:hAnsi="仿宋_GB2312" w:eastAsia="仿宋_GB2312" w:cs="仿宋_GB2312"/>
              </w:rPr>
              <w:t>1</w:t>
            </w:r>
          </w:p>
        </w:tc>
        <w:tc>
          <w:tcPr>
            <w:tcW w:w="1759" w:type="dxa"/>
          </w:tcPr>
          <w:p w14:paraId="171F6463">
            <w:pPr>
              <w:pStyle w:val="4"/>
              <w:jc w:val="center"/>
            </w:pPr>
            <w:r>
              <w:rPr>
                <w:rFonts w:ascii="仿宋_GB2312" w:hAnsi="仿宋_GB2312" w:eastAsia="仿宋_GB2312" w:cs="仿宋_GB2312"/>
              </w:rPr>
              <w:t>大安区棚户区改造及配套基础设施建设工程结算复核服务项目</w:t>
            </w:r>
          </w:p>
        </w:tc>
        <w:tc>
          <w:tcPr>
            <w:tcW w:w="977" w:type="dxa"/>
          </w:tcPr>
          <w:p w14:paraId="5145095A">
            <w:pPr>
              <w:pStyle w:val="4"/>
              <w:jc w:val="center"/>
            </w:pPr>
            <w:r>
              <w:rPr>
                <w:rFonts w:ascii="仿宋_GB2312" w:hAnsi="仿宋_GB2312" w:eastAsia="仿宋_GB2312" w:cs="仿宋_GB2312"/>
              </w:rPr>
              <w:t>项</w:t>
            </w:r>
          </w:p>
        </w:tc>
        <w:tc>
          <w:tcPr>
            <w:tcW w:w="977" w:type="dxa"/>
          </w:tcPr>
          <w:p w14:paraId="366DCD7D">
            <w:pPr>
              <w:pStyle w:val="4"/>
              <w:jc w:val="center"/>
            </w:pPr>
            <w:r>
              <w:rPr>
                <w:rFonts w:ascii="仿宋_GB2312" w:hAnsi="仿宋_GB2312" w:eastAsia="仿宋_GB2312" w:cs="仿宋_GB2312"/>
              </w:rPr>
              <w:t>%</w:t>
            </w:r>
          </w:p>
        </w:tc>
        <w:tc>
          <w:tcPr>
            <w:tcW w:w="1466" w:type="dxa"/>
          </w:tcPr>
          <w:p w14:paraId="5C367551">
            <w:pPr>
              <w:pStyle w:val="4"/>
              <w:jc w:val="center"/>
            </w:pPr>
            <w:r>
              <w:rPr>
                <w:rFonts w:ascii="仿宋_GB2312" w:hAnsi="仿宋_GB2312" w:eastAsia="仿宋_GB2312" w:cs="仿宋_GB2312"/>
              </w:rPr>
              <w:t>100.00</w:t>
            </w:r>
          </w:p>
        </w:tc>
        <w:tc>
          <w:tcPr>
            <w:tcW w:w="977" w:type="dxa"/>
          </w:tcPr>
          <w:p w14:paraId="2B66527F">
            <w:pPr>
              <w:pStyle w:val="4"/>
              <w:jc w:val="center"/>
            </w:pPr>
            <w:r>
              <w:rPr>
                <w:rFonts w:ascii="仿宋_GB2312" w:hAnsi="仿宋_GB2312" w:eastAsia="仿宋_GB2312" w:cs="仿宋_GB2312"/>
              </w:rPr>
              <w:t>百分比</w:t>
            </w:r>
          </w:p>
        </w:tc>
        <w:tc>
          <w:tcPr>
            <w:tcW w:w="1466" w:type="dxa"/>
          </w:tcPr>
          <w:p w14:paraId="42852CB8">
            <w:pPr>
              <w:pStyle w:val="4"/>
              <w:jc w:val="left"/>
            </w:pPr>
            <w:r>
              <w:rPr>
                <w:rFonts w:ascii="仿宋_GB2312" w:hAnsi="仿宋_GB2312" w:eastAsia="仿宋_GB2312" w:cs="仿宋_GB2312"/>
              </w:rPr>
              <w:t>供应商报价表按照百分比进行报价（各子项目均按此百分比执行）。基本费用=送审金额×0.4‰，供应商不进行报价；效益费用=净审减金额（审增审减品迭后）×5%×供应商报价百分比。</w:t>
            </w:r>
          </w:p>
        </w:tc>
      </w:tr>
    </w:tbl>
    <w:p w14:paraId="0587644D">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B06D88B">
      <w:pPr>
        <w:pStyle w:val="4"/>
        <w:jc w:val="left"/>
        <w:outlineLvl w:val="3"/>
      </w:pPr>
      <w:r>
        <w:rPr>
          <w:rFonts w:ascii="仿宋_GB2312" w:hAnsi="仿宋_GB2312" w:eastAsia="仿宋_GB2312" w:cs="仿宋_GB2312"/>
          <w:b/>
          <w:sz w:val="24"/>
        </w:rPr>
        <w:t>本项目涉及核心产品：</w:t>
      </w:r>
    </w:p>
    <w:p w14:paraId="4C8DD17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ACE9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9F323B">
            <w:pPr>
              <w:pStyle w:val="4"/>
              <w:jc w:val="center"/>
            </w:pPr>
            <w:r>
              <w:rPr>
                <w:rFonts w:ascii="仿宋_GB2312" w:hAnsi="仿宋_GB2312" w:eastAsia="仿宋_GB2312" w:cs="仿宋_GB2312"/>
              </w:rPr>
              <w:t>序号</w:t>
            </w:r>
          </w:p>
        </w:tc>
        <w:tc>
          <w:tcPr>
            <w:tcW w:w="2492" w:type="dxa"/>
          </w:tcPr>
          <w:p w14:paraId="1B190B22">
            <w:pPr>
              <w:pStyle w:val="4"/>
              <w:jc w:val="center"/>
            </w:pPr>
            <w:r>
              <w:rPr>
                <w:rFonts w:ascii="仿宋_GB2312" w:hAnsi="仿宋_GB2312" w:eastAsia="仿宋_GB2312" w:cs="仿宋_GB2312"/>
              </w:rPr>
              <w:t>采购品目名称</w:t>
            </w:r>
          </w:p>
        </w:tc>
        <w:tc>
          <w:tcPr>
            <w:tcW w:w="2492" w:type="dxa"/>
          </w:tcPr>
          <w:p w14:paraId="6F1B3245">
            <w:pPr>
              <w:pStyle w:val="4"/>
              <w:jc w:val="center"/>
            </w:pPr>
            <w:r>
              <w:rPr>
                <w:rFonts w:ascii="仿宋_GB2312" w:hAnsi="仿宋_GB2312" w:eastAsia="仿宋_GB2312" w:cs="仿宋_GB2312"/>
              </w:rPr>
              <w:t>标的名称</w:t>
            </w:r>
          </w:p>
        </w:tc>
        <w:tc>
          <w:tcPr>
            <w:tcW w:w="2492" w:type="dxa"/>
          </w:tcPr>
          <w:p w14:paraId="2C98D1A5">
            <w:pPr>
              <w:pStyle w:val="4"/>
              <w:jc w:val="center"/>
            </w:pPr>
            <w:r>
              <w:rPr>
                <w:rFonts w:ascii="仿宋_GB2312" w:hAnsi="仿宋_GB2312" w:eastAsia="仿宋_GB2312" w:cs="仿宋_GB2312"/>
              </w:rPr>
              <w:t>产品名称</w:t>
            </w:r>
          </w:p>
        </w:tc>
      </w:tr>
      <w:tr w14:paraId="10177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8074616">
            <w:pPr>
              <w:pStyle w:val="4"/>
              <w:jc w:val="center"/>
            </w:pPr>
            <w:r>
              <w:rPr>
                <w:rFonts w:ascii="仿宋_GB2312" w:hAnsi="仿宋_GB2312" w:eastAsia="仿宋_GB2312" w:cs="仿宋_GB2312"/>
              </w:rPr>
              <w:t>不涉及</w:t>
            </w:r>
          </w:p>
        </w:tc>
      </w:tr>
    </w:tbl>
    <w:p w14:paraId="3AA31821">
      <w:pPr>
        <w:pStyle w:val="4"/>
        <w:ind w:firstLine="480"/>
        <w:jc w:val="left"/>
      </w:pPr>
      <w:r>
        <w:rPr>
          <w:rFonts w:ascii="仿宋_GB2312" w:hAnsi="仿宋_GB2312" w:eastAsia="仿宋_GB2312" w:cs="仿宋_GB2312"/>
        </w:rPr>
        <w:t>注：涉及核心产品的，具体评审规定见第五章。</w:t>
      </w:r>
    </w:p>
    <w:p w14:paraId="1A7EF634">
      <w:pPr>
        <w:pStyle w:val="4"/>
        <w:jc w:val="left"/>
        <w:outlineLvl w:val="3"/>
      </w:pPr>
      <w:r>
        <w:rPr>
          <w:rFonts w:ascii="仿宋_GB2312" w:hAnsi="仿宋_GB2312" w:eastAsia="仿宋_GB2312" w:cs="仿宋_GB2312"/>
          <w:b/>
          <w:sz w:val="24"/>
        </w:rPr>
        <w:t>本项目涉及采购进口产品：</w:t>
      </w:r>
    </w:p>
    <w:p w14:paraId="446B85A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7FB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8DB29F">
            <w:pPr>
              <w:pStyle w:val="4"/>
              <w:jc w:val="center"/>
            </w:pPr>
            <w:r>
              <w:rPr>
                <w:rFonts w:ascii="仿宋_GB2312" w:hAnsi="仿宋_GB2312" w:eastAsia="仿宋_GB2312" w:cs="仿宋_GB2312"/>
              </w:rPr>
              <w:t>序号</w:t>
            </w:r>
          </w:p>
        </w:tc>
        <w:tc>
          <w:tcPr>
            <w:tcW w:w="2492" w:type="dxa"/>
          </w:tcPr>
          <w:p w14:paraId="0BF898F7">
            <w:pPr>
              <w:pStyle w:val="4"/>
              <w:jc w:val="center"/>
            </w:pPr>
            <w:r>
              <w:rPr>
                <w:rFonts w:ascii="仿宋_GB2312" w:hAnsi="仿宋_GB2312" w:eastAsia="仿宋_GB2312" w:cs="仿宋_GB2312"/>
              </w:rPr>
              <w:t>采购品目名称</w:t>
            </w:r>
          </w:p>
        </w:tc>
        <w:tc>
          <w:tcPr>
            <w:tcW w:w="2492" w:type="dxa"/>
          </w:tcPr>
          <w:p w14:paraId="66C0AD8F">
            <w:pPr>
              <w:pStyle w:val="4"/>
              <w:jc w:val="center"/>
            </w:pPr>
            <w:r>
              <w:rPr>
                <w:rFonts w:ascii="仿宋_GB2312" w:hAnsi="仿宋_GB2312" w:eastAsia="仿宋_GB2312" w:cs="仿宋_GB2312"/>
              </w:rPr>
              <w:t>标的名称</w:t>
            </w:r>
          </w:p>
        </w:tc>
        <w:tc>
          <w:tcPr>
            <w:tcW w:w="2492" w:type="dxa"/>
          </w:tcPr>
          <w:p w14:paraId="44511842">
            <w:pPr>
              <w:pStyle w:val="4"/>
              <w:jc w:val="center"/>
            </w:pPr>
            <w:r>
              <w:rPr>
                <w:rFonts w:ascii="仿宋_GB2312" w:hAnsi="仿宋_GB2312" w:eastAsia="仿宋_GB2312" w:cs="仿宋_GB2312"/>
              </w:rPr>
              <w:t>产品名称</w:t>
            </w:r>
          </w:p>
        </w:tc>
      </w:tr>
      <w:tr w14:paraId="60905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494351">
            <w:pPr>
              <w:pStyle w:val="4"/>
              <w:jc w:val="center"/>
            </w:pPr>
            <w:r>
              <w:rPr>
                <w:rFonts w:ascii="仿宋_GB2312" w:hAnsi="仿宋_GB2312" w:eastAsia="仿宋_GB2312" w:cs="仿宋_GB2312"/>
              </w:rPr>
              <w:t>不涉及</w:t>
            </w:r>
          </w:p>
        </w:tc>
      </w:tr>
    </w:tbl>
    <w:p w14:paraId="3C61F42D">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6698662">
      <w:pPr>
        <w:pStyle w:val="4"/>
        <w:jc w:val="left"/>
        <w:outlineLvl w:val="3"/>
      </w:pPr>
      <w:r>
        <w:rPr>
          <w:rFonts w:ascii="仿宋_GB2312" w:hAnsi="仿宋_GB2312" w:eastAsia="仿宋_GB2312" w:cs="仿宋_GB2312"/>
          <w:b/>
          <w:sz w:val="24"/>
        </w:rPr>
        <w:t>本项目涉及强制采购节能产品：</w:t>
      </w:r>
    </w:p>
    <w:p w14:paraId="34E73CF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5A52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E8D5CD">
            <w:pPr>
              <w:pStyle w:val="4"/>
              <w:jc w:val="center"/>
            </w:pPr>
            <w:r>
              <w:rPr>
                <w:rFonts w:ascii="仿宋_GB2312" w:hAnsi="仿宋_GB2312" w:eastAsia="仿宋_GB2312" w:cs="仿宋_GB2312"/>
              </w:rPr>
              <w:t>序号</w:t>
            </w:r>
          </w:p>
        </w:tc>
        <w:tc>
          <w:tcPr>
            <w:tcW w:w="2492" w:type="dxa"/>
          </w:tcPr>
          <w:p w14:paraId="6DDF19EE">
            <w:pPr>
              <w:pStyle w:val="4"/>
              <w:jc w:val="center"/>
            </w:pPr>
            <w:r>
              <w:rPr>
                <w:rFonts w:ascii="仿宋_GB2312" w:hAnsi="仿宋_GB2312" w:eastAsia="仿宋_GB2312" w:cs="仿宋_GB2312"/>
              </w:rPr>
              <w:t>采购品目名称</w:t>
            </w:r>
          </w:p>
        </w:tc>
        <w:tc>
          <w:tcPr>
            <w:tcW w:w="2492" w:type="dxa"/>
          </w:tcPr>
          <w:p w14:paraId="492CDCF7">
            <w:pPr>
              <w:pStyle w:val="4"/>
              <w:jc w:val="center"/>
            </w:pPr>
            <w:r>
              <w:rPr>
                <w:rFonts w:ascii="仿宋_GB2312" w:hAnsi="仿宋_GB2312" w:eastAsia="仿宋_GB2312" w:cs="仿宋_GB2312"/>
              </w:rPr>
              <w:t>标的名称</w:t>
            </w:r>
          </w:p>
        </w:tc>
        <w:tc>
          <w:tcPr>
            <w:tcW w:w="2492" w:type="dxa"/>
          </w:tcPr>
          <w:p w14:paraId="0EE3E2BE">
            <w:pPr>
              <w:pStyle w:val="4"/>
              <w:jc w:val="center"/>
            </w:pPr>
            <w:r>
              <w:rPr>
                <w:rFonts w:ascii="仿宋_GB2312" w:hAnsi="仿宋_GB2312" w:eastAsia="仿宋_GB2312" w:cs="仿宋_GB2312"/>
              </w:rPr>
              <w:t>产品名称</w:t>
            </w:r>
          </w:p>
        </w:tc>
      </w:tr>
      <w:tr w14:paraId="03859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D3058DE">
            <w:pPr>
              <w:pStyle w:val="4"/>
              <w:jc w:val="center"/>
            </w:pPr>
            <w:r>
              <w:rPr>
                <w:rFonts w:ascii="仿宋_GB2312" w:hAnsi="仿宋_GB2312" w:eastAsia="仿宋_GB2312" w:cs="仿宋_GB2312"/>
              </w:rPr>
              <w:t>不涉及</w:t>
            </w:r>
          </w:p>
        </w:tc>
      </w:tr>
    </w:tbl>
    <w:p w14:paraId="1053CB36">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F4B9EE3">
      <w:pPr>
        <w:pStyle w:val="4"/>
        <w:jc w:val="left"/>
      </w:pPr>
      <w:r>
        <w:rPr>
          <w:rFonts w:ascii="仿宋_GB2312" w:hAnsi="仿宋_GB2312" w:eastAsia="仿宋_GB2312" w:cs="仿宋_GB2312"/>
          <w:b/>
        </w:rPr>
        <w:t>本项目涉及优先采购节能产品：</w:t>
      </w:r>
    </w:p>
    <w:p w14:paraId="050F43F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6A2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FB884F">
            <w:pPr>
              <w:pStyle w:val="4"/>
              <w:jc w:val="center"/>
            </w:pPr>
            <w:r>
              <w:rPr>
                <w:rFonts w:ascii="仿宋_GB2312" w:hAnsi="仿宋_GB2312" w:eastAsia="仿宋_GB2312" w:cs="仿宋_GB2312"/>
              </w:rPr>
              <w:t>序号</w:t>
            </w:r>
          </w:p>
        </w:tc>
        <w:tc>
          <w:tcPr>
            <w:tcW w:w="2492" w:type="dxa"/>
          </w:tcPr>
          <w:p w14:paraId="394B0AE4">
            <w:pPr>
              <w:pStyle w:val="4"/>
              <w:jc w:val="center"/>
            </w:pPr>
            <w:r>
              <w:rPr>
                <w:rFonts w:ascii="仿宋_GB2312" w:hAnsi="仿宋_GB2312" w:eastAsia="仿宋_GB2312" w:cs="仿宋_GB2312"/>
              </w:rPr>
              <w:t>采购品目名称</w:t>
            </w:r>
          </w:p>
        </w:tc>
        <w:tc>
          <w:tcPr>
            <w:tcW w:w="2492" w:type="dxa"/>
          </w:tcPr>
          <w:p w14:paraId="4749113A">
            <w:pPr>
              <w:pStyle w:val="4"/>
              <w:jc w:val="center"/>
            </w:pPr>
            <w:r>
              <w:rPr>
                <w:rFonts w:ascii="仿宋_GB2312" w:hAnsi="仿宋_GB2312" w:eastAsia="仿宋_GB2312" w:cs="仿宋_GB2312"/>
              </w:rPr>
              <w:t>标的名称</w:t>
            </w:r>
          </w:p>
        </w:tc>
        <w:tc>
          <w:tcPr>
            <w:tcW w:w="2492" w:type="dxa"/>
          </w:tcPr>
          <w:p w14:paraId="3CBF5C14">
            <w:pPr>
              <w:pStyle w:val="4"/>
              <w:jc w:val="center"/>
            </w:pPr>
            <w:r>
              <w:rPr>
                <w:rFonts w:ascii="仿宋_GB2312" w:hAnsi="仿宋_GB2312" w:eastAsia="仿宋_GB2312" w:cs="仿宋_GB2312"/>
              </w:rPr>
              <w:t>产品名称</w:t>
            </w:r>
          </w:p>
        </w:tc>
      </w:tr>
      <w:tr w14:paraId="36B14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E839610">
            <w:pPr>
              <w:pStyle w:val="4"/>
              <w:jc w:val="center"/>
            </w:pPr>
            <w:r>
              <w:rPr>
                <w:rFonts w:ascii="仿宋_GB2312" w:hAnsi="仿宋_GB2312" w:eastAsia="仿宋_GB2312" w:cs="仿宋_GB2312"/>
              </w:rPr>
              <w:t>不涉及</w:t>
            </w:r>
          </w:p>
        </w:tc>
      </w:tr>
    </w:tbl>
    <w:p w14:paraId="297C516E">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37E2A7E">
      <w:pPr>
        <w:pStyle w:val="4"/>
        <w:jc w:val="left"/>
        <w:outlineLvl w:val="3"/>
      </w:pPr>
      <w:r>
        <w:rPr>
          <w:rFonts w:ascii="仿宋_GB2312" w:hAnsi="仿宋_GB2312" w:eastAsia="仿宋_GB2312" w:cs="仿宋_GB2312"/>
          <w:b/>
          <w:sz w:val="24"/>
        </w:rPr>
        <w:t>本项目涉及优先采购环境标志产品：</w:t>
      </w:r>
    </w:p>
    <w:p w14:paraId="777E026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E31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3477997">
            <w:pPr>
              <w:pStyle w:val="4"/>
              <w:jc w:val="center"/>
            </w:pPr>
            <w:r>
              <w:rPr>
                <w:rFonts w:ascii="仿宋_GB2312" w:hAnsi="仿宋_GB2312" w:eastAsia="仿宋_GB2312" w:cs="仿宋_GB2312"/>
              </w:rPr>
              <w:t>序号</w:t>
            </w:r>
          </w:p>
        </w:tc>
        <w:tc>
          <w:tcPr>
            <w:tcW w:w="2492" w:type="dxa"/>
          </w:tcPr>
          <w:p w14:paraId="7207C150">
            <w:pPr>
              <w:pStyle w:val="4"/>
              <w:jc w:val="center"/>
            </w:pPr>
            <w:r>
              <w:rPr>
                <w:rFonts w:ascii="仿宋_GB2312" w:hAnsi="仿宋_GB2312" w:eastAsia="仿宋_GB2312" w:cs="仿宋_GB2312"/>
              </w:rPr>
              <w:t>采购品目名称</w:t>
            </w:r>
          </w:p>
        </w:tc>
        <w:tc>
          <w:tcPr>
            <w:tcW w:w="2492" w:type="dxa"/>
          </w:tcPr>
          <w:p w14:paraId="6DA9DA4F">
            <w:pPr>
              <w:pStyle w:val="4"/>
              <w:jc w:val="center"/>
            </w:pPr>
            <w:r>
              <w:rPr>
                <w:rFonts w:ascii="仿宋_GB2312" w:hAnsi="仿宋_GB2312" w:eastAsia="仿宋_GB2312" w:cs="仿宋_GB2312"/>
              </w:rPr>
              <w:t>标的名称</w:t>
            </w:r>
          </w:p>
        </w:tc>
        <w:tc>
          <w:tcPr>
            <w:tcW w:w="2492" w:type="dxa"/>
          </w:tcPr>
          <w:p w14:paraId="701918B7">
            <w:pPr>
              <w:pStyle w:val="4"/>
              <w:jc w:val="center"/>
            </w:pPr>
            <w:r>
              <w:rPr>
                <w:rFonts w:ascii="仿宋_GB2312" w:hAnsi="仿宋_GB2312" w:eastAsia="仿宋_GB2312" w:cs="仿宋_GB2312"/>
              </w:rPr>
              <w:t>产品名称</w:t>
            </w:r>
          </w:p>
        </w:tc>
      </w:tr>
      <w:tr w14:paraId="74AC9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99EB5EE">
            <w:pPr>
              <w:pStyle w:val="4"/>
              <w:jc w:val="center"/>
            </w:pPr>
            <w:r>
              <w:rPr>
                <w:rFonts w:ascii="仿宋_GB2312" w:hAnsi="仿宋_GB2312" w:eastAsia="仿宋_GB2312" w:cs="仿宋_GB2312"/>
              </w:rPr>
              <w:t>不涉及</w:t>
            </w:r>
          </w:p>
        </w:tc>
      </w:tr>
    </w:tbl>
    <w:p w14:paraId="09A1E24E">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5D5EB9C">
      <w:pPr>
        <w:pStyle w:val="4"/>
        <w:jc w:val="left"/>
        <w:outlineLvl w:val="2"/>
      </w:pPr>
      <w:r>
        <w:rPr>
          <w:rFonts w:ascii="仿宋_GB2312" w:hAnsi="仿宋_GB2312" w:eastAsia="仿宋_GB2312" w:cs="仿宋_GB2312"/>
          <w:b/>
          <w:sz w:val="28"/>
        </w:rPr>
        <w:t>3.2.技术要求</w:t>
      </w:r>
    </w:p>
    <w:p w14:paraId="75CD7892">
      <w:pPr>
        <w:pStyle w:val="4"/>
        <w:jc w:val="left"/>
      </w:pPr>
      <w:r>
        <w:rPr>
          <w:rFonts w:ascii="仿宋_GB2312" w:hAnsi="仿宋_GB2312" w:eastAsia="仿宋_GB2312" w:cs="仿宋_GB2312"/>
        </w:rPr>
        <w:t>采购包1：</w:t>
      </w:r>
    </w:p>
    <w:p w14:paraId="1DF15FD7">
      <w:pPr>
        <w:pStyle w:val="4"/>
        <w:jc w:val="left"/>
      </w:pPr>
      <w:r>
        <w:rPr>
          <w:rFonts w:ascii="仿宋_GB2312" w:hAnsi="仿宋_GB2312" w:eastAsia="仿宋_GB2312" w:cs="仿宋_GB2312"/>
        </w:rPr>
        <w:t>标的名称：大安区棚户区改造及配套基础设施建设工程结算复核服务项目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BAE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9C3032">
            <w:pPr>
              <w:pStyle w:val="4"/>
              <w:jc w:val="center"/>
            </w:pPr>
            <w:r>
              <w:rPr>
                <w:rFonts w:ascii="仿宋_GB2312" w:hAnsi="仿宋_GB2312" w:eastAsia="仿宋_GB2312" w:cs="仿宋_GB2312"/>
              </w:rPr>
              <w:t>序号</w:t>
            </w:r>
          </w:p>
        </w:tc>
        <w:tc>
          <w:tcPr>
            <w:tcW w:w="581" w:type="dxa"/>
          </w:tcPr>
          <w:p w14:paraId="396D8003">
            <w:pPr>
              <w:pStyle w:val="4"/>
              <w:jc w:val="center"/>
            </w:pPr>
            <w:r>
              <w:rPr>
                <w:rFonts w:ascii="仿宋_GB2312" w:hAnsi="仿宋_GB2312" w:eastAsia="仿宋_GB2312" w:cs="仿宋_GB2312"/>
              </w:rPr>
              <w:t>符号标识</w:t>
            </w:r>
          </w:p>
        </w:tc>
        <w:tc>
          <w:tcPr>
            <w:tcW w:w="1495" w:type="dxa"/>
          </w:tcPr>
          <w:p w14:paraId="1DF899BA">
            <w:pPr>
              <w:pStyle w:val="4"/>
              <w:jc w:val="center"/>
            </w:pPr>
            <w:r>
              <w:rPr>
                <w:rFonts w:ascii="仿宋_GB2312" w:hAnsi="仿宋_GB2312" w:eastAsia="仿宋_GB2312" w:cs="仿宋_GB2312"/>
              </w:rPr>
              <w:t>技术要求名称</w:t>
            </w:r>
          </w:p>
        </w:tc>
        <w:tc>
          <w:tcPr>
            <w:tcW w:w="5814" w:type="dxa"/>
          </w:tcPr>
          <w:p w14:paraId="13939410">
            <w:pPr>
              <w:pStyle w:val="4"/>
              <w:jc w:val="center"/>
            </w:pPr>
            <w:r>
              <w:rPr>
                <w:rFonts w:ascii="仿宋_GB2312" w:hAnsi="仿宋_GB2312" w:eastAsia="仿宋_GB2312" w:cs="仿宋_GB2312"/>
              </w:rPr>
              <w:t>技术参数与性能指标</w:t>
            </w:r>
          </w:p>
        </w:tc>
      </w:tr>
      <w:tr w14:paraId="14530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8477A4">
            <w:pPr>
              <w:pStyle w:val="4"/>
              <w:jc w:val="center"/>
            </w:pPr>
            <w:r>
              <w:rPr>
                <w:rFonts w:ascii="仿宋_GB2312" w:hAnsi="仿宋_GB2312" w:eastAsia="仿宋_GB2312" w:cs="仿宋_GB2312"/>
              </w:rPr>
              <w:t>1</w:t>
            </w:r>
          </w:p>
        </w:tc>
        <w:tc>
          <w:tcPr>
            <w:tcW w:w="581" w:type="dxa"/>
          </w:tcPr>
          <w:p w14:paraId="612C2CFD"/>
        </w:tc>
        <w:tc>
          <w:tcPr>
            <w:tcW w:w="1495" w:type="dxa"/>
          </w:tcPr>
          <w:p w14:paraId="1F3231ED">
            <w:pPr>
              <w:pStyle w:val="4"/>
              <w:jc w:val="left"/>
            </w:pPr>
            <w:r>
              <w:rPr>
                <w:rFonts w:ascii="仿宋_GB2312" w:hAnsi="仿宋_GB2312" w:eastAsia="仿宋_GB2312" w:cs="仿宋_GB2312"/>
              </w:rPr>
              <w:t>服务要求</w:t>
            </w:r>
          </w:p>
        </w:tc>
        <w:tc>
          <w:tcPr>
            <w:tcW w:w="5814" w:type="dxa"/>
          </w:tcPr>
          <w:p w14:paraId="722666AE">
            <w:pPr>
              <w:pStyle w:val="4"/>
              <w:ind w:left="540"/>
              <w:jc w:val="left"/>
            </w:pPr>
            <w:r>
              <w:rPr>
                <w:rFonts w:ascii="仿宋_GB2312" w:hAnsi="仿宋_GB2312" w:eastAsia="仿宋_GB2312" w:cs="仿宋_GB2312"/>
                <w:color w:val="000000"/>
                <w:sz w:val="24"/>
              </w:rPr>
              <w:t>一、项目概述</w:t>
            </w:r>
          </w:p>
          <w:p w14:paraId="2F93BC72">
            <w:pPr>
              <w:pStyle w:val="4"/>
              <w:ind w:left="105" w:right="195" w:firstLine="210"/>
              <w:jc w:val="both"/>
            </w:pPr>
            <w:r>
              <w:rPr>
                <w:rFonts w:ascii="仿宋_GB2312" w:hAnsi="仿宋_GB2312" w:eastAsia="仿宋_GB2312" w:cs="仿宋_GB2312"/>
                <w:color w:val="000000"/>
                <w:sz w:val="24"/>
              </w:rPr>
              <w:t>大安区棚户区改造及配套基础设施建设工程PPP项目（含4个子项目：A东城雅郡，B东城雅苑，C东城雅筑，D光明雅庭），本项目主要对4个子项目工程竣工结算进行审核并编写审核报告。</w:t>
            </w:r>
          </w:p>
          <w:p w14:paraId="6F5DB91A">
            <w:pPr>
              <w:pStyle w:val="4"/>
              <w:ind w:left="540"/>
              <w:jc w:val="left"/>
            </w:pPr>
            <w:r>
              <w:rPr>
                <w:rFonts w:ascii="仿宋_GB2312" w:hAnsi="仿宋_GB2312" w:eastAsia="仿宋_GB2312" w:cs="仿宋_GB2312"/>
                <w:color w:val="000000"/>
                <w:sz w:val="24"/>
              </w:rPr>
              <w:t>二、服务要求：</w:t>
            </w:r>
          </w:p>
          <w:p w14:paraId="37622F31">
            <w:pPr>
              <w:pStyle w:val="4"/>
              <w:ind w:left="105" w:right="105" w:firstLine="422"/>
              <w:jc w:val="left"/>
            </w:pPr>
            <w:r>
              <w:rPr>
                <w:rFonts w:ascii="仿宋_GB2312" w:hAnsi="仿宋_GB2312" w:eastAsia="仿宋_GB2312" w:cs="仿宋_GB2312"/>
                <w:sz w:val="24"/>
              </w:rPr>
              <w:t>★1.服务范围：大安区棚户区改造及配套基础设施建设工程竣工结算审核结果进行复核，并编写审核报告；工作内容包括但不限于对结算复核（包括对审增/减原因的分析）、项目审批、招标投标、物资采购、投资控制、过程管理、资金筹集</w:t>
            </w:r>
            <w:r>
              <w:rPr>
                <w:rFonts w:ascii="仿宋_GB2312" w:hAnsi="仿宋_GB2312" w:eastAsia="仿宋_GB2312" w:cs="仿宋_GB2312"/>
                <w:color w:val="000000"/>
                <w:sz w:val="24"/>
              </w:rPr>
              <w:t>使用情况、审核中发现的重大问题情况等方面的审查及处理建议；同时需配合完成采购人要求的其他工作任务。</w:t>
            </w:r>
          </w:p>
          <w:p w14:paraId="38D11871">
            <w:pPr>
              <w:pStyle w:val="4"/>
              <w:jc w:val="left"/>
            </w:pPr>
            <w:r>
              <w:rPr>
                <w:rFonts w:ascii="仿宋_GB2312" w:hAnsi="仿宋_GB2312" w:eastAsia="仿宋_GB2312" w:cs="仿宋_GB2312"/>
                <w:color w:val="000000"/>
                <w:sz w:val="24"/>
              </w:rPr>
              <w:t xml:space="preserve">   ★2.成交供应商应在采购人指定的办公地点工作，每个子项目自送审资料完整之日起至每个子项目移交复核单位复核止，项目负责人累计坐班时间不低于20个工作日；每名技术负责人累计坐班时间不低于30个工作日；每名一般审核人员（每个子项目需明确一名一般审核人员，人员不重复）累计坐班时间不低于40个工作日（采购人可根据项目实际情况进行调整）。未达到规定天数，按2000元/人·天进行扣减。每个子项目60个日历天（成交供应商接收并书面确认项目资料完整之日起计算服务期限至项目提交审核报告止）完成审核任务，具体进场时间以采购人要求为准。成交供应商必须无条件服从采购人的考核管理，不得将受托审核项目分包、转让、转包；因成交供应商原因造成项目审结延期的，每延期1天，扣减审核服务费的1%，直至扣完为止。根据本项目规模和特点，成交供应商选派本单位符合执业要求的专业技术人员参与审核，项目负责人、技术负责人、一般审核人员必须与成交供应商在响应文件中承诺的人员一致，成交供应商未按响应文件中承诺的人员名单配置并委派的，责令其改正，若拒不整改的，采购人有权解除合同；审核期间不得更换审核人员，因特殊原因需要更换的，应向采购人书面提交申请，提出变更理由并经采购人审查同意后更换，变更人员职称、执业资格、等级等须与被替换人员一致，否则，视为违约，采购人有权解除合同。</w:t>
            </w:r>
          </w:p>
          <w:p w14:paraId="79D9D59B">
            <w:pPr>
              <w:pStyle w:val="4"/>
              <w:ind w:left="105" w:right="105" w:firstLine="422"/>
              <w:jc w:val="left"/>
            </w:pPr>
            <w:r>
              <w:rPr>
                <w:rFonts w:ascii="仿宋_GB2312" w:hAnsi="仿宋_GB2312" w:eastAsia="仿宋_GB2312" w:cs="仿宋_GB2312"/>
                <w:color w:val="000000"/>
                <w:sz w:val="24"/>
              </w:rPr>
              <w:t>★3.在审核期间，需要现场核查工程量的，必须经采购人同意并统筹安排审核工作。成交供应商应提出书面有可操作性的核查方案（根据工程实际情况，配备抽查工具，如确实需要进行破坏性抽查或钻探的，要提出具体操作方法、相关准备及工作建议）。未经采购人许可，成交供应商不得私自与被审核单位、</w:t>
            </w:r>
            <w:r>
              <w:rPr>
                <w:rFonts w:ascii="仿宋_GB2312" w:hAnsi="仿宋_GB2312" w:eastAsia="仿宋_GB2312" w:cs="仿宋_GB2312"/>
                <w:sz w:val="24"/>
              </w:rPr>
              <w:t>结算审核单位、施工单位及项目相关人员进行本项目有关业务事项的接触、交流。</w:t>
            </w:r>
          </w:p>
          <w:p w14:paraId="0739C5D8">
            <w:pPr>
              <w:pStyle w:val="4"/>
              <w:spacing w:before="15"/>
              <w:ind w:left="105" w:right="105" w:firstLine="425"/>
              <w:jc w:val="left"/>
            </w:pPr>
            <w:r>
              <w:rPr>
                <w:rFonts w:ascii="仿宋_GB2312" w:hAnsi="仿宋_GB2312" w:eastAsia="仿宋_GB2312" w:cs="仿宋_GB2312"/>
                <w:sz w:val="24"/>
              </w:rPr>
              <w:t>★4.严格执行审核工作纪律，具体内容包括：不准由被审核单位和个人报销或补贴住宿、餐饮、交通、通讯、医疗等费用。审核人员不得接受被审核单位或个人支付的相关费用。不准接受被审核单位和个人赠送的礼品礼金，或未经批准通过授课等方式获取报酬。不准参加被审核单位和个人安排的宴请、娱乐、旅游等活动。审核人员不得参加由被审核单位安排的相关活动。不准利用审核工作知悉的国家秘密、商业秘密和内部信息谋取利益。审核人员不得利用审核工作中获取的信息为自己或他人谋取利益。不准利用审核职权干预被审核单位依法管理的资金、资产、资源的审批或分配使用。审核人员不得利用职权干预被审核单位的内部决策和管理。不准向被审核单位推销商品或介绍业务。不准接受被审核单位和个人的请托干预审核工作。不准向被审核单位和</w:t>
            </w:r>
            <w:r>
              <w:rPr>
                <w:rFonts w:ascii="仿宋_GB2312" w:hAnsi="仿宋_GB2312" w:eastAsia="仿宋_GB2312" w:cs="仿宋_GB2312"/>
                <w:color w:val="000000"/>
                <w:sz w:val="24"/>
              </w:rPr>
              <w:t>个人提出任何与审核工作无关的要求。</w:t>
            </w:r>
          </w:p>
          <w:p w14:paraId="130D0570">
            <w:pPr>
              <w:pStyle w:val="4"/>
              <w:ind w:left="105" w:right="105" w:firstLine="424"/>
              <w:jc w:val="left"/>
            </w:pPr>
            <w:r>
              <w:rPr>
                <w:rFonts w:ascii="仿宋_GB2312" w:hAnsi="仿宋_GB2312" w:eastAsia="仿宋_GB2312" w:cs="仿宋_GB2312"/>
                <w:color w:val="000000"/>
                <w:sz w:val="24"/>
              </w:rPr>
              <w:t>★5、成交供应商不得对外提供评审咨询服务过程中获知当事人的商业秘密和业务资料。一经发现，采购人有权解除合同，并依法追究成交供应商的经济和法律责任。</w:t>
            </w:r>
          </w:p>
          <w:p w14:paraId="2CAE58C5">
            <w:pPr>
              <w:pStyle w:val="4"/>
              <w:ind w:left="105" w:right="105" w:firstLine="424"/>
              <w:jc w:val="left"/>
            </w:pPr>
            <w:r>
              <w:rPr>
                <w:rFonts w:ascii="仿宋_GB2312" w:hAnsi="仿宋_GB2312" w:eastAsia="仿宋_GB2312" w:cs="仿宋_GB2312"/>
                <w:color w:val="000000"/>
                <w:sz w:val="24"/>
              </w:rPr>
              <w:t>★6、成交供应商以及拟承担本项目结算</w:t>
            </w:r>
            <w:r>
              <w:rPr>
                <w:rFonts w:ascii="仿宋_GB2312" w:hAnsi="仿宋_GB2312" w:eastAsia="仿宋_GB2312" w:cs="仿宋_GB2312"/>
                <w:sz w:val="24"/>
              </w:rPr>
              <w:t>复核业务的从业人员不得同时接受具有利益冲突的双方或多方委托服务，即凡是拟投标的工程造价咨询企业以及承担本项目造价咨询业务的工程造价从业人员参与了本项目管理、过程控制、监理、检测、概算、预算（招标控制价）编制、结算审核或财政预算（招标控制价）审核、竣工结算编制或审核等前期工作的，不得再参与该工程竣工结算复核，</w:t>
            </w:r>
            <w:r>
              <w:rPr>
                <w:rFonts w:ascii="仿宋_GB2312" w:hAnsi="仿宋_GB2312" w:eastAsia="仿宋_GB2312" w:cs="仿宋_GB2312"/>
                <w:color w:val="000000"/>
                <w:sz w:val="24"/>
              </w:rPr>
              <w:t>必须回避。未主动回避，被举报或发现情况属实的，采购人有权取消其中标（成交）资格或解除合同，致使采购人遭受损失的，还应承担一切经济和法律责任。</w:t>
            </w:r>
          </w:p>
          <w:p w14:paraId="19131B53">
            <w:pPr>
              <w:pStyle w:val="4"/>
              <w:ind w:left="105" w:right="105" w:firstLine="424"/>
              <w:jc w:val="left"/>
            </w:pPr>
            <w:r>
              <w:rPr>
                <w:rFonts w:ascii="仿宋_GB2312" w:hAnsi="仿宋_GB2312" w:eastAsia="仿宋_GB2312" w:cs="仿宋_GB2312"/>
                <w:color w:val="000000"/>
                <w:sz w:val="24"/>
              </w:rPr>
              <w:t>★7、成交供应商应及时对工程项目审核中存在的问题进行分析、提炼、总结，并提出有针对性的建议意见，成交供应商在审核过程中，对可能存在的重大舞弊以及违纪违规违法行为应当予以高度关注，并在发现之日起3日内，以书面形式通知采购人，由采购人按有关规定处理。</w:t>
            </w:r>
          </w:p>
          <w:p w14:paraId="75FCF2E8">
            <w:pPr>
              <w:pStyle w:val="4"/>
              <w:ind w:left="135" w:right="105" w:firstLine="404"/>
              <w:jc w:val="left"/>
            </w:pPr>
            <w:r>
              <w:rPr>
                <w:rFonts w:ascii="仿宋_GB2312" w:hAnsi="仿宋_GB2312" w:eastAsia="仿宋_GB2312" w:cs="仿宋_GB2312"/>
                <w:color w:val="000000"/>
                <w:sz w:val="24"/>
              </w:rPr>
              <w:t>★8、成交供应商在审核过程中，要统筹安排审核人员进行审核，严格内部审核程序，在确保审核质量的前提下，提高审核效率。按合同工期的时限要求及时提供项目审核报告，对出具的审核报告要做到内容完整、格式规范、要素齐全，认定事实清楚，定性准确。</w:t>
            </w:r>
          </w:p>
          <w:p w14:paraId="72C9FACC">
            <w:pPr>
              <w:pStyle w:val="4"/>
              <w:ind w:left="120" w:right="285" w:firstLine="420"/>
              <w:jc w:val="left"/>
            </w:pPr>
            <w:r>
              <w:rPr>
                <w:rFonts w:ascii="仿宋_GB2312" w:hAnsi="仿宋_GB2312" w:eastAsia="仿宋_GB2312" w:cs="仿宋_GB2312"/>
                <w:color w:val="000000"/>
                <w:sz w:val="24"/>
              </w:rPr>
              <w:t>★9、采购人移交项目资料后，成交供应商应针对项目实际情况，编制详细审核实施方案。</w:t>
            </w:r>
          </w:p>
          <w:p w14:paraId="499A568C">
            <w:pPr>
              <w:pStyle w:val="4"/>
              <w:ind w:left="105" w:right="105" w:firstLine="424"/>
              <w:jc w:val="left"/>
            </w:pPr>
            <w:r>
              <w:rPr>
                <w:rFonts w:ascii="仿宋_GB2312" w:hAnsi="仿宋_GB2312" w:eastAsia="仿宋_GB2312" w:cs="仿宋_GB2312"/>
                <w:color w:val="000000"/>
                <w:sz w:val="24"/>
              </w:rPr>
              <w:t>★10、成交供应商向采购人提交审核报告和相应的取证记录、审核后结算书的纸质文档、电子文档、计算式等证明材料和成果文件。对审核结果负责，因审核质量、违规操作等原因致使采购人遭受损失，应承担一切经济和法律责任。</w:t>
            </w:r>
          </w:p>
          <w:p w14:paraId="300EB587">
            <w:pPr>
              <w:pStyle w:val="4"/>
              <w:ind w:left="105" w:right="105" w:firstLine="424"/>
              <w:jc w:val="left"/>
            </w:pPr>
            <w:r>
              <w:rPr>
                <w:rFonts w:ascii="仿宋_GB2312" w:hAnsi="仿宋_GB2312" w:eastAsia="仿宋_GB2312" w:cs="仿宋_GB2312"/>
                <w:color w:val="000000"/>
                <w:sz w:val="24"/>
              </w:rPr>
              <w:t>★11、成交供应商对移交的项目资料，必须保证其安全、完整，不得更改、添加或删减，审核结束后十日内全数退回。造成资料遗失，承担一切经济和法律责任。</w:t>
            </w:r>
          </w:p>
          <w:p w14:paraId="2191506E">
            <w:pPr>
              <w:pStyle w:val="4"/>
              <w:ind w:left="105" w:right="105" w:firstLine="424"/>
              <w:jc w:val="left"/>
            </w:pPr>
            <w:r>
              <w:rPr>
                <w:rFonts w:ascii="仿宋_GB2312" w:hAnsi="仿宋_GB2312" w:eastAsia="仿宋_GB2312" w:cs="仿宋_GB2312"/>
                <w:color w:val="000000"/>
                <w:sz w:val="24"/>
              </w:rPr>
              <w:t>★12、成交供应商积极配合采购人对其审核结果进行复核工作。</w:t>
            </w:r>
          </w:p>
          <w:p w14:paraId="1AD0B994">
            <w:pPr>
              <w:pStyle w:val="4"/>
              <w:jc w:val="left"/>
            </w:pPr>
            <w:r>
              <w:rPr>
                <w:rFonts w:ascii="仿宋_GB2312" w:hAnsi="仿宋_GB2312" w:eastAsia="仿宋_GB2312" w:cs="仿宋_GB2312"/>
                <w:color w:val="000000"/>
                <w:sz w:val="24"/>
              </w:rPr>
              <w:t xml:space="preserve">  ★13、成交供应商必须无条件遵守采购人制定的相关管理制度，遵守国家相关法律、法规、审核保密制度、回避制度和廉洁从审纪律、职业道德以及其他相关规定。</w:t>
            </w:r>
          </w:p>
          <w:p w14:paraId="278B7C4A">
            <w:pPr>
              <w:pStyle w:val="4"/>
              <w:ind w:left="105" w:right="105" w:firstLine="425"/>
              <w:jc w:val="left"/>
            </w:pPr>
            <w:r>
              <w:rPr>
                <w:rFonts w:ascii="仿宋_GB2312" w:hAnsi="仿宋_GB2312" w:eastAsia="仿宋_GB2312" w:cs="仿宋_GB2312"/>
                <w:color w:val="000000"/>
                <w:sz w:val="24"/>
              </w:rPr>
              <w:t>★14、供应商报价应包含本采购项目合同履约所需的一切费用（含税金、意外风险等），供应商在报价时应予充分考虑；在合同履约中成交供应商不得另行增加费用。项目实施中，成交供应商配置的专业人员的资质、工作经验等与响应文件、合同约定不一致的，将有可能视为虚假响应并报送财政局等相关单位，成交供应商承担相应的解除合同、承担违约金、失信行为认定等相关法律责任。</w:t>
            </w:r>
          </w:p>
          <w:p w14:paraId="129D5A74">
            <w:pPr>
              <w:pStyle w:val="4"/>
              <w:ind w:left="105" w:right="105" w:firstLine="423"/>
              <w:jc w:val="left"/>
            </w:pPr>
            <w:r>
              <w:rPr>
                <w:rFonts w:ascii="仿宋_GB2312" w:hAnsi="仿宋_GB2312" w:eastAsia="仿宋_GB2312" w:cs="仿宋_GB2312"/>
                <w:color w:val="000000"/>
                <w:sz w:val="24"/>
              </w:rPr>
              <w:t>★15、成交供应商在接收到采购人移交的项目资料后，必须在7个工作日内完成对资料完整性进行确认，同时要一次性列明应补充完善的资料清单（采购人补齐资料后开始计算服务时间），超出7个工作日成交供应商未完成资料完整性确认由此造成的一切责任和后果由成交供应商承担，造成重大损失等情节严重的，采购人有权解除合同。成交供应商不得擅自直接向主管部门、</w:t>
            </w:r>
            <w:r>
              <w:rPr>
                <w:rFonts w:ascii="仿宋_GB2312" w:hAnsi="仿宋_GB2312" w:eastAsia="仿宋_GB2312" w:cs="仿宋_GB2312"/>
                <w:sz w:val="24"/>
              </w:rPr>
              <w:t>结算审核单位、</w:t>
            </w:r>
            <w:r>
              <w:rPr>
                <w:rFonts w:ascii="仿宋_GB2312" w:hAnsi="仿宋_GB2312" w:eastAsia="仿宋_GB2312" w:cs="仿宋_GB2312"/>
                <w:color w:val="000000"/>
                <w:sz w:val="24"/>
              </w:rPr>
              <w:t>建设单位、施工单位收集资料。若超过期限继续要求提供隐蔽工程签证等实质性资料的，将作为“未及时反映发现的重大问题和发生争议的重大事项”进行考核，造成重大损失等严重情形的，采购人有权解除合同，并追究经济和法律责任。</w:t>
            </w:r>
          </w:p>
          <w:p w14:paraId="6ED70108">
            <w:pPr>
              <w:pStyle w:val="4"/>
              <w:ind w:left="105" w:right="165" w:firstLine="424"/>
              <w:jc w:val="left"/>
            </w:pPr>
            <w:r>
              <w:rPr>
                <w:rFonts w:ascii="仿宋_GB2312" w:hAnsi="仿宋_GB2312" w:eastAsia="仿宋_GB2312" w:cs="仿宋_GB2312"/>
                <w:color w:val="000000"/>
                <w:sz w:val="24"/>
              </w:rPr>
              <w:t>★16、成交供应商应按合同约定派遣审核人员并注明审核人员在本项目中各自承担的相应审核任务。在审核期间，采购人将据此进行考勤登记。</w:t>
            </w:r>
          </w:p>
          <w:p w14:paraId="648EA29C">
            <w:pPr>
              <w:pStyle w:val="4"/>
              <w:ind w:left="105" w:right="135" w:firstLine="421"/>
              <w:jc w:val="left"/>
            </w:pPr>
            <w:r>
              <w:rPr>
                <w:rFonts w:ascii="仿宋_GB2312" w:hAnsi="仿宋_GB2312" w:eastAsia="仿宋_GB2312" w:cs="仿宋_GB2312"/>
                <w:color w:val="000000"/>
                <w:sz w:val="24"/>
              </w:rPr>
              <w:t>★17、成交供应商在开展本项目审核期间因交通、自然灾害、意外等造成本公司人员人身及财产损失的安全、经济责任，由成交供应商自行负责。</w:t>
            </w:r>
          </w:p>
          <w:p w14:paraId="700352F6">
            <w:pPr>
              <w:pStyle w:val="4"/>
              <w:ind w:left="105" w:right="165" w:firstLine="421"/>
              <w:jc w:val="left"/>
            </w:pPr>
            <w:r>
              <w:rPr>
                <w:rFonts w:ascii="仿宋_GB2312" w:hAnsi="仿宋_GB2312" w:eastAsia="仿宋_GB2312" w:cs="仿宋_GB2312"/>
                <w:color w:val="000000"/>
                <w:sz w:val="24"/>
              </w:rPr>
              <w:t>★18、成交供应商因审核结论严重失实或其他过错造成法律责任和采购人损失，成交供应商应承担全部的民事责任和法律责任。</w:t>
            </w:r>
          </w:p>
          <w:p w14:paraId="550D9658">
            <w:pPr>
              <w:pStyle w:val="4"/>
              <w:ind w:left="105" w:right="105" w:firstLine="421"/>
              <w:jc w:val="left"/>
            </w:pPr>
            <w:r>
              <w:rPr>
                <w:rFonts w:ascii="仿宋_GB2312" w:hAnsi="仿宋_GB2312" w:eastAsia="仿宋_GB2312" w:cs="仿宋_GB2312"/>
                <w:color w:val="000000"/>
                <w:sz w:val="24"/>
              </w:rPr>
              <w:t>★19、审核期间，审核人员接收资料，核对工程量、以及结算审核工程争议处理事宜必须在采购人指定的办公地点办公，所有审核人员应按采购人要求按时到场。</w:t>
            </w:r>
          </w:p>
          <w:p w14:paraId="15E5495B">
            <w:pPr>
              <w:pStyle w:val="4"/>
              <w:ind w:left="105" w:right="105" w:firstLine="423"/>
              <w:jc w:val="left"/>
            </w:pPr>
            <w:r>
              <w:rPr>
                <w:rFonts w:ascii="仿宋_GB2312" w:hAnsi="仿宋_GB2312" w:eastAsia="仿宋_GB2312" w:cs="仿宋_GB2312"/>
                <w:color w:val="000000"/>
                <w:sz w:val="24"/>
              </w:rPr>
              <w:t>★20、成交供应商应对已审结子项目的审核人员能力素质、审核工作质量、工作效率和工作纪律等方面情况进行考核评分（结算审核复核咨询机构考核表附后）。</w:t>
            </w:r>
          </w:p>
          <w:p w14:paraId="42105907">
            <w:pPr>
              <w:pStyle w:val="4"/>
              <w:ind w:left="120" w:right="165" w:firstLine="411"/>
              <w:jc w:val="left"/>
            </w:pPr>
            <w:r>
              <w:rPr>
                <w:rFonts w:ascii="仿宋_GB2312" w:hAnsi="仿宋_GB2312" w:eastAsia="仿宋_GB2312" w:cs="仿宋_GB2312"/>
                <w:color w:val="000000"/>
                <w:sz w:val="24"/>
              </w:rPr>
              <w:t>★21、成交供应商的计量计价等软件应与本项目送审软件相匹配，若不匹配的由成交供应商自行解决。</w:t>
            </w:r>
          </w:p>
          <w:p w14:paraId="70515751">
            <w:pPr>
              <w:pStyle w:val="4"/>
              <w:ind w:left="525"/>
              <w:jc w:val="left"/>
            </w:pPr>
            <w:r>
              <w:rPr>
                <w:rFonts w:ascii="仿宋_GB2312" w:hAnsi="仿宋_GB2312" w:eastAsia="仿宋_GB2312" w:cs="仿宋_GB2312"/>
                <w:color w:val="000000"/>
                <w:sz w:val="24"/>
              </w:rPr>
              <w:t>三、其他商务要求（采购文件中与本项不一致的，以本项为准）</w:t>
            </w:r>
          </w:p>
          <w:p w14:paraId="427DABB7">
            <w:pPr>
              <w:pStyle w:val="4"/>
              <w:ind w:left="120" w:right="105" w:firstLine="400"/>
              <w:jc w:val="left"/>
            </w:pPr>
            <w:r>
              <w:rPr>
                <w:rFonts w:ascii="仿宋_GB2312" w:hAnsi="仿宋_GB2312" w:eastAsia="仿宋_GB2312" w:cs="仿宋_GB2312"/>
                <w:color w:val="000000"/>
                <w:sz w:val="24"/>
              </w:rPr>
              <w:t>★1.报价要求：供应商报价按照百分比进行报价（各子项目均按此百分比执行）。</w:t>
            </w:r>
            <w:r>
              <w:rPr>
                <w:rFonts w:ascii="仿宋_GB2312" w:hAnsi="仿宋_GB2312" w:eastAsia="仿宋_GB2312" w:cs="仿宋_GB2312"/>
                <w:b/>
                <w:color w:val="000000"/>
                <w:sz w:val="24"/>
              </w:rPr>
              <w:t>基本费用=送审金额×0.4‰，供应商不进行报价；效益费用=净审减金额（审增审减品迭后）×5%×供应商报价百分比。</w:t>
            </w:r>
          </w:p>
          <w:p w14:paraId="5802616A">
            <w:pPr>
              <w:pStyle w:val="4"/>
              <w:ind w:right="105" w:firstLine="400"/>
              <w:jc w:val="left"/>
            </w:pPr>
            <w:r>
              <w:rPr>
                <w:rFonts w:ascii="仿宋_GB2312" w:hAnsi="仿宋_GB2312" w:eastAsia="仿宋_GB2312" w:cs="仿宋_GB2312"/>
                <w:color w:val="000000"/>
                <w:sz w:val="24"/>
              </w:rPr>
              <w:t>注：①送审金额为各子项目一审结算审核的审定金额。</w:t>
            </w:r>
          </w:p>
          <w:p w14:paraId="52DE58FE">
            <w:pPr>
              <w:pStyle w:val="4"/>
              <w:ind w:right="105" w:firstLine="400"/>
              <w:jc w:val="left"/>
            </w:pPr>
            <w:r>
              <w:rPr>
                <w:rFonts w:ascii="仿宋_GB2312" w:hAnsi="仿宋_GB2312" w:eastAsia="仿宋_GB2312" w:cs="仿宋_GB2312"/>
                <w:sz w:val="24"/>
              </w:rPr>
              <w:t>②东城雅郡施工合同价33989.33万元；东城雅苑施工合同价19424.87万元；东城雅筑施工合同价43595.99万元；光明雅庭施工合同价20032.71万元。</w:t>
            </w:r>
          </w:p>
          <w:p w14:paraId="3A69A4CA">
            <w:pPr>
              <w:pStyle w:val="4"/>
              <w:ind w:left="540"/>
              <w:jc w:val="left"/>
            </w:pPr>
            <w:r>
              <w:rPr>
                <w:rFonts w:ascii="仿宋_GB2312" w:hAnsi="仿宋_GB2312" w:eastAsia="仿宋_GB2312" w:cs="仿宋_GB2312"/>
                <w:sz w:val="24"/>
              </w:rPr>
              <w:t>★2.服务期限：本项目分为4个子项目，每个子项目60个日历天。【成交供应商接收并书面确认项目资料完整之日起计算服务期限至项目提交审核报告止】。</w:t>
            </w:r>
          </w:p>
          <w:p w14:paraId="03F5F16F">
            <w:pPr>
              <w:pStyle w:val="4"/>
              <w:ind w:left="540"/>
              <w:jc w:val="left"/>
            </w:pPr>
            <w:r>
              <w:rPr>
                <w:rFonts w:ascii="仿宋_GB2312" w:hAnsi="仿宋_GB2312" w:eastAsia="仿宋_GB2312" w:cs="仿宋_GB2312"/>
                <w:sz w:val="24"/>
              </w:rPr>
              <w:t>★3.付款方式：</w:t>
            </w:r>
          </w:p>
          <w:p w14:paraId="52C3310B">
            <w:pPr>
              <w:pStyle w:val="4"/>
              <w:ind w:left="105" w:right="225" w:firstLine="403"/>
              <w:jc w:val="both"/>
            </w:pPr>
            <w:r>
              <w:rPr>
                <w:rFonts w:ascii="仿宋_GB2312" w:hAnsi="仿宋_GB2312" w:eastAsia="仿宋_GB2312" w:cs="仿宋_GB2312"/>
                <w:sz w:val="24"/>
              </w:rPr>
              <w:t>3.1签订合同后，各子项目达到付款条件起（成交供应商接收并书面确认项目资料完整之日起）10个工作日内预付40%，其中：基本费用按各子项目送审金额×0.4‰×40%计算；效益费用按</w:t>
            </w:r>
            <w:r>
              <w:rPr>
                <w:rFonts w:ascii="仿宋_GB2312" w:hAnsi="仿宋_GB2312" w:eastAsia="仿宋_GB2312" w:cs="仿宋_GB2312"/>
                <w:color w:val="000000"/>
                <w:sz w:val="24"/>
              </w:rPr>
              <w:t>净审减金额（审增审减品迭后）【暂按各子项目送审金额×1%（暂定审减率）】</w:t>
            </w:r>
            <w:r>
              <w:rPr>
                <w:rFonts w:ascii="仿宋_GB2312" w:hAnsi="仿宋_GB2312" w:eastAsia="仿宋_GB2312" w:cs="仿宋_GB2312"/>
                <w:sz w:val="24"/>
              </w:rPr>
              <w:t>×5%×成交供应商报价百分比×40%计算。剩余尾款达到付款条件起60 日内 ，经采购人复核并验收合格后，按实结算服务费（开具发票）。</w:t>
            </w:r>
          </w:p>
          <w:p w14:paraId="69B7225F">
            <w:pPr>
              <w:pStyle w:val="4"/>
              <w:ind w:left="105" w:right="105" w:firstLine="398"/>
              <w:jc w:val="both"/>
            </w:pPr>
            <w:r>
              <w:rPr>
                <w:rFonts w:ascii="仿宋_GB2312" w:hAnsi="仿宋_GB2312" w:eastAsia="仿宋_GB2312" w:cs="仿宋_GB2312"/>
                <w:b/>
                <w:sz w:val="24"/>
              </w:rPr>
              <w:t>注：</w:t>
            </w:r>
            <w:r>
              <w:rPr>
                <w:rFonts w:ascii="仿宋_GB2312" w:hAnsi="仿宋_GB2312" w:eastAsia="仿宋_GB2312" w:cs="仿宋_GB2312"/>
                <w:sz w:val="24"/>
              </w:rPr>
              <w:t>①非采购人原因，本项目或与本项目相关联的各方责任主体出现诉讼等特殊情形，导致本项目无法开展，采购人不支付任何费用。</w:t>
            </w:r>
          </w:p>
          <w:p w14:paraId="3D360AF6">
            <w:pPr>
              <w:pStyle w:val="4"/>
              <w:ind w:left="105" w:right="105" w:firstLine="398"/>
              <w:jc w:val="both"/>
            </w:pPr>
            <w:r>
              <w:rPr>
                <w:rFonts w:ascii="仿宋_GB2312" w:hAnsi="仿宋_GB2312" w:eastAsia="仿宋_GB2312" w:cs="仿宋_GB2312"/>
                <w:sz w:val="24"/>
              </w:rPr>
              <w:t xml:space="preserve">  ②</w:t>
            </w:r>
            <w:r>
              <w:rPr>
                <w:rFonts w:ascii="仿宋_GB2312" w:hAnsi="仿宋_GB2312" w:eastAsia="仿宋_GB2312" w:cs="仿宋_GB2312"/>
                <w:color w:val="000000"/>
                <w:sz w:val="24"/>
              </w:rPr>
              <w:t>非成交供应商原因，本项目或与本项目相关联的各方责任主体出现诉讼等特殊情形，导致本项目已开展复核但无法按期进行项目验收的，采购人和成交供应商</w:t>
            </w:r>
            <w:r>
              <w:rPr>
                <w:rFonts w:ascii="仿宋_GB2312" w:hAnsi="仿宋_GB2312" w:eastAsia="仿宋_GB2312" w:cs="仿宋_GB2312"/>
                <w:sz w:val="24"/>
              </w:rPr>
              <w:t>可协商按不超过基本费用的70%</w:t>
            </w:r>
            <w:r>
              <w:rPr>
                <w:rFonts w:ascii="仿宋_GB2312" w:hAnsi="仿宋_GB2312" w:eastAsia="仿宋_GB2312" w:cs="仿宋_GB2312"/>
                <w:color w:val="000000"/>
                <w:sz w:val="24"/>
              </w:rPr>
              <w:t>支付审核服务费用。</w:t>
            </w:r>
          </w:p>
          <w:p w14:paraId="6A35A6E4">
            <w:pPr>
              <w:pStyle w:val="4"/>
              <w:spacing w:before="135"/>
              <w:ind w:left="540"/>
              <w:jc w:val="left"/>
            </w:pPr>
            <w:r>
              <w:rPr>
                <w:rFonts w:ascii="仿宋_GB2312" w:hAnsi="仿宋_GB2312" w:eastAsia="仿宋_GB2312" w:cs="仿宋_GB2312"/>
                <w:color w:val="000000"/>
                <w:sz w:val="24"/>
              </w:rPr>
              <w:t>3.2审核服务费用</w:t>
            </w:r>
          </w:p>
          <w:p w14:paraId="1A756218">
            <w:pPr>
              <w:pStyle w:val="4"/>
              <w:ind w:left="510"/>
              <w:jc w:val="left"/>
            </w:pPr>
            <w:r>
              <w:rPr>
                <w:rFonts w:ascii="仿宋_GB2312" w:hAnsi="仿宋_GB2312" w:eastAsia="仿宋_GB2312" w:cs="仿宋_GB2312"/>
                <w:color w:val="000000"/>
                <w:sz w:val="24"/>
              </w:rPr>
              <w:t>3.2.1审核服务费用=（基本费用+</w:t>
            </w:r>
            <w:r>
              <w:rPr>
                <w:rFonts w:ascii="仿宋_GB2312" w:hAnsi="仿宋_GB2312" w:eastAsia="仿宋_GB2312" w:cs="仿宋_GB2312"/>
                <w:sz w:val="24"/>
              </w:rPr>
              <w:t>效益费用）×考核系数。</w:t>
            </w:r>
          </w:p>
          <w:p w14:paraId="56AD58B5">
            <w:pPr>
              <w:pStyle w:val="4"/>
              <w:jc w:val="left"/>
            </w:pPr>
            <w:r>
              <w:rPr>
                <w:rFonts w:ascii="仿宋_GB2312" w:hAnsi="仿宋_GB2312" w:eastAsia="仿宋_GB2312" w:cs="仿宋_GB2312"/>
                <w:sz w:val="24"/>
              </w:rPr>
              <w:t xml:space="preserve">   3.2.2基本费用计价标准：各子项目基本费均按</w:t>
            </w:r>
            <w:r>
              <w:rPr>
                <w:rFonts w:ascii="仿宋_GB2312" w:hAnsi="仿宋_GB2312" w:eastAsia="仿宋_GB2312" w:cs="仿宋_GB2312"/>
                <w:color w:val="000000"/>
                <w:sz w:val="24"/>
              </w:rPr>
              <w:t>送审金额×0.4‰计算。</w:t>
            </w:r>
          </w:p>
          <w:p w14:paraId="3EC2DCC9">
            <w:pPr>
              <w:pStyle w:val="4"/>
              <w:spacing w:before="135"/>
              <w:ind w:firstLine="476"/>
              <w:jc w:val="left"/>
            </w:pPr>
            <w:r>
              <w:rPr>
                <w:rFonts w:ascii="仿宋_GB2312" w:hAnsi="仿宋_GB2312" w:eastAsia="仿宋_GB2312" w:cs="仿宋_GB2312"/>
                <w:color w:val="000000"/>
                <w:sz w:val="24"/>
              </w:rPr>
              <w:t>3.2.3效益费用计价标准：各子项目净审减金额（审增审减品迭后）×5%×供应商报价百分比。</w:t>
            </w:r>
          </w:p>
          <w:p w14:paraId="1CBE70AA">
            <w:pPr>
              <w:pStyle w:val="4"/>
              <w:ind w:left="105" w:right="105" w:firstLine="402"/>
              <w:jc w:val="left"/>
            </w:pPr>
            <w:r>
              <w:rPr>
                <w:rFonts w:ascii="仿宋_GB2312" w:hAnsi="仿宋_GB2312" w:eastAsia="仿宋_GB2312" w:cs="仿宋_GB2312"/>
                <w:color w:val="000000"/>
                <w:sz w:val="24"/>
              </w:rPr>
              <w:t>3.2.4.考</w:t>
            </w:r>
            <w:r>
              <w:rPr>
                <w:rFonts w:ascii="仿宋_GB2312" w:hAnsi="仿宋_GB2312" w:eastAsia="仿宋_GB2312" w:cs="仿宋_GB2312"/>
                <w:sz w:val="24"/>
              </w:rPr>
              <w:t>核系数计算标准：考核结果90分（含90分）-100分考核系数为100%；75分-90分（含75分，不含90分）考核系数为80%；60分-75分（含60分，不含75分）考核系数为50%；低于60分（不含）的，考核系数为0，不支付审核服务费用。</w:t>
            </w:r>
          </w:p>
          <w:p w14:paraId="5E5164EA">
            <w:pPr>
              <w:pStyle w:val="4"/>
              <w:ind w:left="105" w:right="105" w:firstLine="402"/>
              <w:jc w:val="left"/>
            </w:pPr>
            <w:r>
              <w:rPr>
                <w:rFonts w:ascii="仿宋_GB2312" w:hAnsi="仿宋_GB2312" w:eastAsia="仿宋_GB2312" w:cs="仿宋_GB2312"/>
                <w:sz w:val="24"/>
              </w:rPr>
              <w:t>具体考核表如下：</w:t>
            </w:r>
          </w:p>
          <w:p w14:paraId="59428EF4">
            <w:pPr>
              <w:pStyle w:val="4"/>
              <w:ind w:left="105" w:right="105" w:firstLine="402"/>
              <w:jc w:val="left"/>
            </w:pPr>
            <w:r>
              <w:rPr>
                <w:rFonts w:ascii="仿宋_GB2312" w:hAnsi="仿宋_GB2312" w:eastAsia="仿宋_GB2312" w:cs="仿宋_GB2312"/>
                <w:sz w:val="24"/>
              </w:rPr>
              <w:t>结算审核复核咨询机构考</w:t>
            </w:r>
            <w:r>
              <w:rPr>
                <w:rFonts w:ascii="仿宋_GB2312" w:hAnsi="仿宋_GB2312" w:eastAsia="仿宋_GB2312" w:cs="仿宋_GB2312"/>
                <w:color w:val="000000"/>
                <w:sz w:val="24"/>
              </w:rPr>
              <w:t>核表</w:t>
            </w:r>
          </w:p>
          <w:p w14:paraId="540E6210">
            <w:pPr>
              <w:pStyle w:val="4"/>
              <w:spacing w:before="240"/>
              <w:ind w:left="540"/>
              <w:jc w:val="left"/>
            </w:pPr>
            <w:r>
              <w:rPr>
                <w:rFonts w:ascii="仿宋_GB2312" w:hAnsi="仿宋_GB2312" w:eastAsia="仿宋_GB2312" w:cs="仿宋_GB2312"/>
                <w:color w:val="000000"/>
                <w:sz w:val="24"/>
              </w:rPr>
              <w:t>咨询机构名称：</w:t>
            </w:r>
          </w:p>
          <w:p w14:paraId="402B55BD">
            <w:pPr>
              <w:pStyle w:val="4"/>
              <w:spacing w:before="225"/>
              <w:ind w:left="525"/>
              <w:jc w:val="left"/>
            </w:pPr>
            <w:r>
              <w:rPr>
                <w:rFonts w:ascii="仿宋_GB2312" w:hAnsi="仿宋_GB2312" w:eastAsia="仿宋_GB2312" w:cs="仿宋_GB2312"/>
                <w:color w:val="000000"/>
                <w:sz w:val="24"/>
              </w:rPr>
              <w:t>子项目名称：</w:t>
            </w:r>
          </w:p>
          <w:p w14:paraId="10DF0318">
            <w:pPr>
              <w:pStyle w:val="4"/>
              <w:jc w:val="left"/>
            </w:pPr>
            <w:r>
              <w:rPr>
                <w:rFonts w:ascii="仿宋_GB2312" w:hAnsi="仿宋_GB2312" w:eastAsia="仿宋_GB2312" w:cs="仿宋_GB2312"/>
                <w:color w:val="000000"/>
                <w:sz w:val="24"/>
              </w:rPr>
              <w:t xml:space="preserve">    编号：</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1001"/>
              <w:gridCol w:w="964"/>
              <w:gridCol w:w="451"/>
              <w:gridCol w:w="1931"/>
              <w:gridCol w:w="795"/>
            </w:tblGrid>
            <w:tr w14:paraId="62924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AC99FB">
                  <w:pPr>
                    <w:pStyle w:val="4"/>
                    <w:jc w:val="center"/>
                  </w:pPr>
                  <w:r>
                    <w:rPr>
                      <w:rFonts w:ascii="仿宋_GB2312" w:hAnsi="仿宋_GB2312" w:eastAsia="仿宋_GB2312" w:cs="仿宋_GB2312"/>
                      <w:b/>
                      <w:color w:val="000000"/>
                      <w:sz w:val="24"/>
                    </w:rPr>
                    <w:t>序号</w:t>
                  </w:r>
                </w:p>
              </w:tc>
              <w:tc>
                <w:tcPr>
                  <w:tcW w:w="10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9E4103">
                  <w:pPr>
                    <w:pStyle w:val="4"/>
                    <w:jc w:val="center"/>
                  </w:pPr>
                  <w:r>
                    <w:rPr>
                      <w:rFonts w:ascii="仿宋_GB2312" w:hAnsi="仿宋_GB2312" w:eastAsia="仿宋_GB2312" w:cs="仿宋_GB2312"/>
                      <w:b/>
                      <w:color w:val="000000"/>
                      <w:sz w:val="24"/>
                    </w:rPr>
                    <w:t>考核内容</w:t>
                  </w:r>
                </w:p>
              </w:tc>
              <w:tc>
                <w:tcPr>
                  <w:tcW w:w="9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AAA1A3">
                  <w:pPr>
                    <w:pStyle w:val="4"/>
                    <w:jc w:val="center"/>
                  </w:pPr>
                  <w:r>
                    <w:rPr>
                      <w:rFonts w:ascii="仿宋_GB2312" w:hAnsi="仿宋_GB2312" w:eastAsia="仿宋_GB2312" w:cs="仿宋_GB2312"/>
                      <w:b/>
                      <w:color w:val="000000"/>
                      <w:sz w:val="24"/>
                    </w:rPr>
                    <w:t>考核标准</w:t>
                  </w:r>
                </w:p>
              </w:tc>
              <w:tc>
                <w:tcPr>
                  <w:tcW w:w="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4D5124">
                  <w:pPr>
                    <w:pStyle w:val="4"/>
                    <w:jc w:val="center"/>
                  </w:pPr>
                  <w:r>
                    <w:rPr>
                      <w:rFonts w:ascii="仿宋_GB2312" w:hAnsi="仿宋_GB2312" w:eastAsia="仿宋_GB2312" w:cs="仿宋_GB2312"/>
                      <w:b/>
                      <w:color w:val="000000"/>
                      <w:sz w:val="24"/>
                    </w:rPr>
                    <w:t>评分</w:t>
                  </w:r>
                </w:p>
              </w:tc>
              <w:tc>
                <w:tcPr>
                  <w:tcW w:w="20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5549FD">
                  <w:pPr>
                    <w:pStyle w:val="4"/>
                    <w:spacing w:before="30" w:after="105"/>
                    <w:jc w:val="both"/>
                  </w:pPr>
                  <w:r>
                    <w:rPr>
                      <w:rFonts w:ascii="仿宋_GB2312" w:hAnsi="仿宋_GB2312" w:eastAsia="仿宋_GB2312" w:cs="仿宋_GB2312"/>
                      <w:b/>
                      <w:color w:val="000000"/>
                      <w:sz w:val="24"/>
                    </w:rPr>
                    <w:t>评分说明（每项扣完为止）</w:t>
                  </w:r>
                </w:p>
                <w:p w14:paraId="0B92CA33">
                  <w:pPr>
                    <w:pStyle w:val="4"/>
                    <w:jc w:val="center"/>
                  </w:p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9159A2">
                  <w:pPr>
                    <w:pStyle w:val="4"/>
                    <w:jc w:val="center"/>
                  </w:pPr>
                  <w:r>
                    <w:rPr>
                      <w:rFonts w:ascii="仿宋_GB2312" w:hAnsi="仿宋_GB2312" w:eastAsia="仿宋_GB2312" w:cs="仿宋_GB2312"/>
                      <w:b/>
                      <w:color w:val="000000"/>
                      <w:sz w:val="24"/>
                    </w:rPr>
                    <w:t>扣分情况说明</w:t>
                  </w:r>
                </w:p>
              </w:tc>
            </w:tr>
            <w:tr w14:paraId="475EE9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43191">
                  <w:pPr>
                    <w:pStyle w:val="4"/>
                    <w:jc w:val="both"/>
                  </w:pPr>
                  <w:r>
                    <w:rPr>
                      <w:rFonts w:ascii="仿宋_GB2312" w:hAnsi="仿宋_GB2312" w:eastAsia="仿宋_GB2312" w:cs="仿宋_GB2312"/>
                      <w:sz w:val="21"/>
                    </w:rPr>
                    <w:t>一</w:t>
                  </w:r>
                </w:p>
              </w:tc>
              <w:tc>
                <w:tcPr>
                  <w:tcW w:w="10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371D6">
                  <w:pPr>
                    <w:pStyle w:val="4"/>
                    <w:spacing w:before="75" w:after="105"/>
                    <w:ind w:right="90"/>
                    <w:jc w:val="both"/>
                  </w:pPr>
                  <w:r>
                    <w:rPr>
                      <w:rFonts w:ascii="仿宋_GB2312" w:hAnsi="仿宋_GB2312" w:eastAsia="仿宋_GB2312" w:cs="仿宋_GB2312"/>
                      <w:color w:val="000000"/>
                      <w:sz w:val="21"/>
                    </w:rPr>
                    <w:t>委派人员能力素质(15分)</w:t>
                  </w:r>
                </w:p>
                <w:p w14:paraId="436032C0">
                  <w:pPr>
                    <w:pStyle w:val="4"/>
                    <w:jc w:val="both"/>
                  </w:pPr>
                </w:p>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9AF8A">
                  <w:pPr>
                    <w:pStyle w:val="4"/>
                    <w:jc w:val="both"/>
                  </w:pPr>
                  <w:r>
                    <w:rPr>
                      <w:rFonts w:ascii="仿宋_GB2312" w:hAnsi="仿宋_GB2312" w:eastAsia="仿宋_GB2312" w:cs="仿宋_GB2312"/>
                      <w:color w:val="000000"/>
                      <w:sz w:val="21"/>
                    </w:rPr>
                    <w:t>1.必须按合同签订的名单派遣专业技术人员（5分）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70DBC">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01FF6">
                  <w:pPr>
                    <w:pStyle w:val="4"/>
                    <w:jc w:val="both"/>
                  </w:pPr>
                  <w:r>
                    <w:rPr>
                      <w:rFonts w:ascii="仿宋_GB2312" w:hAnsi="仿宋_GB2312" w:eastAsia="仿宋_GB2312" w:cs="仿宋_GB2312"/>
                      <w:color w:val="000000"/>
                      <w:sz w:val="21"/>
                    </w:rPr>
                    <w:t>项目派遣的审核人员与合同签订的名单不一致或未经批准擅自更换的，扣5分。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81C17">
                  <w:pPr>
                    <w:pStyle w:val="4"/>
                    <w:jc w:val="both"/>
                  </w:pPr>
                </w:p>
              </w:tc>
            </w:tr>
            <w:tr w14:paraId="425A9C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4DD7329F"/>
              </w:tc>
              <w:tc>
                <w:tcPr>
                  <w:tcW w:w="1030" w:type="dxa"/>
                  <w:vMerge w:val="continue"/>
                  <w:tcBorders>
                    <w:top w:val="nil"/>
                    <w:left w:val="single" w:color="000000" w:sz="4" w:space="0"/>
                    <w:bottom w:val="single" w:color="000000" w:sz="4" w:space="0"/>
                    <w:right w:val="single" w:color="000000" w:sz="4" w:space="0"/>
                  </w:tcBorders>
                </w:tcPr>
                <w:p w14:paraId="3F5B5F4E"/>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6BAAD">
                  <w:pPr>
                    <w:pStyle w:val="4"/>
                    <w:jc w:val="both"/>
                  </w:pPr>
                  <w:r>
                    <w:rPr>
                      <w:rFonts w:ascii="仿宋_GB2312" w:hAnsi="仿宋_GB2312" w:eastAsia="仿宋_GB2312" w:cs="仿宋_GB2312"/>
                      <w:color w:val="000000"/>
                      <w:sz w:val="21"/>
                    </w:rPr>
                    <w:t>2.现场踏勘、现场核对工程量时项目负责人及成员必须到场（10分）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C00DF">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0929F">
                  <w:pPr>
                    <w:pStyle w:val="4"/>
                    <w:jc w:val="both"/>
                  </w:pPr>
                  <w:r>
                    <w:rPr>
                      <w:rFonts w:ascii="仿宋_GB2312" w:hAnsi="仿宋_GB2312" w:eastAsia="仿宋_GB2312" w:cs="仿宋_GB2312"/>
                      <w:color w:val="000000"/>
                      <w:sz w:val="21"/>
                    </w:rPr>
                    <w:t>项目派遣的项目负责人及成员任一个未到场的，扣2分/人·天，最多扣10分。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B1BE8">
                  <w:pPr>
                    <w:pStyle w:val="4"/>
                    <w:jc w:val="both"/>
                  </w:pPr>
                </w:p>
              </w:tc>
            </w:tr>
            <w:tr w14:paraId="5F3A6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4B75E">
                  <w:pPr>
                    <w:pStyle w:val="4"/>
                    <w:jc w:val="center"/>
                  </w:pPr>
                  <w:r>
                    <w:rPr>
                      <w:rFonts w:ascii="仿宋_GB2312" w:hAnsi="仿宋_GB2312" w:eastAsia="仿宋_GB2312" w:cs="仿宋_GB2312"/>
                      <w:sz w:val="21"/>
                    </w:rPr>
                    <w:t>二</w:t>
                  </w:r>
                </w:p>
              </w:tc>
              <w:tc>
                <w:tcPr>
                  <w:tcW w:w="10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16ABD">
                  <w:pPr>
                    <w:pStyle w:val="4"/>
                    <w:jc w:val="both"/>
                  </w:pPr>
                  <w:r>
                    <w:rPr>
                      <w:rFonts w:ascii="仿宋_GB2312" w:hAnsi="仿宋_GB2312" w:eastAsia="仿宋_GB2312" w:cs="仿宋_GB2312"/>
                      <w:color w:val="000000"/>
                      <w:sz w:val="21"/>
                    </w:rPr>
                    <w:t>审核工作质量（33分)</w:t>
                  </w:r>
                </w:p>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F5239">
                  <w:pPr>
                    <w:pStyle w:val="4"/>
                    <w:jc w:val="both"/>
                  </w:pPr>
                  <w:r>
                    <w:rPr>
                      <w:rFonts w:ascii="仿宋_GB2312" w:hAnsi="仿宋_GB2312" w:eastAsia="仿宋_GB2312" w:cs="仿宋_GB2312"/>
                      <w:color w:val="000000"/>
                      <w:sz w:val="21"/>
                    </w:rPr>
                    <w:t>1.审核实施方案、踏勘方案、审核证据汇总记录、工作底稿完整规范、数据准确（7分）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09DFE">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67B4FA">
                  <w:pPr>
                    <w:pStyle w:val="4"/>
                    <w:jc w:val="both"/>
                  </w:pPr>
                  <w:r>
                    <w:rPr>
                      <w:rFonts w:ascii="仿宋_GB2312" w:hAnsi="仿宋_GB2312" w:eastAsia="仿宋_GB2312" w:cs="仿宋_GB2312"/>
                      <w:color w:val="000000"/>
                      <w:sz w:val="21"/>
                    </w:rPr>
                    <w:t>证明性材料不完整，每缺1项扣1分；签字手续不完备，每处扣1分；取证错误，每处扣2分。最多扣7分。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DF199">
                  <w:pPr>
                    <w:pStyle w:val="4"/>
                    <w:jc w:val="both"/>
                  </w:pPr>
                </w:p>
              </w:tc>
            </w:tr>
            <w:tr w14:paraId="1EB16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47B73E0B"/>
              </w:tc>
              <w:tc>
                <w:tcPr>
                  <w:tcW w:w="1030" w:type="dxa"/>
                  <w:vMerge w:val="continue"/>
                  <w:tcBorders>
                    <w:top w:val="nil"/>
                    <w:left w:val="single" w:color="000000" w:sz="4" w:space="0"/>
                    <w:bottom w:val="single" w:color="000000" w:sz="4" w:space="0"/>
                    <w:right w:val="single" w:color="000000" w:sz="4" w:space="0"/>
                  </w:tcBorders>
                </w:tcPr>
                <w:p w14:paraId="73035E46"/>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DA2C3">
                  <w:pPr>
                    <w:pStyle w:val="4"/>
                    <w:jc w:val="both"/>
                  </w:pPr>
                  <w:r>
                    <w:rPr>
                      <w:rFonts w:ascii="仿宋_GB2312" w:hAnsi="仿宋_GB2312" w:eastAsia="仿宋_GB2312" w:cs="仿宋_GB2312"/>
                      <w:color w:val="000000"/>
                      <w:sz w:val="21"/>
                    </w:rPr>
                    <w:t>2.现场踏勘记录详细、准确，发现重大差异及时提出（5分）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4AA9E">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E6782">
                  <w:pPr>
                    <w:pStyle w:val="4"/>
                    <w:jc w:val="both"/>
                  </w:pPr>
                  <w:r>
                    <w:rPr>
                      <w:rFonts w:ascii="仿宋_GB2312" w:hAnsi="仿宋_GB2312" w:eastAsia="仿宋_GB2312" w:cs="仿宋_GB2312"/>
                      <w:color w:val="000000"/>
                      <w:sz w:val="21"/>
                    </w:rPr>
                    <w:t>证明性材料不完整，每缺1项扣1分；签字手续不完备，每处扣1分；取证错误，每处扣2分。最多扣5分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39564">
                  <w:pPr>
                    <w:pStyle w:val="4"/>
                    <w:jc w:val="both"/>
                  </w:pPr>
                </w:p>
              </w:tc>
            </w:tr>
            <w:tr w14:paraId="61C4D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6841D8B6"/>
              </w:tc>
              <w:tc>
                <w:tcPr>
                  <w:tcW w:w="1030" w:type="dxa"/>
                  <w:vMerge w:val="continue"/>
                  <w:tcBorders>
                    <w:top w:val="nil"/>
                    <w:left w:val="single" w:color="000000" w:sz="4" w:space="0"/>
                    <w:bottom w:val="single" w:color="000000" w:sz="4" w:space="0"/>
                    <w:right w:val="single" w:color="000000" w:sz="4" w:space="0"/>
                  </w:tcBorders>
                </w:tcPr>
                <w:p w14:paraId="1256457D"/>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5F22A">
                  <w:pPr>
                    <w:pStyle w:val="4"/>
                    <w:jc w:val="both"/>
                  </w:pPr>
                  <w:r>
                    <w:rPr>
                      <w:rFonts w:ascii="仿宋_GB2312" w:hAnsi="仿宋_GB2312" w:eastAsia="仿宋_GB2312" w:cs="仿宋_GB2312"/>
                      <w:color w:val="000000"/>
                      <w:sz w:val="21"/>
                    </w:rPr>
                    <w:t>3.及时反映发现的重大问题和发生争议的重大事项（5分）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78A94">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199F3">
                  <w:pPr>
                    <w:pStyle w:val="4"/>
                    <w:jc w:val="both"/>
                  </w:pPr>
                  <w:r>
                    <w:rPr>
                      <w:rFonts w:ascii="仿宋_GB2312" w:hAnsi="仿宋_GB2312" w:eastAsia="仿宋_GB2312" w:cs="仿宋_GB2312"/>
                      <w:color w:val="000000"/>
                      <w:sz w:val="21"/>
                    </w:rPr>
                    <w:t>未及时反映的，扣5分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207C2">
                  <w:pPr>
                    <w:pStyle w:val="4"/>
                    <w:jc w:val="both"/>
                  </w:pPr>
                </w:p>
              </w:tc>
            </w:tr>
            <w:tr w14:paraId="4225E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532D8854"/>
              </w:tc>
              <w:tc>
                <w:tcPr>
                  <w:tcW w:w="1030" w:type="dxa"/>
                  <w:vMerge w:val="continue"/>
                  <w:tcBorders>
                    <w:top w:val="nil"/>
                    <w:left w:val="single" w:color="000000" w:sz="4" w:space="0"/>
                    <w:bottom w:val="single" w:color="000000" w:sz="4" w:space="0"/>
                    <w:right w:val="single" w:color="000000" w:sz="4" w:space="0"/>
                  </w:tcBorders>
                </w:tcPr>
                <w:p w14:paraId="4FBCF3E5"/>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46432">
                  <w:pPr>
                    <w:pStyle w:val="4"/>
                    <w:jc w:val="both"/>
                  </w:pPr>
                  <w:r>
                    <w:rPr>
                      <w:rFonts w:ascii="仿宋_GB2312" w:hAnsi="仿宋_GB2312" w:eastAsia="仿宋_GB2312" w:cs="仿宋_GB2312"/>
                      <w:color w:val="000000"/>
                      <w:sz w:val="21"/>
                    </w:rPr>
                    <w:t>4.内部三级复核（</w:t>
                  </w:r>
                  <w:r>
                    <w:rPr>
                      <w:rFonts w:ascii="仿宋_GB2312" w:hAnsi="仿宋_GB2312" w:eastAsia="仿宋_GB2312" w:cs="仿宋_GB2312"/>
                      <w:sz w:val="21"/>
                    </w:rPr>
                    <w:t>10分）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27CAA">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E6EC2">
                  <w:pPr>
                    <w:pStyle w:val="4"/>
                    <w:jc w:val="both"/>
                  </w:pPr>
                  <w:r>
                    <w:rPr>
                      <w:rFonts w:ascii="仿宋_GB2312" w:hAnsi="仿宋_GB2312" w:eastAsia="仿宋_GB2312" w:cs="仿宋_GB2312"/>
                      <w:color w:val="000000"/>
                      <w:sz w:val="21"/>
                    </w:rPr>
                    <w:t>每个子项目每出具阶段性的审核意见应当进行内部复核，审核意见需附内部三级复核意见表。每次复核意见表以及结论内容不完整、签字盖章不齐全、复核人员与拟派人员重复，扣4分，最多扣10分。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1FFB3">
                  <w:pPr>
                    <w:pStyle w:val="4"/>
                    <w:jc w:val="both"/>
                  </w:pPr>
                </w:p>
              </w:tc>
            </w:tr>
            <w:tr w14:paraId="278D7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23860FD6"/>
              </w:tc>
              <w:tc>
                <w:tcPr>
                  <w:tcW w:w="1030" w:type="dxa"/>
                  <w:vMerge w:val="continue"/>
                  <w:tcBorders>
                    <w:top w:val="nil"/>
                    <w:left w:val="single" w:color="000000" w:sz="4" w:space="0"/>
                    <w:bottom w:val="single" w:color="000000" w:sz="4" w:space="0"/>
                    <w:right w:val="single" w:color="000000" w:sz="4" w:space="0"/>
                  </w:tcBorders>
                </w:tcPr>
                <w:p w14:paraId="581BB45B"/>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A37DE">
                  <w:pPr>
                    <w:pStyle w:val="4"/>
                    <w:jc w:val="both"/>
                  </w:pPr>
                  <w:r>
                    <w:rPr>
                      <w:rFonts w:ascii="仿宋_GB2312" w:hAnsi="仿宋_GB2312" w:eastAsia="仿宋_GB2312" w:cs="仿宋_GB2312"/>
                      <w:color w:val="000000"/>
                      <w:sz w:val="21"/>
                    </w:rPr>
                    <w:t>5.审核报告格式规范、内容完整（4分）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D63DF">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CB9B7">
                  <w:pPr>
                    <w:pStyle w:val="4"/>
                    <w:jc w:val="both"/>
                  </w:pPr>
                  <w:r>
                    <w:rPr>
                      <w:rFonts w:ascii="仿宋_GB2312" w:hAnsi="仿宋_GB2312" w:eastAsia="仿宋_GB2312" w:cs="仿宋_GB2312"/>
                      <w:color w:val="000000"/>
                      <w:sz w:val="21"/>
                    </w:rPr>
                    <w:t>格式不规范，内容不完整，扣2分；签字盖章不齐全，扣</w:t>
                  </w:r>
                  <w:r>
                    <w:rPr>
                      <w:rFonts w:ascii="仿宋_GB2312" w:hAnsi="仿宋_GB2312" w:eastAsia="仿宋_GB2312" w:cs="仿宋_GB2312"/>
                      <w:sz w:val="21"/>
                    </w:rPr>
                    <w:t>2分</w:t>
                  </w:r>
                  <w:r>
                    <w:rPr>
                      <w:rFonts w:ascii="仿宋_GB2312" w:hAnsi="仿宋_GB2312" w:eastAsia="仿宋_GB2312" w:cs="仿宋_GB2312"/>
                      <w:color w:val="000000"/>
                      <w:sz w:val="21"/>
                    </w:rPr>
                    <w:t>。最多扣4分。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3ADD0">
                  <w:pPr>
                    <w:pStyle w:val="4"/>
                    <w:jc w:val="both"/>
                  </w:pPr>
                </w:p>
              </w:tc>
            </w:tr>
            <w:tr w14:paraId="73A3D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4C7F8918"/>
              </w:tc>
              <w:tc>
                <w:tcPr>
                  <w:tcW w:w="1030" w:type="dxa"/>
                  <w:vMerge w:val="continue"/>
                  <w:tcBorders>
                    <w:top w:val="nil"/>
                    <w:left w:val="single" w:color="000000" w:sz="4" w:space="0"/>
                    <w:bottom w:val="single" w:color="000000" w:sz="4" w:space="0"/>
                    <w:right w:val="single" w:color="000000" w:sz="4" w:space="0"/>
                  </w:tcBorders>
                </w:tcPr>
                <w:p w14:paraId="0B8A0073"/>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B2D58">
                  <w:pPr>
                    <w:pStyle w:val="4"/>
                    <w:jc w:val="both"/>
                  </w:pPr>
                  <w:r>
                    <w:rPr>
                      <w:rFonts w:ascii="仿宋_GB2312" w:hAnsi="仿宋_GB2312" w:eastAsia="仿宋_GB2312" w:cs="仿宋_GB2312"/>
                      <w:color w:val="000000"/>
                      <w:sz w:val="21"/>
                    </w:rPr>
                    <w:t>6.项目资料按要求归档（2分）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E3EE5">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44072">
                  <w:pPr>
                    <w:pStyle w:val="4"/>
                    <w:jc w:val="both"/>
                  </w:pPr>
                  <w:r>
                    <w:rPr>
                      <w:rFonts w:ascii="仿宋_GB2312" w:hAnsi="仿宋_GB2312" w:eastAsia="仿宋_GB2312" w:cs="仿宋_GB2312"/>
                      <w:color w:val="000000"/>
                      <w:sz w:val="21"/>
                    </w:rPr>
                    <w:t>资料不完整，扣2分。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32BE4">
                  <w:pPr>
                    <w:pStyle w:val="4"/>
                    <w:jc w:val="both"/>
                  </w:pPr>
                </w:p>
              </w:tc>
            </w:tr>
            <w:tr w14:paraId="0F7DD5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EE16C">
                  <w:pPr>
                    <w:pStyle w:val="4"/>
                    <w:jc w:val="center"/>
                  </w:pPr>
                  <w:r>
                    <w:rPr>
                      <w:rFonts w:ascii="仿宋_GB2312" w:hAnsi="仿宋_GB2312" w:eastAsia="仿宋_GB2312" w:cs="仿宋_GB2312"/>
                      <w:sz w:val="21"/>
                    </w:rPr>
                    <w:t>三</w:t>
                  </w:r>
                </w:p>
              </w:tc>
              <w:tc>
                <w:tcPr>
                  <w:tcW w:w="10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739C1">
                  <w:pPr>
                    <w:pStyle w:val="4"/>
                    <w:jc w:val="both"/>
                  </w:pPr>
                  <w:r>
                    <w:rPr>
                      <w:rFonts w:ascii="仿宋_GB2312" w:hAnsi="仿宋_GB2312" w:eastAsia="仿宋_GB2312" w:cs="仿宋_GB2312"/>
                      <w:color w:val="000000"/>
                      <w:sz w:val="21"/>
                    </w:rPr>
                    <w:t>审核工作效率</w:t>
                  </w:r>
                  <w:r>
                    <w:rPr>
                      <w:rFonts w:ascii="仿宋_GB2312" w:hAnsi="仿宋_GB2312" w:eastAsia="仿宋_GB2312" w:cs="仿宋_GB2312"/>
                      <w:sz w:val="21"/>
                    </w:rPr>
                    <w:t>(35</w:t>
                  </w:r>
                  <w:r>
                    <w:rPr>
                      <w:rFonts w:ascii="仿宋_GB2312" w:hAnsi="仿宋_GB2312" w:eastAsia="仿宋_GB2312" w:cs="仿宋_GB2312"/>
                      <w:color w:val="000000"/>
                      <w:sz w:val="21"/>
                    </w:rPr>
                    <w:t>分)</w:t>
                  </w:r>
                </w:p>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1CBFF">
                  <w:pPr>
                    <w:pStyle w:val="4"/>
                    <w:jc w:val="both"/>
                  </w:pPr>
                  <w:r>
                    <w:rPr>
                      <w:rFonts w:ascii="仿宋_GB2312" w:hAnsi="仿宋_GB2312" w:eastAsia="仿宋_GB2312" w:cs="仿宋_GB2312"/>
                      <w:color w:val="000000"/>
                      <w:sz w:val="21"/>
                    </w:rPr>
                    <w:t>1.及时提交审核工作成果（10分）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1B899">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76C0C">
                  <w:pPr>
                    <w:pStyle w:val="4"/>
                    <w:jc w:val="both"/>
                  </w:pPr>
                  <w:r>
                    <w:rPr>
                      <w:rFonts w:ascii="仿宋_GB2312" w:hAnsi="仿宋_GB2312" w:eastAsia="仿宋_GB2312" w:cs="仿宋_GB2312"/>
                      <w:color w:val="000000"/>
                      <w:sz w:val="21"/>
                    </w:rPr>
                    <w:t>成交供应商书面确认项目资料完整之日起60日历天后。由于成交供应商原因未及时提交审核工作成果，每延期1天，扣1分。最多扣10分。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FA71C">
                  <w:pPr>
                    <w:pStyle w:val="4"/>
                    <w:jc w:val="both"/>
                  </w:pPr>
                </w:p>
              </w:tc>
            </w:tr>
            <w:tr w14:paraId="3C5826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51839943"/>
              </w:tc>
              <w:tc>
                <w:tcPr>
                  <w:tcW w:w="1030" w:type="dxa"/>
                  <w:vMerge w:val="continue"/>
                  <w:tcBorders>
                    <w:top w:val="nil"/>
                    <w:left w:val="single" w:color="000000" w:sz="4" w:space="0"/>
                    <w:bottom w:val="single" w:color="000000" w:sz="4" w:space="0"/>
                    <w:right w:val="single" w:color="000000" w:sz="4" w:space="0"/>
                  </w:tcBorders>
                </w:tcPr>
                <w:p w14:paraId="0188514D"/>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E10E2">
                  <w:pPr>
                    <w:pStyle w:val="4"/>
                    <w:jc w:val="both"/>
                  </w:pPr>
                  <w:r>
                    <w:rPr>
                      <w:rFonts w:ascii="仿宋_GB2312" w:hAnsi="仿宋_GB2312" w:eastAsia="仿宋_GB2312" w:cs="仿宋_GB2312"/>
                      <w:color w:val="000000"/>
                      <w:sz w:val="21"/>
                    </w:rPr>
                    <w:t>2.阶段性审核结果提交及时性（10分）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2C418C">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5DB24">
                  <w:pPr>
                    <w:pStyle w:val="4"/>
                    <w:jc w:val="both"/>
                  </w:pPr>
                  <w:r>
                    <w:rPr>
                      <w:rFonts w:ascii="仿宋_GB2312" w:hAnsi="仿宋_GB2312" w:eastAsia="仿宋_GB2312" w:cs="仿宋_GB2312"/>
                      <w:sz w:val="21"/>
                    </w:rPr>
                    <w:t>现场踏勘后，初步审核结果超过15个工作日的，每超过1天扣1分。最多扣10分。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3BCFF">
                  <w:pPr>
                    <w:pStyle w:val="4"/>
                    <w:jc w:val="both"/>
                  </w:pPr>
                </w:p>
              </w:tc>
            </w:tr>
            <w:tr w14:paraId="29CAA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55C3D5E3"/>
              </w:tc>
              <w:tc>
                <w:tcPr>
                  <w:tcW w:w="1030" w:type="dxa"/>
                  <w:vMerge w:val="continue"/>
                  <w:tcBorders>
                    <w:top w:val="nil"/>
                    <w:left w:val="single" w:color="000000" w:sz="4" w:space="0"/>
                    <w:bottom w:val="single" w:color="000000" w:sz="4" w:space="0"/>
                    <w:right w:val="single" w:color="000000" w:sz="4" w:space="0"/>
                  </w:tcBorders>
                </w:tcPr>
                <w:p w14:paraId="07EC829C"/>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A7FD3">
                  <w:pPr>
                    <w:pStyle w:val="4"/>
                    <w:jc w:val="both"/>
                  </w:pPr>
                  <w:r>
                    <w:rPr>
                      <w:rFonts w:ascii="仿宋_GB2312" w:hAnsi="仿宋_GB2312" w:eastAsia="仿宋_GB2312" w:cs="仿宋_GB2312"/>
                      <w:color w:val="000000"/>
                      <w:sz w:val="21"/>
                    </w:rPr>
                    <w:t>3.过程资料审核及时性（10分）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6203A">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1BB96">
                  <w:pPr>
                    <w:pStyle w:val="4"/>
                    <w:jc w:val="both"/>
                  </w:pPr>
                  <w:r>
                    <w:rPr>
                      <w:rFonts w:ascii="仿宋_GB2312" w:hAnsi="仿宋_GB2312" w:eastAsia="仿宋_GB2312" w:cs="仿宋_GB2312"/>
                      <w:sz w:val="21"/>
                    </w:rPr>
                    <w:t>现场踏勘后至审计工作成果出具前。建设及相关单位单位完善相关资料之日起，于5个工作日内书面反馈审计意见或阶段性审核结果，每超过1天扣1分。最多扣10分。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B2650">
                  <w:pPr>
                    <w:pStyle w:val="4"/>
                    <w:jc w:val="both"/>
                  </w:pPr>
                </w:p>
              </w:tc>
            </w:tr>
            <w:tr w14:paraId="0E450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continue"/>
                  <w:tcBorders>
                    <w:top w:val="nil"/>
                    <w:left w:val="single" w:color="000000" w:sz="4" w:space="0"/>
                    <w:bottom w:val="single" w:color="000000" w:sz="4" w:space="0"/>
                    <w:right w:val="single" w:color="000000" w:sz="4" w:space="0"/>
                  </w:tcBorders>
                </w:tcPr>
                <w:p w14:paraId="65216255"/>
              </w:tc>
              <w:tc>
                <w:tcPr>
                  <w:tcW w:w="1030" w:type="dxa"/>
                  <w:vMerge w:val="continue"/>
                  <w:tcBorders>
                    <w:top w:val="nil"/>
                    <w:left w:val="single" w:color="000000" w:sz="4" w:space="0"/>
                    <w:bottom w:val="single" w:color="000000" w:sz="4" w:space="0"/>
                    <w:right w:val="single" w:color="000000" w:sz="4" w:space="0"/>
                  </w:tcBorders>
                </w:tcPr>
                <w:p w14:paraId="69C50C27"/>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B1D39">
                  <w:pPr>
                    <w:pStyle w:val="4"/>
                    <w:jc w:val="both"/>
                  </w:pPr>
                  <w:r>
                    <w:rPr>
                      <w:rFonts w:ascii="仿宋_GB2312" w:hAnsi="仿宋_GB2312" w:eastAsia="仿宋_GB2312" w:cs="仿宋_GB2312"/>
                      <w:color w:val="000000"/>
                      <w:sz w:val="21"/>
                    </w:rPr>
                    <w:t>4.审核过程中注重各方协调配合（5分）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9A110">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75165">
                  <w:pPr>
                    <w:pStyle w:val="4"/>
                    <w:jc w:val="both"/>
                  </w:pPr>
                  <w:r>
                    <w:rPr>
                      <w:rFonts w:ascii="仿宋_GB2312" w:hAnsi="仿宋_GB2312" w:eastAsia="仿宋_GB2312" w:cs="仿宋_GB2312"/>
                      <w:color w:val="000000"/>
                      <w:sz w:val="21"/>
                    </w:rPr>
                    <w:t>每有一次不配合采购人协调工作（如现场踏勘、现场核对工程量等），扣1分。最多扣5分。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40B0D">
                  <w:pPr>
                    <w:pStyle w:val="4"/>
                    <w:jc w:val="both"/>
                  </w:pPr>
                </w:p>
              </w:tc>
            </w:tr>
            <w:tr w14:paraId="71E18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6C7C1">
                  <w:pPr>
                    <w:pStyle w:val="4"/>
                    <w:jc w:val="both"/>
                  </w:pPr>
                  <w:r>
                    <w:rPr>
                      <w:rFonts w:ascii="仿宋_GB2312" w:hAnsi="仿宋_GB2312" w:eastAsia="仿宋_GB2312" w:cs="仿宋_GB2312"/>
                      <w:sz w:val="21"/>
                    </w:rPr>
                    <w:t>四</w:t>
                  </w:r>
                </w:p>
              </w:tc>
              <w:tc>
                <w:tcPr>
                  <w:tcW w:w="10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47A45">
                  <w:pPr>
                    <w:pStyle w:val="4"/>
                    <w:jc w:val="both"/>
                  </w:pPr>
                  <w:r>
                    <w:rPr>
                      <w:rFonts w:ascii="仿宋_GB2312" w:hAnsi="仿宋_GB2312" w:eastAsia="仿宋_GB2312" w:cs="仿宋_GB2312"/>
                      <w:color w:val="000000"/>
                      <w:sz w:val="21"/>
                    </w:rPr>
                    <w:t>严格审核工作程序(5分)</w:t>
                  </w:r>
                </w:p>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5193D">
                  <w:pPr>
                    <w:pStyle w:val="4"/>
                    <w:jc w:val="both"/>
                  </w:pPr>
                  <w:r>
                    <w:rPr>
                      <w:rFonts w:ascii="仿宋_GB2312" w:hAnsi="仿宋_GB2312" w:eastAsia="仿宋_GB2312" w:cs="仿宋_GB2312"/>
                      <w:color w:val="000000"/>
                      <w:sz w:val="21"/>
                    </w:rPr>
                    <w:t>项目资料收集、移交以及现场抽查、工程量核对等是否严格按照要求的程序进行（5分）</w:t>
                  </w:r>
                </w:p>
              </w:tc>
              <w:tc>
                <w:tcPr>
                  <w:tcW w:w="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10C8C">
                  <w:pPr>
                    <w:pStyle w:val="4"/>
                    <w:jc w:val="both"/>
                  </w:pPr>
                </w:p>
              </w:tc>
              <w:tc>
                <w:tcPr>
                  <w:tcW w:w="2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42F7D">
                  <w:pPr>
                    <w:pStyle w:val="4"/>
                    <w:jc w:val="both"/>
                  </w:pPr>
                  <w:r>
                    <w:rPr>
                      <w:rFonts w:ascii="仿宋_GB2312" w:hAnsi="仿宋_GB2312" w:eastAsia="仿宋_GB2312" w:cs="仿宋_GB2312"/>
                      <w:color w:val="000000"/>
                      <w:sz w:val="21"/>
                    </w:rPr>
                    <w:t>"是"得满分；"否"不得分。</w:t>
                  </w:r>
                </w:p>
              </w:tc>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5A3D6">
                  <w:pPr>
                    <w:pStyle w:val="4"/>
                    <w:jc w:val="both"/>
                  </w:pPr>
                </w:p>
              </w:tc>
            </w:tr>
            <w:tr w14:paraId="1ADFD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38D75">
                  <w:pPr>
                    <w:pStyle w:val="4"/>
                    <w:jc w:val="both"/>
                  </w:pPr>
                  <w:r>
                    <w:rPr>
                      <w:rFonts w:ascii="仿宋_GB2312" w:hAnsi="仿宋_GB2312" w:eastAsia="仿宋_GB2312" w:cs="仿宋_GB2312"/>
                      <w:sz w:val="21"/>
                    </w:rPr>
                    <w:t>五</w:t>
                  </w:r>
                </w:p>
              </w:tc>
              <w:tc>
                <w:tcPr>
                  <w:tcW w:w="10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79A9B">
                  <w:pPr>
                    <w:pStyle w:val="4"/>
                    <w:spacing w:before="105" w:after="105"/>
                    <w:jc w:val="center"/>
                  </w:pPr>
                  <w:r>
                    <w:rPr>
                      <w:rFonts w:ascii="仿宋_GB2312" w:hAnsi="仿宋_GB2312" w:eastAsia="仿宋_GB2312" w:cs="仿宋_GB2312"/>
                      <w:color w:val="000000"/>
                      <w:sz w:val="21"/>
                    </w:rPr>
                    <w:t>审核工作纪律（12分)</w:t>
                  </w:r>
                </w:p>
                <w:p w14:paraId="2E5FF711">
                  <w:pPr>
                    <w:pStyle w:val="4"/>
                    <w:jc w:val="center"/>
                  </w:pPr>
                </w:p>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7D06F">
                  <w:pPr>
                    <w:pStyle w:val="4"/>
                    <w:jc w:val="both"/>
                  </w:pPr>
                  <w:r>
                    <w:rPr>
                      <w:rFonts w:ascii="仿宋_GB2312" w:hAnsi="仿宋_GB2312" w:eastAsia="仿宋_GB2312" w:cs="仿宋_GB2312"/>
                      <w:color w:val="000000"/>
                      <w:sz w:val="21"/>
                    </w:rPr>
                    <w:t>1.严格执行廉政、保密等相关规定（10分）</w:t>
                  </w:r>
                </w:p>
              </w:tc>
              <w:tc>
                <w:tcPr>
                  <w:tcW w:w="39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33573">
                  <w:pPr>
                    <w:pStyle w:val="4"/>
                    <w:jc w:val="both"/>
                  </w:pPr>
                </w:p>
              </w:tc>
              <w:tc>
                <w:tcPr>
                  <w:tcW w:w="200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1E99D">
                  <w:pPr>
                    <w:pStyle w:val="4"/>
                    <w:jc w:val="both"/>
                  </w:pPr>
                  <w:r>
                    <w:rPr>
                      <w:rFonts w:ascii="仿宋_GB2312" w:hAnsi="仿宋_GB2312" w:eastAsia="仿宋_GB2312" w:cs="仿宋_GB2312"/>
                      <w:color w:val="000000"/>
                      <w:sz w:val="21"/>
                    </w:rPr>
                    <w:t>"是"得满分；"否"不得分</w:t>
                  </w:r>
                </w:p>
              </w:tc>
              <w:tc>
                <w:tcPr>
                  <w:tcW w:w="82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F6ABB1">
                  <w:pPr>
                    <w:pStyle w:val="4"/>
                    <w:jc w:val="both"/>
                  </w:pPr>
                </w:p>
              </w:tc>
            </w:tr>
            <w:tr w14:paraId="0A5032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57" w:type="dxa"/>
                  <w:vMerge w:val="continue"/>
                  <w:tcBorders>
                    <w:top w:val="nil"/>
                    <w:left w:val="single" w:color="000000" w:sz="4" w:space="0"/>
                    <w:bottom w:val="single" w:color="000000" w:sz="4" w:space="0"/>
                    <w:right w:val="single" w:color="000000" w:sz="4" w:space="0"/>
                  </w:tcBorders>
                </w:tcPr>
                <w:p w14:paraId="466AB068"/>
              </w:tc>
              <w:tc>
                <w:tcPr>
                  <w:tcW w:w="1030" w:type="dxa"/>
                  <w:vMerge w:val="continue"/>
                  <w:tcBorders>
                    <w:top w:val="nil"/>
                    <w:left w:val="single" w:color="000000" w:sz="4" w:space="0"/>
                    <w:bottom w:val="single" w:color="000000" w:sz="4" w:space="0"/>
                    <w:right w:val="single" w:color="000000" w:sz="4" w:space="0"/>
                  </w:tcBorders>
                </w:tcPr>
                <w:p w14:paraId="3B0A8534"/>
              </w:tc>
              <w:tc>
                <w:tcPr>
                  <w:tcW w:w="9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0CFF4">
                  <w:pPr>
                    <w:pStyle w:val="4"/>
                    <w:jc w:val="both"/>
                  </w:pPr>
                  <w:r>
                    <w:rPr>
                      <w:rFonts w:ascii="仿宋_GB2312" w:hAnsi="仿宋_GB2312" w:eastAsia="仿宋_GB2312" w:cs="仿宋_GB2312"/>
                      <w:color w:val="000000"/>
                      <w:sz w:val="21"/>
                    </w:rPr>
                    <w:t>2.保持良好工作形象（2分）</w:t>
                  </w:r>
                </w:p>
              </w:tc>
              <w:tc>
                <w:tcPr>
                  <w:tcW w:w="396" w:type="dxa"/>
                  <w:vMerge w:val="continue"/>
                  <w:tcBorders>
                    <w:top w:val="nil"/>
                    <w:left w:val="single" w:color="000000" w:sz="4" w:space="0"/>
                    <w:bottom w:val="single" w:color="000000" w:sz="4" w:space="0"/>
                    <w:right w:val="single" w:color="000000" w:sz="4" w:space="0"/>
                  </w:tcBorders>
                </w:tcPr>
                <w:p w14:paraId="78C77DC8"/>
              </w:tc>
              <w:tc>
                <w:tcPr>
                  <w:tcW w:w="2001" w:type="dxa"/>
                  <w:vMerge w:val="continue"/>
                  <w:tcBorders>
                    <w:top w:val="nil"/>
                    <w:left w:val="single" w:color="000000" w:sz="4" w:space="0"/>
                    <w:bottom w:val="single" w:color="000000" w:sz="4" w:space="0"/>
                    <w:right w:val="single" w:color="000000" w:sz="4" w:space="0"/>
                  </w:tcBorders>
                </w:tcPr>
                <w:p w14:paraId="3E0F751E"/>
              </w:tc>
              <w:tc>
                <w:tcPr>
                  <w:tcW w:w="822" w:type="dxa"/>
                  <w:vMerge w:val="continue"/>
                  <w:tcBorders>
                    <w:top w:val="nil"/>
                    <w:left w:val="single" w:color="000000" w:sz="4" w:space="0"/>
                    <w:bottom w:val="single" w:color="000000" w:sz="4" w:space="0"/>
                    <w:right w:val="single" w:color="000000" w:sz="4" w:space="0"/>
                  </w:tcBorders>
                </w:tcPr>
                <w:p w14:paraId="27AE4EF3"/>
              </w:tc>
            </w:tr>
            <w:tr w14:paraId="71620E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FE71F">
                  <w:pPr>
                    <w:pStyle w:val="4"/>
                    <w:jc w:val="center"/>
                  </w:pPr>
                  <w:r>
                    <w:rPr>
                      <w:rFonts w:ascii="仿宋_GB2312" w:hAnsi="仿宋_GB2312" w:eastAsia="仿宋_GB2312" w:cs="仿宋_GB2312"/>
                      <w:b/>
                      <w:color w:val="000000"/>
                      <w:sz w:val="21"/>
                    </w:rPr>
                    <w:t>得分</w:t>
                  </w:r>
                </w:p>
              </w:tc>
              <w:tc>
                <w:tcPr>
                  <w:tcW w:w="421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3385A">
                  <w:pPr>
                    <w:pStyle w:val="4"/>
                    <w:jc w:val="both"/>
                  </w:pPr>
                </w:p>
              </w:tc>
            </w:tr>
            <w:tr w14:paraId="5E2F9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B8AA1">
                  <w:pPr>
                    <w:pStyle w:val="4"/>
                    <w:jc w:val="center"/>
                  </w:pPr>
                  <w:r>
                    <w:rPr>
                      <w:rFonts w:ascii="仿宋_GB2312" w:hAnsi="仿宋_GB2312" w:eastAsia="仿宋_GB2312" w:cs="仿宋_GB2312"/>
                      <w:b/>
                      <w:color w:val="000000"/>
                      <w:sz w:val="21"/>
                    </w:rPr>
                    <w:t>考核组意见</w:t>
                  </w:r>
                </w:p>
              </w:tc>
              <w:tc>
                <w:tcPr>
                  <w:tcW w:w="421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F920A5">
                  <w:pPr>
                    <w:pStyle w:val="4"/>
                    <w:jc w:val="both"/>
                  </w:pPr>
                </w:p>
              </w:tc>
            </w:tr>
            <w:tr w14:paraId="4214E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62A0A">
                  <w:pPr>
                    <w:pStyle w:val="4"/>
                    <w:jc w:val="center"/>
                  </w:pPr>
                  <w:r>
                    <w:rPr>
                      <w:rFonts w:ascii="仿宋_GB2312" w:hAnsi="仿宋_GB2312" w:eastAsia="仿宋_GB2312" w:cs="仿宋_GB2312"/>
                      <w:b/>
                      <w:color w:val="000000"/>
                      <w:sz w:val="21"/>
                    </w:rPr>
                    <w:t>咨询机构意见</w:t>
                  </w:r>
                </w:p>
              </w:tc>
              <w:tc>
                <w:tcPr>
                  <w:tcW w:w="421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A4000">
                  <w:pPr>
                    <w:pStyle w:val="4"/>
                    <w:jc w:val="both"/>
                  </w:pPr>
                </w:p>
              </w:tc>
            </w:tr>
          </w:tbl>
          <w:p w14:paraId="786CFC93">
            <w:pPr>
              <w:pStyle w:val="4"/>
              <w:jc w:val="left"/>
            </w:pPr>
            <w:r>
              <w:rPr>
                <w:rFonts w:ascii="仿宋_GB2312" w:hAnsi="仿宋_GB2312" w:eastAsia="仿宋_GB2312" w:cs="仿宋_GB2312"/>
              </w:rPr>
              <w:t xml:space="preserve"> </w:t>
            </w:r>
          </w:p>
          <w:p w14:paraId="4911490A">
            <w:pPr>
              <w:pStyle w:val="4"/>
              <w:jc w:val="left"/>
            </w:pPr>
            <w:r>
              <w:rPr>
                <w:rFonts w:ascii="仿宋_GB2312" w:hAnsi="仿宋_GB2312" w:eastAsia="仿宋_GB2312" w:cs="仿宋_GB2312"/>
              </w:rPr>
              <w:t xml:space="preserve"> </w:t>
            </w:r>
          </w:p>
          <w:p w14:paraId="1581A894">
            <w:pPr>
              <w:pStyle w:val="4"/>
              <w:spacing w:before="135"/>
              <w:ind w:firstLine="476"/>
              <w:jc w:val="left"/>
            </w:pPr>
          </w:p>
        </w:tc>
      </w:tr>
      <w:tr w14:paraId="515A9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939536">
            <w:pPr>
              <w:pStyle w:val="4"/>
              <w:jc w:val="center"/>
            </w:pPr>
            <w:r>
              <w:rPr>
                <w:rFonts w:ascii="仿宋_GB2312" w:hAnsi="仿宋_GB2312" w:eastAsia="仿宋_GB2312" w:cs="仿宋_GB2312"/>
              </w:rPr>
              <w:t>2</w:t>
            </w:r>
          </w:p>
        </w:tc>
        <w:tc>
          <w:tcPr>
            <w:tcW w:w="581" w:type="dxa"/>
          </w:tcPr>
          <w:p w14:paraId="65CB1D69"/>
        </w:tc>
        <w:tc>
          <w:tcPr>
            <w:tcW w:w="1495" w:type="dxa"/>
          </w:tcPr>
          <w:p w14:paraId="733FAFF4">
            <w:pPr>
              <w:pStyle w:val="4"/>
              <w:jc w:val="left"/>
            </w:pPr>
            <w:r>
              <w:rPr>
                <w:rFonts w:ascii="仿宋_GB2312" w:hAnsi="仿宋_GB2312" w:eastAsia="仿宋_GB2312" w:cs="仿宋_GB2312"/>
              </w:rPr>
              <w:t>服务要求</w:t>
            </w:r>
          </w:p>
        </w:tc>
        <w:tc>
          <w:tcPr>
            <w:tcW w:w="5814" w:type="dxa"/>
          </w:tcPr>
          <w:p w14:paraId="41D6A34D">
            <w:pPr>
              <w:pStyle w:val="4"/>
              <w:spacing w:before="180"/>
              <w:ind w:firstLine="476"/>
              <w:jc w:val="left"/>
            </w:pPr>
            <w:r>
              <w:rPr>
                <w:rFonts w:ascii="仿宋_GB2312" w:hAnsi="仿宋_GB2312" w:eastAsia="仿宋_GB2312" w:cs="仿宋_GB2312"/>
                <w:color w:val="000000"/>
                <w:sz w:val="24"/>
              </w:rPr>
              <w:t>★3.2.5.经采购人复核成交供应商</w:t>
            </w:r>
            <w:r>
              <w:rPr>
                <w:rFonts w:ascii="仿宋_GB2312" w:hAnsi="仿宋_GB2312" w:eastAsia="仿宋_GB2312" w:cs="仿宋_GB2312"/>
                <w:sz w:val="24"/>
              </w:rPr>
              <w:t>提交审核结果后，成交供应商审减额偏差差异在3%【（采购人复核审减额-成交供应商审减额）÷送审金额）】以上的，采购人不支付审核服务费用，成交供应商应依法承担相应的法律和经济责任。</w:t>
            </w:r>
          </w:p>
          <w:p w14:paraId="57F94109">
            <w:pPr>
              <w:pStyle w:val="4"/>
              <w:spacing w:before="315"/>
              <w:ind w:left="105" w:right="105" w:firstLine="405"/>
              <w:jc w:val="left"/>
            </w:pPr>
            <w:r>
              <w:rPr>
                <w:rFonts w:ascii="仿宋_GB2312" w:hAnsi="仿宋_GB2312" w:eastAsia="仿宋_GB2312" w:cs="仿宋_GB2312"/>
                <w:color w:val="000000"/>
                <w:sz w:val="24"/>
              </w:rPr>
              <w:t>★3.2.6.因竣工决（结）算项目审减金额事前无法准确计算，本项目各子项目应付审核服务费金额超过各子项目采购预算时（其中A东城雅苑采购预算509400.00元，B东城雅郡采购预算645800.00元,C东城雅筑采购预算828300.00元,D光明雅庭采购预算380600.00元），超出部分采购人不再另行支付。</w:t>
            </w:r>
          </w:p>
          <w:p w14:paraId="4FBFB2EA">
            <w:pPr>
              <w:pStyle w:val="4"/>
              <w:spacing w:before="315"/>
              <w:ind w:left="555"/>
              <w:jc w:val="left"/>
            </w:pPr>
            <w:r>
              <w:rPr>
                <w:rFonts w:ascii="仿宋_GB2312" w:hAnsi="仿宋_GB2312" w:eastAsia="仿宋_GB2312" w:cs="仿宋_GB2312"/>
              </w:rPr>
              <w:t xml:space="preserve"> </w:t>
            </w:r>
          </w:p>
        </w:tc>
      </w:tr>
    </w:tbl>
    <w:p w14:paraId="7F041444">
      <w:pPr>
        <w:pStyle w:val="4"/>
        <w:jc w:val="left"/>
        <w:outlineLvl w:val="2"/>
      </w:pPr>
      <w:r>
        <w:rPr>
          <w:rFonts w:ascii="仿宋_GB2312" w:hAnsi="仿宋_GB2312" w:eastAsia="仿宋_GB2312" w:cs="仿宋_GB2312"/>
          <w:b/>
          <w:sz w:val="28"/>
        </w:rPr>
        <w:t>3.3.服务要求</w:t>
      </w:r>
    </w:p>
    <w:p w14:paraId="635E5F4E">
      <w:pPr>
        <w:pStyle w:val="4"/>
        <w:jc w:val="left"/>
        <w:outlineLvl w:val="3"/>
      </w:pPr>
      <w:r>
        <w:rPr>
          <w:rFonts w:ascii="仿宋_GB2312" w:hAnsi="仿宋_GB2312" w:eastAsia="仿宋_GB2312" w:cs="仿宋_GB2312"/>
          <w:b/>
          <w:sz w:val="24"/>
        </w:rPr>
        <w:t>3.3.1服务内容要求</w:t>
      </w:r>
    </w:p>
    <w:p w14:paraId="3F9D9C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6EA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35C27A">
            <w:pPr>
              <w:pStyle w:val="4"/>
              <w:jc w:val="center"/>
            </w:pPr>
            <w:r>
              <w:rPr>
                <w:rFonts w:ascii="仿宋_GB2312" w:hAnsi="仿宋_GB2312" w:eastAsia="仿宋_GB2312" w:cs="仿宋_GB2312"/>
              </w:rPr>
              <w:t xml:space="preserve"> 序号</w:t>
            </w:r>
          </w:p>
        </w:tc>
        <w:tc>
          <w:tcPr>
            <w:tcW w:w="581" w:type="dxa"/>
          </w:tcPr>
          <w:p w14:paraId="7B321D47">
            <w:pPr>
              <w:pStyle w:val="4"/>
              <w:jc w:val="center"/>
            </w:pPr>
            <w:r>
              <w:rPr>
                <w:rFonts w:ascii="仿宋_GB2312" w:hAnsi="仿宋_GB2312" w:eastAsia="仿宋_GB2312" w:cs="仿宋_GB2312"/>
              </w:rPr>
              <w:t xml:space="preserve"> 符号标识</w:t>
            </w:r>
          </w:p>
        </w:tc>
        <w:tc>
          <w:tcPr>
            <w:tcW w:w="1495" w:type="dxa"/>
          </w:tcPr>
          <w:p w14:paraId="154534A1">
            <w:pPr>
              <w:pStyle w:val="4"/>
              <w:jc w:val="center"/>
            </w:pPr>
            <w:r>
              <w:rPr>
                <w:rFonts w:ascii="仿宋_GB2312" w:hAnsi="仿宋_GB2312" w:eastAsia="仿宋_GB2312" w:cs="仿宋_GB2312"/>
              </w:rPr>
              <w:t xml:space="preserve"> 服务要求名称</w:t>
            </w:r>
          </w:p>
        </w:tc>
        <w:tc>
          <w:tcPr>
            <w:tcW w:w="5814" w:type="dxa"/>
          </w:tcPr>
          <w:p w14:paraId="6188A555">
            <w:pPr>
              <w:pStyle w:val="4"/>
              <w:jc w:val="center"/>
            </w:pPr>
            <w:r>
              <w:rPr>
                <w:rFonts w:ascii="仿宋_GB2312" w:hAnsi="仿宋_GB2312" w:eastAsia="仿宋_GB2312" w:cs="仿宋_GB2312"/>
              </w:rPr>
              <w:t xml:space="preserve"> 服务要求内容</w:t>
            </w:r>
          </w:p>
        </w:tc>
      </w:tr>
      <w:tr w14:paraId="57EC6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35FCF11">
            <w:pPr>
              <w:pStyle w:val="4"/>
              <w:jc w:val="center"/>
            </w:pPr>
            <w:r>
              <w:rPr>
                <w:rFonts w:ascii="仿宋_GB2312" w:hAnsi="仿宋_GB2312" w:eastAsia="仿宋_GB2312" w:cs="仿宋_GB2312"/>
              </w:rPr>
              <w:t>无</w:t>
            </w:r>
          </w:p>
        </w:tc>
      </w:tr>
    </w:tbl>
    <w:p w14:paraId="75D1CF69">
      <w:pPr>
        <w:pStyle w:val="4"/>
        <w:jc w:val="left"/>
        <w:outlineLvl w:val="3"/>
      </w:pPr>
      <w:r>
        <w:rPr>
          <w:rFonts w:ascii="仿宋_GB2312" w:hAnsi="仿宋_GB2312" w:eastAsia="仿宋_GB2312" w:cs="仿宋_GB2312"/>
          <w:b/>
          <w:sz w:val="24"/>
        </w:rPr>
        <w:t>3.3.2.商务要求</w:t>
      </w:r>
    </w:p>
    <w:p w14:paraId="10DB6D2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53F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D368E5">
            <w:pPr>
              <w:pStyle w:val="4"/>
              <w:jc w:val="center"/>
            </w:pPr>
            <w:r>
              <w:rPr>
                <w:rFonts w:ascii="仿宋_GB2312" w:hAnsi="仿宋_GB2312" w:eastAsia="仿宋_GB2312" w:cs="仿宋_GB2312"/>
              </w:rPr>
              <w:t>序号</w:t>
            </w:r>
          </w:p>
        </w:tc>
        <w:tc>
          <w:tcPr>
            <w:tcW w:w="581" w:type="dxa"/>
          </w:tcPr>
          <w:p w14:paraId="2C38F6CA">
            <w:pPr>
              <w:pStyle w:val="4"/>
              <w:jc w:val="center"/>
            </w:pPr>
            <w:r>
              <w:rPr>
                <w:rFonts w:ascii="仿宋_GB2312" w:hAnsi="仿宋_GB2312" w:eastAsia="仿宋_GB2312" w:cs="仿宋_GB2312"/>
              </w:rPr>
              <w:t>符号标识</w:t>
            </w:r>
          </w:p>
        </w:tc>
        <w:tc>
          <w:tcPr>
            <w:tcW w:w="1495" w:type="dxa"/>
          </w:tcPr>
          <w:p w14:paraId="529450D3">
            <w:pPr>
              <w:pStyle w:val="4"/>
              <w:jc w:val="center"/>
            </w:pPr>
            <w:r>
              <w:rPr>
                <w:rFonts w:ascii="仿宋_GB2312" w:hAnsi="仿宋_GB2312" w:eastAsia="仿宋_GB2312" w:cs="仿宋_GB2312"/>
              </w:rPr>
              <w:t>商务要求名称</w:t>
            </w:r>
          </w:p>
        </w:tc>
        <w:tc>
          <w:tcPr>
            <w:tcW w:w="5814" w:type="dxa"/>
          </w:tcPr>
          <w:p w14:paraId="30ED3FB1">
            <w:pPr>
              <w:pStyle w:val="4"/>
              <w:jc w:val="center"/>
            </w:pPr>
            <w:r>
              <w:rPr>
                <w:rFonts w:ascii="仿宋_GB2312" w:hAnsi="仿宋_GB2312" w:eastAsia="仿宋_GB2312" w:cs="仿宋_GB2312"/>
              </w:rPr>
              <w:t>商务要求内容</w:t>
            </w:r>
          </w:p>
        </w:tc>
      </w:tr>
      <w:tr w14:paraId="7413A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600EB5">
            <w:pPr>
              <w:pStyle w:val="4"/>
              <w:jc w:val="center"/>
            </w:pPr>
            <w:r>
              <w:rPr>
                <w:rFonts w:ascii="仿宋_GB2312" w:hAnsi="仿宋_GB2312" w:eastAsia="仿宋_GB2312" w:cs="仿宋_GB2312"/>
              </w:rPr>
              <w:t>1</w:t>
            </w:r>
          </w:p>
        </w:tc>
        <w:tc>
          <w:tcPr>
            <w:tcW w:w="581" w:type="dxa"/>
          </w:tcPr>
          <w:p w14:paraId="423AAD0C">
            <w:pPr>
              <w:pStyle w:val="4"/>
              <w:jc w:val="center"/>
            </w:pPr>
            <w:r>
              <w:rPr>
                <w:rFonts w:ascii="仿宋_GB2312" w:hAnsi="仿宋_GB2312" w:eastAsia="仿宋_GB2312" w:cs="仿宋_GB2312"/>
              </w:rPr>
              <w:t>★</w:t>
            </w:r>
          </w:p>
        </w:tc>
        <w:tc>
          <w:tcPr>
            <w:tcW w:w="1495" w:type="dxa"/>
          </w:tcPr>
          <w:p w14:paraId="10F433DD">
            <w:pPr>
              <w:pStyle w:val="4"/>
              <w:jc w:val="left"/>
            </w:pPr>
            <w:r>
              <w:rPr>
                <w:rFonts w:ascii="仿宋_GB2312" w:hAnsi="仿宋_GB2312" w:eastAsia="仿宋_GB2312" w:cs="仿宋_GB2312"/>
              </w:rPr>
              <w:t>服务期限</w:t>
            </w:r>
          </w:p>
        </w:tc>
        <w:tc>
          <w:tcPr>
            <w:tcW w:w="5814" w:type="dxa"/>
          </w:tcPr>
          <w:p w14:paraId="16C55A0F">
            <w:pPr>
              <w:pStyle w:val="4"/>
              <w:jc w:val="left"/>
            </w:pPr>
            <w:r>
              <w:rPr>
                <w:rFonts w:ascii="仿宋_GB2312" w:hAnsi="仿宋_GB2312" w:eastAsia="仿宋_GB2312" w:cs="仿宋_GB2312"/>
              </w:rPr>
              <w:t>本项目分为4个子项目，每个子项目60个日历天。【成交供应商接收并书面确认项目资料完整之日起计算服务期限至项目提交审核报告止】。</w:t>
            </w:r>
          </w:p>
        </w:tc>
      </w:tr>
      <w:tr w14:paraId="0A018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F702CE8">
            <w:pPr>
              <w:pStyle w:val="4"/>
              <w:jc w:val="center"/>
            </w:pPr>
            <w:r>
              <w:rPr>
                <w:rFonts w:ascii="仿宋_GB2312" w:hAnsi="仿宋_GB2312" w:eastAsia="仿宋_GB2312" w:cs="仿宋_GB2312"/>
              </w:rPr>
              <w:t>2</w:t>
            </w:r>
          </w:p>
        </w:tc>
        <w:tc>
          <w:tcPr>
            <w:tcW w:w="581" w:type="dxa"/>
          </w:tcPr>
          <w:p w14:paraId="7B045A70">
            <w:pPr>
              <w:pStyle w:val="4"/>
              <w:jc w:val="center"/>
            </w:pPr>
            <w:r>
              <w:rPr>
                <w:rFonts w:ascii="仿宋_GB2312" w:hAnsi="仿宋_GB2312" w:eastAsia="仿宋_GB2312" w:cs="仿宋_GB2312"/>
              </w:rPr>
              <w:t>★</w:t>
            </w:r>
          </w:p>
        </w:tc>
        <w:tc>
          <w:tcPr>
            <w:tcW w:w="1495" w:type="dxa"/>
          </w:tcPr>
          <w:p w14:paraId="3A1FE1F8">
            <w:pPr>
              <w:pStyle w:val="4"/>
              <w:jc w:val="left"/>
            </w:pPr>
            <w:r>
              <w:rPr>
                <w:rFonts w:ascii="仿宋_GB2312" w:hAnsi="仿宋_GB2312" w:eastAsia="仿宋_GB2312" w:cs="仿宋_GB2312"/>
              </w:rPr>
              <w:t>服务地点</w:t>
            </w:r>
          </w:p>
        </w:tc>
        <w:tc>
          <w:tcPr>
            <w:tcW w:w="5814" w:type="dxa"/>
          </w:tcPr>
          <w:p w14:paraId="1782FA73">
            <w:pPr>
              <w:pStyle w:val="4"/>
              <w:jc w:val="left"/>
            </w:pPr>
            <w:r>
              <w:rPr>
                <w:rFonts w:ascii="仿宋_GB2312" w:hAnsi="仿宋_GB2312" w:eastAsia="仿宋_GB2312" w:cs="仿宋_GB2312"/>
              </w:rPr>
              <w:t>采购人指定地点</w:t>
            </w:r>
          </w:p>
        </w:tc>
      </w:tr>
      <w:tr w14:paraId="64B60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320102">
            <w:pPr>
              <w:pStyle w:val="4"/>
              <w:jc w:val="center"/>
            </w:pPr>
            <w:r>
              <w:rPr>
                <w:rFonts w:ascii="仿宋_GB2312" w:hAnsi="仿宋_GB2312" w:eastAsia="仿宋_GB2312" w:cs="仿宋_GB2312"/>
              </w:rPr>
              <w:t>3</w:t>
            </w:r>
          </w:p>
        </w:tc>
        <w:tc>
          <w:tcPr>
            <w:tcW w:w="581" w:type="dxa"/>
          </w:tcPr>
          <w:p w14:paraId="66A80B58">
            <w:pPr>
              <w:pStyle w:val="4"/>
              <w:jc w:val="center"/>
            </w:pPr>
            <w:r>
              <w:rPr>
                <w:rFonts w:ascii="仿宋_GB2312" w:hAnsi="仿宋_GB2312" w:eastAsia="仿宋_GB2312" w:cs="仿宋_GB2312"/>
              </w:rPr>
              <w:t>★</w:t>
            </w:r>
          </w:p>
        </w:tc>
        <w:tc>
          <w:tcPr>
            <w:tcW w:w="1495" w:type="dxa"/>
          </w:tcPr>
          <w:p w14:paraId="5DC1C015">
            <w:pPr>
              <w:pStyle w:val="4"/>
              <w:jc w:val="left"/>
            </w:pPr>
            <w:r>
              <w:rPr>
                <w:rFonts w:ascii="仿宋_GB2312" w:hAnsi="仿宋_GB2312" w:eastAsia="仿宋_GB2312" w:cs="仿宋_GB2312"/>
              </w:rPr>
              <w:t>验收、交付标准和方法</w:t>
            </w:r>
          </w:p>
        </w:tc>
        <w:tc>
          <w:tcPr>
            <w:tcW w:w="5814" w:type="dxa"/>
          </w:tcPr>
          <w:p w14:paraId="6B7B4970">
            <w:pPr>
              <w:pStyle w:val="4"/>
              <w:jc w:val="left"/>
            </w:pPr>
            <w:r>
              <w:rPr>
                <w:rFonts w:ascii="仿宋_GB2312" w:hAnsi="仿宋_GB2312" w:eastAsia="仿宋_GB2312" w:cs="仿宋_GB2312"/>
              </w:rPr>
              <w:t>经复核单位复核后，本项目采购人将严格按照政府采购相关法律法规以及《财政部关于进一步加强政府采购需求和履约验收管理的指导意见》（财库〔2016〕205号）、《自贡市政府采购履约验收管理办法》（自财规〔2023〕2号）等相关法律法规的要求进行验收。</w:t>
            </w:r>
          </w:p>
        </w:tc>
      </w:tr>
      <w:tr w14:paraId="6DE4A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C7213B">
            <w:pPr>
              <w:pStyle w:val="4"/>
              <w:jc w:val="center"/>
            </w:pPr>
            <w:r>
              <w:rPr>
                <w:rFonts w:ascii="仿宋_GB2312" w:hAnsi="仿宋_GB2312" w:eastAsia="仿宋_GB2312" w:cs="仿宋_GB2312"/>
              </w:rPr>
              <w:t>4</w:t>
            </w:r>
          </w:p>
        </w:tc>
        <w:tc>
          <w:tcPr>
            <w:tcW w:w="581" w:type="dxa"/>
          </w:tcPr>
          <w:p w14:paraId="0ED25426">
            <w:pPr>
              <w:pStyle w:val="4"/>
              <w:jc w:val="center"/>
            </w:pPr>
            <w:r>
              <w:rPr>
                <w:rFonts w:ascii="仿宋_GB2312" w:hAnsi="仿宋_GB2312" w:eastAsia="仿宋_GB2312" w:cs="仿宋_GB2312"/>
              </w:rPr>
              <w:t>★</w:t>
            </w:r>
          </w:p>
        </w:tc>
        <w:tc>
          <w:tcPr>
            <w:tcW w:w="1495" w:type="dxa"/>
          </w:tcPr>
          <w:p w14:paraId="43329732">
            <w:pPr>
              <w:pStyle w:val="4"/>
              <w:jc w:val="left"/>
            </w:pPr>
            <w:r>
              <w:rPr>
                <w:rFonts w:ascii="仿宋_GB2312" w:hAnsi="仿宋_GB2312" w:eastAsia="仿宋_GB2312" w:cs="仿宋_GB2312"/>
              </w:rPr>
              <w:t>支付方式</w:t>
            </w:r>
          </w:p>
        </w:tc>
        <w:tc>
          <w:tcPr>
            <w:tcW w:w="5814" w:type="dxa"/>
          </w:tcPr>
          <w:p w14:paraId="25AD3EB3">
            <w:pPr>
              <w:pStyle w:val="4"/>
              <w:jc w:val="left"/>
            </w:pPr>
            <w:r>
              <w:rPr>
                <w:rFonts w:ascii="仿宋_GB2312" w:hAnsi="仿宋_GB2312" w:eastAsia="仿宋_GB2312" w:cs="仿宋_GB2312"/>
              </w:rPr>
              <w:t>分期付款</w:t>
            </w:r>
          </w:p>
        </w:tc>
      </w:tr>
      <w:tr w14:paraId="04826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4E2D55">
            <w:pPr>
              <w:pStyle w:val="4"/>
              <w:jc w:val="center"/>
            </w:pPr>
            <w:r>
              <w:rPr>
                <w:rFonts w:ascii="仿宋_GB2312" w:hAnsi="仿宋_GB2312" w:eastAsia="仿宋_GB2312" w:cs="仿宋_GB2312"/>
              </w:rPr>
              <w:t>5</w:t>
            </w:r>
          </w:p>
        </w:tc>
        <w:tc>
          <w:tcPr>
            <w:tcW w:w="581" w:type="dxa"/>
          </w:tcPr>
          <w:p w14:paraId="34BA4D9A">
            <w:pPr>
              <w:pStyle w:val="4"/>
              <w:jc w:val="center"/>
            </w:pPr>
            <w:r>
              <w:rPr>
                <w:rFonts w:ascii="仿宋_GB2312" w:hAnsi="仿宋_GB2312" w:eastAsia="仿宋_GB2312" w:cs="仿宋_GB2312"/>
              </w:rPr>
              <w:t>★</w:t>
            </w:r>
          </w:p>
        </w:tc>
        <w:tc>
          <w:tcPr>
            <w:tcW w:w="1495" w:type="dxa"/>
          </w:tcPr>
          <w:p w14:paraId="2F3FBE78">
            <w:pPr>
              <w:pStyle w:val="4"/>
              <w:jc w:val="left"/>
            </w:pPr>
            <w:r>
              <w:rPr>
                <w:rFonts w:ascii="仿宋_GB2312" w:hAnsi="仿宋_GB2312" w:eastAsia="仿宋_GB2312" w:cs="仿宋_GB2312"/>
              </w:rPr>
              <w:t>付款进度安排</w:t>
            </w:r>
          </w:p>
        </w:tc>
        <w:tc>
          <w:tcPr>
            <w:tcW w:w="5814" w:type="dxa"/>
          </w:tcPr>
          <w:p w14:paraId="2684AC40">
            <w:pPr>
              <w:pStyle w:val="4"/>
              <w:jc w:val="left"/>
            </w:pPr>
            <w:r>
              <w:rPr>
                <w:rFonts w:ascii="仿宋_GB2312" w:hAnsi="仿宋_GB2312" w:eastAsia="仿宋_GB2312" w:cs="仿宋_GB2312"/>
              </w:rPr>
              <w:t>1、预付款，各子项达到预付款条件（成交供应商接收并书面确认项目资料完整之日起），基本费用按各子项目送审金额×0.4‰×40%计算；效益费用按净审减金额（审增审减品迭后）【暂按各子项目送审金额×1%（暂定审减率）】×5%×成交供应商报价百分比×40%，达到付款条件起10日内，支付合同总金额的40.00%</w:t>
            </w:r>
          </w:p>
          <w:p w14:paraId="0625BB47">
            <w:pPr>
              <w:pStyle w:val="4"/>
              <w:jc w:val="left"/>
            </w:pPr>
            <w:r>
              <w:rPr>
                <w:rFonts w:ascii="仿宋_GB2312" w:hAnsi="仿宋_GB2312" w:eastAsia="仿宋_GB2312" w:cs="仿宋_GB2312"/>
              </w:rPr>
              <w:t>2、尾款，各子项经采购人复核并验收合格后，按实结算服务费，达到付款条件起60日内，支付合同总金额的60.00%</w:t>
            </w:r>
          </w:p>
        </w:tc>
      </w:tr>
      <w:tr w14:paraId="3816D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65E472">
            <w:pPr>
              <w:pStyle w:val="4"/>
              <w:jc w:val="center"/>
            </w:pPr>
            <w:r>
              <w:rPr>
                <w:rFonts w:ascii="仿宋_GB2312" w:hAnsi="仿宋_GB2312" w:eastAsia="仿宋_GB2312" w:cs="仿宋_GB2312"/>
              </w:rPr>
              <w:t>6</w:t>
            </w:r>
          </w:p>
        </w:tc>
        <w:tc>
          <w:tcPr>
            <w:tcW w:w="581" w:type="dxa"/>
          </w:tcPr>
          <w:p w14:paraId="58F2DF6B">
            <w:pPr>
              <w:pStyle w:val="4"/>
              <w:jc w:val="center"/>
            </w:pPr>
            <w:r>
              <w:rPr>
                <w:rFonts w:ascii="仿宋_GB2312" w:hAnsi="仿宋_GB2312" w:eastAsia="仿宋_GB2312" w:cs="仿宋_GB2312"/>
              </w:rPr>
              <w:t>★</w:t>
            </w:r>
          </w:p>
        </w:tc>
        <w:tc>
          <w:tcPr>
            <w:tcW w:w="1495" w:type="dxa"/>
          </w:tcPr>
          <w:p w14:paraId="618D039A">
            <w:pPr>
              <w:pStyle w:val="4"/>
              <w:jc w:val="left"/>
            </w:pPr>
            <w:r>
              <w:rPr>
                <w:rFonts w:ascii="仿宋_GB2312" w:hAnsi="仿宋_GB2312" w:eastAsia="仿宋_GB2312" w:cs="仿宋_GB2312"/>
              </w:rPr>
              <w:t>违约责任与解决争议的方法</w:t>
            </w:r>
          </w:p>
        </w:tc>
        <w:tc>
          <w:tcPr>
            <w:tcW w:w="5814" w:type="dxa"/>
          </w:tcPr>
          <w:p w14:paraId="48795CFA">
            <w:pPr>
              <w:pStyle w:val="4"/>
              <w:jc w:val="left"/>
            </w:pPr>
            <w:r>
              <w:rPr>
                <w:rFonts w:ascii="仿宋_GB2312" w:hAnsi="仿宋_GB2312" w:eastAsia="仿宋_GB2312" w:cs="仿宋_GB2312"/>
              </w:rPr>
              <w:t>1、合同履行期间,若双方发生争议，可协商或由有关部门调解解决，协商或调解不成的，由当事人依法维护其合法权益。A、采购人和成交供应商双方必须遵守本合同并执行合同中的各项规定，保证本合同的正常履行。B、如因成交供应商工作人员在履行职务过程中的的疏忽、失职、过错等故意或者过失原因给采购人造成损失或侵害，包括但不限于采购人本身的财产损失、由此而导致的采购人对任何第三方的法律责任等，成交供应商对此均应承担全部的赔偿责任。不可抗力事件处理：①在合同有效期内，任何一方因不可抗力事件导致不能履行合同，则合同履行期可延长，其延长期与不可抗力影响期相同。 ②不可抗力事件发生后，应立即通知对方，并寄送有关权威机构出具的证明。C、不可抗力事件延续10天以上，双方应通过友好协商，确定是否继续履行合同。解决合同纠纷的方式:向大安区人民法院提起诉讼。</w:t>
            </w:r>
          </w:p>
        </w:tc>
      </w:tr>
    </w:tbl>
    <w:p w14:paraId="2C5F9A0D">
      <w:pPr>
        <w:pStyle w:val="4"/>
        <w:jc w:val="left"/>
        <w:outlineLvl w:val="2"/>
      </w:pPr>
      <w:r>
        <w:rPr>
          <w:rFonts w:ascii="仿宋_GB2312" w:hAnsi="仿宋_GB2312" w:eastAsia="仿宋_GB2312" w:cs="仿宋_GB2312"/>
          <w:b/>
          <w:sz w:val="28"/>
        </w:rPr>
        <w:t>3.4.其他要求</w:t>
      </w:r>
    </w:p>
    <w:p w14:paraId="1AD1359D">
      <w:pPr>
        <w:pStyle w:val="4"/>
        <w:ind w:firstLine="480"/>
        <w:jc w:val="left"/>
      </w:pPr>
      <w:r>
        <w:rPr>
          <w:rFonts w:ascii="仿宋_GB2312" w:hAnsi="仿宋_GB2312" w:eastAsia="仿宋_GB2312" w:cs="仿宋_GB2312"/>
        </w:rPr>
        <w:t>采购包1：</w:t>
      </w:r>
    </w:p>
    <w:p w14:paraId="4D86A24C">
      <w:pPr>
        <w:pStyle w:val="4"/>
        <w:jc w:val="left"/>
      </w:pPr>
      <w:r>
        <w:rPr>
          <w:rFonts w:ascii="仿宋_GB2312" w:hAnsi="仿宋_GB2312" w:eastAsia="仿宋_GB2312" w:cs="仿宋_GB2312"/>
        </w:rPr>
        <w:t>1.供应商需提供2023年1月1日以来房屋建筑工程项目竣工结算审核或预算审核类造价咨询类似业绩。 2.供应商需提供本项目的服务方案，方案内容包括：审核内容、重点难点分析、审核方法、审核依据、审核工作步骤、审核人员的安排和计划、审核质量控制、廉政管理及纪律要求等。 3.供应商需提供本项目的内控制度，内控制度内容包括：保密制度、档案管理制度、人员管理制度、风险管理及安全管控制度等。 4.服务人员要求： 4.1、根据本项目规模和特点，选派本单位具有执业资格证、相关技术职称以及类似履职经历的正式从业人员7名，其中：（1）项目负责人（1人）：具备一级（全国）注册造价工程师执业资格证（土木建筑工程专业）。（2）技术负责人（2人）：1人具备一级（全国）注册造价工程师执业资格证（土木建筑工程专业）；1人具备一级（全国）注册造价工程师执业资格证（安装工程专业）。（3）一般审核人员（4人）：具备一级（全国）注册造价工程师执业资格证（土木建筑工程专业或者安装工程专业）。 4.2、拟派人员需是已注册本单位并就职至今的本单位人员。 4.3、供应商拟派人员需在响应文件中提供身份证、注册证书、执业资格证并加盖供应商公章。熟悉房屋建筑项目基本建设程序和相关政策，特别是项目审批、环境保护、工程招投标、物资采购、工程结算、资金管理、项目绩效评价等方面相关政策法规；熟悉参建主体各方职责相关执业规范、技术规程；熟悉重大项目全过程质量、进度、安全、投资管理。 4.4、供应商应当为本项目配备内部三级复核人员,内部审核三级复核人员应具备具备一级（全国）注册造价工程师执业资格证（土木建筑工程专业或者安装工程专业），且供应商内部复核人员不能与拟派参审人员相同。</w:t>
      </w:r>
    </w:p>
    <w:p w14:paraId="64D054B7">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B40153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2292</Words>
  <Characters>2527</Characters>
  <Lines>0</Lines>
  <Paragraphs>0</Paragraphs>
  <TotalTime>0</TotalTime>
  <ScaleCrop>false</ScaleCrop>
  <LinksUpToDate>false</LinksUpToDate>
  <CharactersWithSpaces>2572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国强</cp:lastModifiedBy>
  <dcterms:modified xsi:type="dcterms:W3CDTF">2026-04-17T07:09:59Z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eyJoZGlkIjoiNDA1NzU2YTM1MmMwMDRjYjE1MDgwNTY4ZmRlYjlkNDMiLCJ1c2VySWQiOiIxOTUxODI1NzkifQ==</vt:lpwstr>
  </property>
  <property fmtid="{D5CDD505-2E9C-101B-9397-08002B2CF9AE}" pid="4" name="ICV">
    <vt:lpwstr>11D2C79B9D914769BF17C2A4DCE22E51_12</vt:lpwstr>
  </property>
</Properties>
</file>