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CE4ED">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0CE33FC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12D4BC1F">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211BE1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3184B8C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200,000.00</w:t>
      </w:r>
    </w:p>
    <w:p w14:paraId="38EAF0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168,300.00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8DEF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D817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1CD78C4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5911D0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747030E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7CBF03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58A58DE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49D35E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17F3E9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34C8C6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7532271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7F97D56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39DE5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6F22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34D2760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A02322400 手术室设备及附件</w:t>
            </w:r>
          </w:p>
        </w:tc>
        <w:tc>
          <w:tcPr>
            <w:tcW w:w="821" w:type="dxa"/>
          </w:tcPr>
          <w:p w14:paraId="5161F1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超微创腹腔镜手术器械包</w:t>
            </w:r>
          </w:p>
        </w:tc>
        <w:tc>
          <w:tcPr>
            <w:tcW w:w="821" w:type="dxa"/>
          </w:tcPr>
          <w:p w14:paraId="7E0662F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7FEB903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168,300.00</w:t>
            </w:r>
          </w:p>
        </w:tc>
        <w:tc>
          <w:tcPr>
            <w:tcW w:w="821" w:type="dxa"/>
          </w:tcPr>
          <w:p w14:paraId="01B5F4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0A283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3A05E95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5945F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C44AC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5C33E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6EBE5F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0F77AD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采购包1：是</w:t>
      </w:r>
    </w:p>
    <w:p w14:paraId="174DA97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52C3CA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5D9E7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4660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0BCE80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4BDF846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0C2D9F4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57307FF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47EAFD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0422A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47F2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12C51E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超微创腹腔镜手术器械包</w:t>
            </w:r>
          </w:p>
        </w:tc>
        <w:tc>
          <w:tcPr>
            <w:tcW w:w="1138" w:type="dxa"/>
          </w:tcPr>
          <w:p w14:paraId="374EC7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511C781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168,300.00</w:t>
            </w:r>
          </w:p>
        </w:tc>
        <w:tc>
          <w:tcPr>
            <w:tcW w:w="1138" w:type="dxa"/>
          </w:tcPr>
          <w:p w14:paraId="6AB0AB2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2AA6D3A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25371F7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083C46D2">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522EF4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A563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BE005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9499E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8D2868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9A1A23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CD35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90D8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2094EC0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A02322400 手术室设备及附件</w:t>
            </w:r>
          </w:p>
        </w:tc>
        <w:tc>
          <w:tcPr>
            <w:tcW w:w="2492" w:type="dxa"/>
          </w:tcPr>
          <w:p w14:paraId="3075D7A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超微创腹腔镜手术器械包</w:t>
            </w:r>
          </w:p>
        </w:tc>
        <w:tc>
          <w:tcPr>
            <w:tcW w:w="2492" w:type="dxa"/>
          </w:tcPr>
          <w:p w14:paraId="70A73DC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超微创腹腔镜手术器械包</w:t>
            </w:r>
          </w:p>
        </w:tc>
      </w:tr>
    </w:tbl>
    <w:p w14:paraId="37C6035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209431A6">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46A27D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AC38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2E67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E6CBB8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6E23863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B9673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272B0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252F5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18E3225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042D8E5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58EF5EE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F38F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9850C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D69BE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331B91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350BD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AF46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F8C22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94F227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1DB5D2BC">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7B824AE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33DA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06609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72C3BC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4D755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E440E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8008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1AAB6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65031E8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F75A86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029E96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4D0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9567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F3EBA0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A32DA8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700A3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B694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48E11E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5F9DF31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2198157">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0B863B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34ADDD4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标的名称：超微创腹腔镜手术器械包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219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6466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1AE06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F9249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3B7F1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7521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A4A7A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D339A8F">
            <w:pPr>
              <w:rPr>
                <w:rFonts w:ascii="Calibri" w:hAnsi="Calibri" w:eastAsia="宋体" w:cs="Times New Roman"/>
              </w:rPr>
            </w:pPr>
          </w:p>
        </w:tc>
        <w:tc>
          <w:tcPr>
            <w:tcW w:w="1495" w:type="dxa"/>
          </w:tcPr>
          <w:p w14:paraId="4E7E16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技术要求（含技术参数功能、质量和配置要求）</w:t>
            </w:r>
          </w:p>
        </w:tc>
        <w:tc>
          <w:tcPr>
            <w:tcW w:w="5814" w:type="dxa"/>
          </w:tcPr>
          <w:p w14:paraId="5C9A4241">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1、分离钳</w:t>
            </w:r>
          </w:p>
          <w:p w14:paraId="1A3643E6">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1.1、适用技术/应用场景：适用于肝胆、胃肠、泌尿、妇产科、胸外等，单孔、减孔腹腔镜手术，用于组织分离。</w:t>
            </w:r>
          </w:p>
          <w:p w14:paraId="773F6AFA">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1.2、组成结构：由头部、杆部和手柄组成，头部为一对带钳喙的叶片。采用不锈钢材料制成，为重复使用器械。</w:t>
            </w:r>
          </w:p>
          <w:p w14:paraId="34E370B9">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1.3、钳头采用执行标准为GB/T 1220-2007钢制造，杆部与患者接触采材料用 YY/T0294.1-2024中M号钢制造。</w:t>
            </w:r>
          </w:p>
          <w:p w14:paraId="3F037F89">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1.4、承受反复操作性能：产品使用次数≥1000次。</w:t>
            </w:r>
          </w:p>
          <w:p w14:paraId="5AD53F5B">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▲1.5、杆部外径：操作杆外径为1.98mm，可转向。</w:t>
            </w:r>
          </w:p>
          <w:p w14:paraId="0F3F4B18">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▲1.6、钳头外径：钳头外径≥5mm，钳头张开角度≥50°；钳头可更换。</w:t>
            </w:r>
          </w:p>
          <w:p w14:paraId="13604CA1">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▲1.7、器械工作长度：≥29.5cm。</w:t>
            </w:r>
          </w:p>
          <w:p w14:paraId="4F49A81C">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2、钳头：包含长度18mm、外径5mm弯分离钳钳头及长度26mm、外径10mm直角分离钳钳头。</w:t>
            </w:r>
          </w:p>
          <w:p w14:paraId="280CA8CD">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3、穿刺套件：φ1.98mm穿刺套件。</w:t>
            </w:r>
          </w:p>
          <w:p w14:paraId="20B0A6CB">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4、力臂：φ5mm力臂，长度包含130、150、170mm。</w:t>
            </w:r>
          </w:p>
          <w:p w14:paraId="374A4769">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5、手柄：黑色转轮手柄。</w:t>
            </w:r>
          </w:p>
        </w:tc>
      </w:tr>
      <w:tr w14:paraId="36FE3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D482A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264E538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B5F4F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配置要求</w:t>
            </w:r>
          </w:p>
        </w:tc>
        <w:tc>
          <w:tcPr>
            <w:tcW w:w="5814" w:type="dxa"/>
          </w:tcPr>
          <w:p w14:paraId="1B7921CE">
            <w:pPr>
              <w:jc w:val="both"/>
              <w:rPr>
                <w:rFonts w:hint="eastAsia" w:ascii="Calibri" w:hAnsi="Calibri" w:eastAsia="宋体" w:cs="Times New Roman"/>
                <w:lang w:val="en-US" w:eastAsia="zh-Hans"/>
              </w:rPr>
            </w:pPr>
            <w:r>
              <w:rPr>
                <w:rFonts w:hint="eastAsia" w:ascii="仿宋_GB2312" w:hAnsi="仿宋_GB2312" w:eastAsia="仿宋_GB2312" w:cs="仿宋_GB2312"/>
                <w:sz w:val="28"/>
                <w:lang w:val="en-US" w:eastAsia="zh-Hans"/>
              </w:rPr>
              <w:t>1、分离钳4套，每套需包含钳头2个、穿刺器套件4套、力臂3套、手柄2个</w:t>
            </w:r>
          </w:p>
          <w:p w14:paraId="6224624B">
            <w:pPr>
              <w:jc w:val="both"/>
              <w:rPr>
                <w:rFonts w:hint="eastAsia" w:ascii="Calibri" w:hAnsi="Calibri" w:eastAsia="宋体" w:cs="Times New Roman"/>
                <w:lang w:val="en-US" w:eastAsia="zh-Hans"/>
              </w:rPr>
            </w:pPr>
          </w:p>
        </w:tc>
      </w:tr>
    </w:tbl>
    <w:p w14:paraId="148E67F2">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05F64DD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239537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846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9B4D9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2F0EAA3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54125F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55D8935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5E403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E4A408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3B4CF16B">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5A4D4EE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639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63EF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5D809F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066A9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57C94EF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1CFFD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DF42F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534AA2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6FB2D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55168A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合同签订生效后，在接到采购人正式通知的前提下1个月内完成安装调试，并交付采购人验收</w:t>
            </w:r>
          </w:p>
        </w:tc>
      </w:tr>
      <w:tr w14:paraId="462B4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03C44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4142D8D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F6E9A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419C51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成都市第三人民医院</w:t>
            </w:r>
          </w:p>
        </w:tc>
      </w:tr>
      <w:tr w14:paraId="3C090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E67B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7DFBDF3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83BB3C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03CC6DC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353F1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4066C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393D14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F8FB6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398B77D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1、预付款，合同签订后，中标人开具合格票据，十个工作日内采购人向中标人支付40%的预付款（后文为系统固化生成，以前文为准） ，达到付款条件起10日内，支付合同总金额的40.00%</w:t>
            </w:r>
          </w:p>
          <w:p w14:paraId="0B4634E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进度款，中标人完成送货，经采购人初验收合格且中标人提供合格票据后十个工作日内，采购人向中标人支付合同总价款的50%（后文为系统固化生成，以前文为准），达到付款条件起10日内，支付合同总金额的50.00%</w:t>
            </w:r>
          </w:p>
          <w:p w14:paraId="6980CA6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3、尾款，中标人完成对货物的安装、调试，经采购人复验收合格且中标人提供发票后十个工作日内，采购人向中标人支付合同总价款的10%（后文为系统固化生成，以前文为准） ，达到付款条件起10日内，支付合同总金额的10.00%</w:t>
            </w:r>
          </w:p>
        </w:tc>
      </w:tr>
      <w:tr w14:paraId="381D8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24615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5EA687E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6300A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4DD8C05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与招标文件“2.6.6.履约验收方案”内容一致</w:t>
            </w:r>
          </w:p>
        </w:tc>
      </w:tr>
      <w:tr w14:paraId="2E180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EAD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485ADD2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B124C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0D8671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1.投标人对整套设备保修不低于 3 年，保修期内供应商应负责设备的维修及抢修以及及时提供所更换的零部件，维修更换的材料和配件以及供应商技术服务人员所产生的一切费用均由供应商承担。维修响应时间 2 小时内，24 小时内不能修复，投标人必须及时提供备用设备确保临床使用。在合同签订时提供生产厂家对保修期的承诺函 (投标时提供承诺函)。2.所投产品生产日期至产品送达之日不超过90日(投标时提供承诺函)。</w:t>
            </w:r>
          </w:p>
        </w:tc>
      </w:tr>
      <w:tr w14:paraId="78FDE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A1069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362CAF0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24569E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05AE26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详见合同文本-成都市第三人民医院设备合同模板</w:t>
            </w:r>
          </w:p>
        </w:tc>
      </w:tr>
      <w:tr w14:paraId="36655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A6728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1764E33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23D3E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00001C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C8DEB12">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03DBECC0">
      <w:r>
        <w:rPr>
          <w:rFonts w:hint="eastAsia" w:ascii="仿宋_GB2312" w:hAnsi="仿宋_GB2312" w:eastAsia="仿宋_GB2312" w:cs="仿宋_GB2312"/>
          <w:lang w:val="en-US" w:eastAsia="zh-Hans"/>
        </w:rPr>
        <w:t>1.投标人保证年开机率大于95％（365天/年计算），若≤95％则每少1天保修期延长2天。 2.交货时应提供的技术资料： 2.1原产地证明书(由制造厂签发)； 2.2提供主机及配套设备的安装图纸及说明； 2.3提供主机及配套设备使用说明书、维护手册、维修密码； 2.4备件手册、零件及易损件的图纸及相关资料； 2.5其它相关技术资料。 3.安装调试及验收： ★3.1中标人负责设备安装、调试。 ★3.2货物到达现场后，中标人接到采购人通知后7日内到达现场组织安装、调试，达到正常运行要求，保证正常使用。所需的费用包括在投标</w:t>
      </w:r>
      <w:bookmarkStart w:id="0" w:name="_GoBack"/>
      <w:bookmarkEnd w:id="0"/>
      <w:r>
        <w:rPr>
          <w:rFonts w:hint="eastAsia" w:ascii="仿宋_GB2312" w:hAnsi="仿宋_GB2312" w:eastAsia="仿宋_GB2312" w:cs="仿宋_GB2312"/>
          <w:lang w:val="en-US" w:eastAsia="zh-Hans"/>
        </w:rPr>
        <w:t>总价格中。 3.3中标人应就设备的安装、调试、操作、维修、保养等对采购人维修技术人员进行培训。设备安装调试完毕后，中标人应对采购人操作人员进行现场培训，直至采购人的技术人员能独立操作，同时能完成一般常见故障的维修工作。 ★3.4验收标准以招标文件、中标方投标文件和相关行业标准为准。 4.售后服务： ★4.1在设备保修期内，零配件维修更换产生的所有费用（含零配件费用）均由投标人承担，并在合同《零配件清单》中列明零配件名称、型号及价格等信息。在设备保修期第1年度内，易耗品更换等产生的所有费用（含易耗品费用）均由投标人承担，并在合同《易耗品清单》中列明易耗品名称、型号及价格等信息。未在《易耗品清单》中列明的易耗品或投标文件未提供《易耗品清单》的，视为投标人对采购内容及《配置清单》中项目在保修期内提供整体保修（包括零配件、易耗品等），产生的所有费用均由投标人承担。★4.2设备保修期超过1年的，设备保修期第2年开始至保修期满，易耗品更换等产生的所有费用（含易耗品费用）均由采购人承担。 4.3投标人保证所投产品的生产厂家需配备不少于一名的原厂维修工程师，提供工程师名单、电话。 4.4投标人保证所投产品的生产厂家应对操作人员进行培训，并保证正常使用。 4.5若采购人有接入物联网系统需求，中标人及设备生产厂家须无条件配合。★5.若投标设备需要使用配套医用耗材，该耗材类别若属于四川省医疗保障信息大数据一体化平台药品和医用耗材招采管理子系统范围内的医用耗材，须在四川省医疗保障信息大数据一体化平台药品和医用耗材招采管理子系统上挂网。6.项目情况说明（以下内容仅作说明告知供应商，不做评审内容） 6.1《易耗品清单》中易耗品如未全部列明，设备后期使用中产生清单外的易耗品视为与设备保修期一致，保修期内产生的所有费用均由投标人承担。凡属于一次性使用医用耗材或四川省医疗保障信息大数据一体化平台药品和医用耗材招采管理子系统挂网产品不纳入《易耗品清单》范畴。6.2配置清单须与分项报价明细表中的内容一致，投标人《配置清单》的内容原则按配置要求（参数中有具体明细的）进行填写，整体配置不便拆分的也可采用采购标的加采购标的数量来响应。 6.3《零配件清单》及《易耗品清单》中名称和价格为必填项，关于型号有则对应填写，无则填无。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B25F4"/>
    <w:rsid w:val="0D2B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2026-04-17T02:29:00Z</dcterms:created>
  <dc:creator>M</dc:creator>
  <cp:lastModifiedBy>M</cp:lastModifiedBy>
  <dcterms:modified xsi:type="dcterms:W3CDTF">2026-04-17T02:41:09Z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7628D5840FCC437DA45F4DF58E04DE06_11</vt:lpwstr>
  </property>
  <property fmtid="{D5CDD505-2E9C-101B-9397-08002B2CF9AE}" pid="4" name="KSOTemplateDocerSaveRecord">
    <vt:lpwstr>eyJoZGlkIjoiZTEyY2Q5ODczOWZjNjA3YmYxNmI3OWQyNjQxY2M5M2EiLCJ1c2VySWQiOiI0NDA0MDU1MDYifQ==</vt:lpwstr>
  </property>
</Properties>
</file>