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版本号：N510001202600009820260324001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医疗设备更新项目2026年第一批采购项目(二次)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N5100012026000098</w:t>
      </w:r>
    </w:p>
    <w:p>
      <w:pPr>
        <w:pStyle w:val="null3"/>
        <w:jc w:val="left"/>
        <w:outlineLvl w:val="2"/>
      </w:pPr>
      <w:r>
        <w:rPr>
          <w:rFonts w:ascii="仿宋_GB2312" w:hAnsi="仿宋_GB2312" w:cs="仿宋_GB2312" w:eastAsia="仿宋_GB2312"/>
          <w:sz w:val="28"/>
          <w:b/>
        </w:rPr>
        <w:t>成都中医药大学附属医院</w:t>
      </w:r>
    </w:p>
    <w:p>
      <w:pPr>
        <w:pStyle w:val="null3"/>
        <w:jc w:val="center"/>
        <w:outlineLvl w:val="2"/>
      </w:pPr>
      <w:r>
        <w:rPr>
          <w:rFonts w:ascii="仿宋_GB2312" w:hAnsi="仿宋_GB2312" w:cs="仿宋_GB2312" w:eastAsia="仿宋_GB2312"/>
          <w:sz w:val="28"/>
          <w:b/>
        </w:rPr>
        <w:t>四川成与诚招标代理有限公司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四川成与诚招标代理有限公司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成都中医药大学附属医院</w:t>
      </w:r>
      <w:r>
        <w:rPr>
          <w:rFonts w:ascii="仿宋_GB2312" w:hAnsi="仿宋_GB2312" w:cs="仿宋_GB2312" w:eastAsia="仿宋_GB2312"/>
        </w:rPr>
        <w:t xml:space="preserve"> 委托，拟对 </w:t>
      </w:r>
      <w:r>
        <w:rPr>
          <w:rFonts w:ascii="仿宋_GB2312" w:hAnsi="仿宋_GB2312" w:cs="仿宋_GB2312" w:eastAsia="仿宋_GB2312"/>
        </w:rPr>
        <w:t>医疗设备更新项目2026年第一批采购项目(二次)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N5100012026000098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医疗设备更新项目2026年第一批采购项目(二次)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rPr>
        <w:t>该项目</w:t>
      </w:r>
      <w:r>
        <w:rPr>
          <w:rFonts w:ascii="仿宋_GB2312" w:hAnsi="仿宋_GB2312" w:cs="仿宋_GB2312" w:eastAsia="仿宋_GB2312"/>
          <w:sz w:val="24"/>
        </w:rPr>
        <w:t>计划采购便携式彩超医</w:t>
      </w:r>
      <w:r>
        <w:rPr>
          <w:rFonts w:ascii="仿宋_GB2312" w:hAnsi="仿宋_GB2312" w:cs="仿宋_GB2312" w:eastAsia="仿宋_GB2312"/>
          <w:sz w:val="24"/>
        </w:rPr>
        <w:t>疗设备一批，要求符合医院需求，满足临床需求。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产品为医疗器械的，供应商须符合《医疗器械监督管理条例》要求并提供供应商经营该产品的经营许可/经营备案证明材料；投标产品须符合《医疗器械注册与备案管理办法》要求并提供产品的注册/备案证明材料。（描述：若投标产品为医疗器械的，供应商须符合《医疗器械监督管理条例》要求并提供供应商经营该产品的经营许可/经营备案证明材料；投标产品须符合《医疗器械注册与备案管理办法》要求并提供产品的注册/备案证明材料。（提供有效证明材料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成都中医药大学附属医院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成都市十二桥路39号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610075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028-87767201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四川成与诚招标代理有限公司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四川省成都市武侯区中国(四川)自由贸易试验区成都高新区天府大道北段1700号7栋1单元16层1623、1625号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高阳、丁欣、胡皓、蒋德林、刘燕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028-85259928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采购包1：975,000.00元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收款单位：成都中医药大学附属医院。</w:t>
              <w:br/>
              <w:t>开户行：建行成都青羊支行。</w:t>
              <w:br/>
              <w:t>银行账号：51001446436051503010。</w:t>
              <w:br/>
              <w:t>纳税人识别号（社会信用代码）：12510000450718503F</w:t>
              <w:br/>
              <w:t>应注明（项目名称、项目编号）履约保证金。</w:t>
              <w:br/>
              <w:t>交款时间：中标（成交）通知书发放后，政府采购合同签订前。</w:t>
              <w:br/>
              <w:t>履约保证金退还方式及时间：</w:t>
              <w:br/>
              <w:t>①质保期为五年及以上的设备，履约保证金按照如下方式退还：质保满3年后，货物无任何质量问题且中标履行了售后服务义务，采购人凭中标人提供的退还履约保证金申请无息退还履约保证金（设备对应金额的2%）；质保满4年后，货物无任何质量问题且中标人履行了售后服务义务，采购人凭中标人提供的退还履约保证金申请无息退还履约保证金（设备对应金额的2%）；质保满5年后（包括终身质保），货物无任何质量问题且中标人履行了售后服务义务，采购人凭中标人提供的退还履约保证金申请无息退还履约保证金（设备对应金额的1%）。</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代理服务费收费标准：收费标准为： 1、项目中标金额为100万元以下的：货物类、服务类采购项目的收费标准为中标金额的1.5%，工程类采购项目的收费标准为中标金额的1.0%； 2、项目中标金额为100万元至500万元的：货物采购项目的收费标准为中标金额的1.1%，服务类采购项目的收费标准为中标金额的0.8%，工程类采购项目的收费标准为中标金额的0.7%； 3、项目中标金额为500万元至1000万元的：货物采购项目的收费标准为中标金额的0.8%，服务类采购项目的收费标准为中标金额的0.45%，工程类采购项目的收费标准为中标金额的0.55%； 4、项目中标金额为1000万元至5000万元的：货物采购项目的收费标准为中标金额的0.5%，服务类采购项目的收费标准为中标金额的0.25%，工程类采购项目的收费标准为中标金额的0.35%； 5、项目中标金额为5000万元至10000万元的：货物采购项目的收费标准为中标金额的0.25%，服务类采购项目的收费标准为中标金额的0.1%，工程类采购项目的收费标准为中标金额的0.2%； 6、项目中标金额为10000万元至100000万元的：货物、服务及工程采购项目的收费标准为中标金额的0.05%； 7、项目中标金额为100000万元以上的：货物、服务及工程采购项目的收费标准为中标金额的0.01%； 招标代理服务费用包括招标代理机构接受采购人委托承担本协议项目工作的全部费用，按上述费率计算的收费为招标代理服务全过程的收费基准价格。招标代理服务收费按差额定率累进法计算。招标代理机构在上述标准下浮 30%收取，由中标人支付。中标通知书发出后二个工作日内，由中标人向招标代理机构一次性付清。收款账户（公司名称：四川成与诚招标代理有限公司 开户行：成都银行交子大道支行 帐 号: 1001300001079875 行 号：313651014024。）</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成都中医药大学附属医院</w:t>
      </w:r>
      <w:r>
        <w:rPr>
          <w:rFonts w:ascii="仿宋_GB2312" w:hAnsi="仿宋_GB2312" w:cs="仿宋_GB2312" w:eastAsia="仿宋_GB2312"/>
        </w:rPr>
        <w:t xml:space="preserve"> 和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成都中医药大学附属医院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四川成与诚招标代理有限公司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安装调试完毕并提出验收申请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由采购人组织进行验收，必要时，甲方可邀请第三方参与验收。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按照本项目采购文件在 “技术、服务要求”中的约定执行。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按照本项目商务要求中的约定执行。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成都中医药大学附属医院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地址：中国（四川）自由贸易试验区成都高新区天府大道北段1700号7栋1单元16层1632号</w:t>
      </w:r>
    </w:p>
    <w:p>
      <w:pPr>
        <w:pStyle w:val="null3"/>
        <w:jc w:val="left"/>
      </w:pPr>
      <w:r>
        <w:rPr>
          <w:rFonts w:ascii="仿宋_GB2312" w:hAnsi="仿宋_GB2312" w:cs="仿宋_GB2312" w:eastAsia="仿宋_GB2312"/>
        </w:rPr>
        <w:t>邮编：610095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地址：中国（四川）自由贸易试验区成都高新区天府大道北段1700号7栋1单元16层1632号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975,000.00</w:t>
      </w:r>
    </w:p>
    <w:p>
      <w:pPr>
        <w:pStyle w:val="null3"/>
        <w:jc w:val="left"/>
      </w:pPr>
      <w:r>
        <w:rPr>
          <w:rFonts w:ascii="仿宋_GB2312" w:hAnsi="仿宋_GB2312" w:cs="仿宋_GB2312" w:eastAsia="仿宋_GB2312"/>
        </w:rPr>
        <w:t>采购包最高限价（元）: 975,000.00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便携式彩超</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便携式彩超</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A02320500 医用超声波仪器及设备</w:t>
            </w:r>
          </w:p>
        </w:tc>
        <w:tc>
          <w:tcPr>
            <w:tcW w:type="dxa" w:w="2492"/>
          </w:tcPr>
          <w:p>
            <w:pPr>
              <w:pStyle w:val="null3"/>
              <w:jc w:val="left"/>
            </w:pPr>
            <w:r>
              <w:rPr>
                <w:rFonts w:ascii="仿宋_GB2312" w:hAnsi="仿宋_GB2312" w:cs="仿宋_GB2312" w:eastAsia="仿宋_GB2312"/>
              </w:rPr>
              <w:t>便携式彩超</w:t>
            </w:r>
          </w:p>
        </w:tc>
        <w:tc>
          <w:tcPr>
            <w:tcW w:type="dxa" w:w="2492"/>
          </w:tcPr>
          <w:p>
            <w:pPr>
              <w:pStyle w:val="null3"/>
              <w:jc w:val="left"/>
            </w:pPr>
            <w:r>
              <w:rPr>
                <w:rFonts w:ascii="仿宋_GB2312" w:hAnsi="仿宋_GB2312" w:cs="仿宋_GB2312" w:eastAsia="仿宋_GB2312"/>
              </w:rPr>
              <w:t>便携式彩超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标的名称：便携式彩超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923"/>
              <w:gridCol w:w="606"/>
              <w:gridCol w:w="1072"/>
              <w:gridCol w:w="7165"/>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5F5F5" w:val="clear"/>
                    </w:rPr>
                    <w:t>参数性质</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5F5F5" w:val="clear"/>
                    </w:rPr>
                    <w:t>序号</w:t>
                  </w:r>
                </w:p>
              </w:tc>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5F5F5" w:val="clear"/>
                    </w:rPr>
                    <w:t>技术要求名称</w:t>
                  </w:r>
                </w:p>
              </w:tc>
              <w:tc>
                <w:tcPr>
                  <w:tcW w:type="dxa" w:w="7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5F5F5" w:val="clear"/>
                    </w:rPr>
                    <w:t>技术参数与性能指标</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★(实质性参数)</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1</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包含基本配置</w:t>
                  </w:r>
                </w:p>
              </w:tc>
              <w:tc>
                <w:tcPr>
                  <w:tcW w:type="dxa" w:w="7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1.配置清单：单晶凸阵探头、单晶体相控阵探头、线阵探头、成人经食道探头各1把；升降台车1辆，具备机器防盗锁控制，探头活性接口≥3个，食道探头使用时需更换；设备专用旅行箱1个，可装载主机、探头及相关备件。</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▲(重点参数)</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2</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1.整机重量≤6Kg，整机厚度≤65mm。</w:t>
                  </w:r>
                </w:p>
                <w:p>
                  <w:pPr>
                    <w:pStyle w:val="null3"/>
                    <w:jc w:val="both"/>
                  </w:pPr>
                  <w:r>
                    <w:rPr>
                      <w:rFonts w:ascii="仿宋_GB2312" w:hAnsi="仿宋_GB2312" w:cs="仿宋_GB2312" w:eastAsia="仿宋_GB2312"/>
                      <w:sz w:val="21"/>
                    </w:rPr>
                    <w:t>A.用于腹部、浅表和微血管造影、心肌及心腔造影</w:t>
                  </w:r>
                </w:p>
                <w:p>
                  <w:pPr>
                    <w:pStyle w:val="null3"/>
                    <w:jc w:val="both"/>
                  </w:pPr>
                  <w:r>
                    <w:rPr>
                      <w:rFonts w:ascii="仿宋_GB2312" w:hAnsi="仿宋_GB2312" w:cs="仿宋_GB2312" w:eastAsia="仿宋_GB2312"/>
                      <w:sz w:val="21"/>
                    </w:rPr>
                    <w:t>2.支持实时显示组织图像和造影图像，支持造影击碎，支持斑点噪声抑制，具备混合模式，支持造影图像和组织图像位置互换。</w:t>
                  </w:r>
                </w:p>
                <w:p>
                  <w:pPr>
                    <w:pStyle w:val="null3"/>
                    <w:jc w:val="both"/>
                  </w:pPr>
                  <w:r>
                    <w:rPr>
                      <w:rFonts w:ascii="仿宋_GB2312" w:hAnsi="仿宋_GB2312" w:cs="仿宋_GB2312" w:eastAsia="仿宋_GB2312"/>
                      <w:sz w:val="21"/>
                    </w:rPr>
                    <w:t>3.支持微血管造影增强功能。</w:t>
                  </w:r>
                </w:p>
                <w:p>
                  <w:pPr>
                    <w:pStyle w:val="null3"/>
                    <w:jc w:val="both"/>
                  </w:pPr>
                  <w:r>
                    <w:rPr>
                      <w:rFonts w:ascii="仿宋_GB2312" w:hAnsi="仿宋_GB2312" w:cs="仿宋_GB2312" w:eastAsia="仿宋_GB2312"/>
                      <w:sz w:val="21"/>
                    </w:rPr>
                    <w:t>4.支持低机械指数造影。</w:t>
                  </w:r>
                </w:p>
                <w:p>
                  <w:pPr>
                    <w:pStyle w:val="null3"/>
                    <w:jc w:val="both"/>
                  </w:pPr>
                  <w:r>
                    <w:rPr>
                      <w:rFonts w:ascii="仿宋_GB2312" w:hAnsi="仿宋_GB2312" w:cs="仿宋_GB2312" w:eastAsia="仿宋_GB2312"/>
                      <w:sz w:val="21"/>
                    </w:rPr>
                    <w:t>5.造影定量分析功能，支持时间强度分析曲线，以表格的形式显示数据，取样点可跟踪感兴趣区运动，≥8个ROI。</w:t>
                  </w:r>
                </w:p>
                <w:p>
                  <w:pPr>
                    <w:pStyle w:val="null3"/>
                    <w:jc w:val="both"/>
                  </w:pPr>
                  <w:r>
                    <w:rPr>
                      <w:rFonts w:ascii="仿宋_GB2312" w:hAnsi="仿宋_GB2312" w:cs="仿宋_GB2312" w:eastAsia="仿宋_GB2312"/>
                      <w:sz w:val="21"/>
                    </w:rPr>
                    <w:t>B.心血管成像</w:t>
                  </w:r>
                </w:p>
                <w:p>
                  <w:pPr>
                    <w:pStyle w:val="null3"/>
                    <w:jc w:val="both"/>
                  </w:pPr>
                  <w:r>
                    <w:rPr>
                      <w:rFonts w:ascii="仿宋_GB2312" w:hAnsi="仿宋_GB2312" w:cs="仿宋_GB2312" w:eastAsia="仿宋_GB2312"/>
                      <w:sz w:val="21"/>
                    </w:rPr>
                    <w:t>6.支持左右心室心肌二维斑点追踪技术，对二维室壁运动斑点图像进行分析，自动追踪心脏组织运动，无角度依赖，快速高效的评估心肌运动。</w:t>
                  </w:r>
                </w:p>
                <w:p>
                  <w:pPr>
                    <w:pStyle w:val="null3"/>
                    <w:jc w:val="both"/>
                  </w:pPr>
                  <w:r>
                    <w:rPr>
                      <w:rFonts w:ascii="仿宋_GB2312" w:hAnsi="仿宋_GB2312" w:cs="仿宋_GB2312" w:eastAsia="仿宋_GB2312"/>
                      <w:sz w:val="21"/>
                    </w:rPr>
                    <w:t>7.自动舒张功能评估：自动舒张功能评估, 自动检测左心多普勒和组织多普勒信号，以自动测量心脏舒张功能评估参数E, A, E/A, e', E/e'。自动射血分数测量：自动识别左室内膜并计算射血分数，提供心功能指数分析。</w:t>
                  </w:r>
                </w:p>
                <w:p>
                  <w:pPr>
                    <w:pStyle w:val="null3"/>
                    <w:jc w:val="both"/>
                  </w:pPr>
                  <w:r>
                    <w:rPr>
                      <w:rFonts w:ascii="仿宋_GB2312" w:hAnsi="仿宋_GB2312" w:cs="仿宋_GB2312" w:eastAsia="仿宋_GB2312"/>
                      <w:sz w:val="21"/>
                    </w:rPr>
                    <w:t>8.自动速度时间积分测量：自动放置彩色取样框，PW取样线，取样门，自动跟踪并描记LVOT的PW频谱，并计算VTI、SV、CO、SVV，且可提供趋势图）；自动下腔静脉定量分析（自动跟踪IVC的内径并在实时或者多帧电影状态下计算自主呼吸下的塌陷指数CI，机械通气下的扩张指数DI和IVCV，并支持快速容量状态标注，且可提供趋势图）。</w:t>
                  </w:r>
                </w:p>
                <w:p>
                  <w:pPr>
                    <w:pStyle w:val="null3"/>
                    <w:jc w:val="both"/>
                  </w:pPr>
                  <w:r>
                    <w:rPr>
                      <w:rFonts w:ascii="仿宋_GB2312" w:hAnsi="仿宋_GB2312" w:cs="仿宋_GB2312" w:eastAsia="仿宋_GB2312"/>
                      <w:sz w:val="21"/>
                    </w:rPr>
                    <w:t>9.自动B线检测, 自动计算B线数量、获取B线面积比、B线间距, 指导液体复苏并防止出现肺水肿。</w:t>
                  </w:r>
                </w:p>
                <w:p>
                  <w:pPr>
                    <w:pStyle w:val="null3"/>
                    <w:jc w:val="both"/>
                  </w:pPr>
                  <w:r>
                    <w:rPr>
                      <w:rFonts w:ascii="仿宋_GB2312" w:hAnsi="仿宋_GB2312" w:cs="仿宋_GB2312" w:eastAsia="仿宋_GB2312"/>
                      <w:sz w:val="21"/>
                    </w:rPr>
                    <w:t>10.心功能自动测量软件,自动识别四腔心、两腔心切面，自动识别心肌边界，并进行自动描迹，无需手动选择切面和手动描记。自动计算EF、SV、HR、MeanPG、BSA等相关参数。</w:t>
                  </w:r>
                </w:p>
              </w:tc>
            </w:tr>
            <w:tr>
              <w:tc>
                <w:tcPr>
                  <w:tcW w:type="dxa" w:w="9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无标识</w:t>
                  </w:r>
                  <w:r>
                    <w:rPr>
                      <w:rFonts w:ascii="仿宋_GB2312" w:hAnsi="仿宋_GB2312" w:cs="仿宋_GB2312" w:eastAsia="仿宋_GB2312"/>
                      <w:sz w:val="20"/>
                      <w:shd w:fill="FFFFFF" w:val="clear"/>
                    </w:rPr>
                    <w:t>(一般参数)</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3</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适用于重症患者腹部、</w:t>
                  </w:r>
                  <w:r>
                    <w:rPr>
                      <w:rFonts w:ascii="仿宋_GB2312" w:hAnsi="仿宋_GB2312" w:cs="仿宋_GB2312" w:eastAsia="仿宋_GB2312"/>
                      <w:sz w:val="21"/>
                    </w:rPr>
                    <w:t>心脏、浅表、血管、神经肌骨、妇产等全身应用需求。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设备外观为笔记本电脑样式，镁合金一体化机身外壳。显示器屏幕</w:t>
                  </w:r>
                  <w:r>
                    <w:rPr>
                      <w:rFonts w:ascii="仿宋_GB2312" w:hAnsi="仿宋_GB2312" w:cs="仿宋_GB2312" w:eastAsia="仿宋_GB2312"/>
                      <w:sz w:val="21"/>
                    </w:rPr>
                    <w:t>≥15英寸，可根据环境光自动调节亮度，为医用专业彩色液晶IPS显示屏。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接口选择</w:t>
                  </w:r>
                  <w:r>
                    <w:rPr>
                      <w:rFonts w:ascii="仿宋_GB2312" w:hAnsi="仿宋_GB2312" w:cs="仿宋_GB2312" w:eastAsia="仿宋_GB2312"/>
                      <w:sz w:val="21"/>
                    </w:rPr>
                    <w:t>:≥1 个，可扩展到≥3个。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物理轨迹球设计，支持用户自定义按键数量</w:t>
                  </w:r>
                  <w:r>
                    <w:rPr>
                      <w:rFonts w:ascii="仿宋_GB2312" w:hAnsi="仿宋_GB2312" w:cs="仿宋_GB2312" w:eastAsia="仿宋_GB2312"/>
                      <w:sz w:val="21"/>
                    </w:rPr>
                    <w:t>≥4个，同一个自定义键支持≥4个功能。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二维灰阶模式。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组织谐波和</w:t>
                  </w:r>
                  <w:r>
                    <w:rPr>
                      <w:rFonts w:ascii="仿宋_GB2312" w:hAnsi="仿宋_GB2312" w:cs="仿宋_GB2312" w:eastAsia="仿宋_GB2312"/>
                      <w:sz w:val="21"/>
                    </w:rPr>
                    <w:t>PIHI技术。</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斑点噪声抑制成像：支持二维、造影、实时四维模式等。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解剖</w:t>
                  </w:r>
                  <w:r>
                    <w:rPr>
                      <w:rFonts w:ascii="仿宋_GB2312" w:hAnsi="仿宋_GB2312" w:cs="仿宋_GB2312" w:eastAsia="仿宋_GB2312"/>
                      <w:sz w:val="21"/>
                    </w:rPr>
                    <w:t>M型模式。</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彩色</w:t>
                  </w:r>
                  <w:r>
                    <w:rPr>
                      <w:rFonts w:ascii="仿宋_GB2312" w:hAnsi="仿宋_GB2312" w:cs="仿宋_GB2312" w:eastAsia="仿宋_GB2312"/>
                      <w:sz w:val="21"/>
                    </w:rPr>
                    <w:t>M型模式。</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彩色多普勒成像（包括彩色、能量、方向能量多普勒模式）。</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频谱多普勒成像，连续多普勒成像。</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血流成像：将彩色方向信息叠加在灰阶状态的血流动力学信息上。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穿刺针增强技术，凸阵和线阵探头均可支持，具有双屏实时对比显示，增强前后效果，并支持校正角度。</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一键自动优化，要求一键快速优化造影图像、二维图像、彩色图像、彩色取样框位置、频谱图像、频谱取样门大小、取样门位置、偏转角度及造影图像</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二维</w:t>
                  </w:r>
                  <w:r>
                    <w:rPr>
                      <w:rFonts w:ascii="仿宋_GB2312" w:hAnsi="仿宋_GB2312" w:cs="仿宋_GB2312" w:eastAsia="仿宋_GB2312"/>
                      <w:sz w:val="21"/>
                    </w:rPr>
                    <w:t>/彩色取样框角度独立偏转技术。</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智能血流跟踪技术，可以实现</w:t>
                  </w:r>
                  <w:r>
                    <w:rPr>
                      <w:rFonts w:ascii="仿宋_GB2312" w:hAnsi="仿宋_GB2312" w:cs="仿宋_GB2312" w:eastAsia="仿宋_GB2312"/>
                      <w:sz w:val="21"/>
                    </w:rPr>
                    <w:t>ROI框位置和角度的自动优化，提供Color/Power模式下彩色血流/能量图像的实时动态优化。</w:t>
                  </w:r>
                </w:p>
                <w:p>
                  <w:pPr>
                    <w:pStyle w:val="null3"/>
                    <w:jc w:val="both"/>
                  </w:pPr>
                  <w:r>
                    <w:rPr>
                      <w:rFonts w:ascii="仿宋_GB2312" w:hAnsi="仿宋_GB2312" w:cs="仿宋_GB2312" w:eastAsia="仿宋_GB2312"/>
                      <w:sz w:val="21"/>
                    </w:rPr>
                    <w:t>A.用于腹部、浅表和微血管造影、心肌及心腔造影</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具有双计时器。</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支持向后存储</w:t>
                  </w:r>
                  <w:r>
                    <w:rPr>
                      <w:rFonts w:ascii="仿宋_GB2312" w:hAnsi="仿宋_GB2312" w:cs="仿宋_GB2312" w:eastAsia="仿宋_GB2312"/>
                      <w:sz w:val="21"/>
                    </w:rPr>
                    <w:t>≥8分钟电影。</w:t>
                  </w:r>
                </w:p>
                <w:p>
                  <w:pPr>
                    <w:pStyle w:val="null3"/>
                    <w:jc w:val="both"/>
                  </w:pPr>
                  <w:r>
                    <w:rPr>
                      <w:rFonts w:ascii="仿宋_GB2312" w:hAnsi="仿宋_GB2312" w:cs="仿宋_GB2312" w:eastAsia="仿宋_GB2312"/>
                      <w:sz w:val="21"/>
                    </w:rPr>
                    <w:t>B.心血管成像</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支持组织多普勒速度成像，并且在组织多普勒的同时支持彩色解剖</w:t>
                  </w:r>
                  <w:r>
                    <w:rPr>
                      <w:rFonts w:ascii="仿宋_GB2312" w:hAnsi="仿宋_GB2312" w:cs="仿宋_GB2312" w:eastAsia="仿宋_GB2312"/>
                      <w:sz w:val="21"/>
                    </w:rPr>
                    <w:t>M型和曲线解剖M型。</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具有追踪向量图和参数曲线图数据包括速度、位移、应变及应变率。</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可支持心肌负荷超声成像，内置多种心脏负荷超声协议，可提供心脏功能的评估。支持</w:t>
                  </w:r>
                  <w:r>
                    <w:rPr>
                      <w:rFonts w:ascii="仿宋_GB2312" w:hAnsi="仿宋_GB2312" w:cs="仿宋_GB2312" w:eastAsia="仿宋_GB2312"/>
                      <w:sz w:val="21"/>
                    </w:rPr>
                    <w:t>≥ 16个出厂协议，支持用户自定义协议，支持室壁运动评分。</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支持心室容积随时间变化的容积变化曲线。</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支持频谱自动测量：心脏模式下，根据指南显示心脏正常参考值，并根据患者情况提示是否异常。</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全科测量包，自动生成报告：</w:t>
                  </w:r>
                  <w:r>
                    <w:rPr>
                      <w:rFonts w:ascii="仿宋_GB2312" w:hAnsi="仿宋_GB2312" w:cs="仿宋_GB2312" w:eastAsia="仿宋_GB2312"/>
                      <w:sz w:val="21"/>
                    </w:rPr>
                    <w:t>腹部、妇科、产科、心脏、泌尿、小器官、儿科、血管、神经、急诊科、矫形外科。</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血管内中膜自动测量技术，测量数据至少包括最大值、最小值、平均值、标准差、</w:t>
                  </w:r>
                  <w:r>
                    <w:rPr>
                      <w:rFonts w:ascii="仿宋_GB2312" w:hAnsi="仿宋_GB2312" w:cs="仿宋_GB2312" w:eastAsia="仿宋_GB2312"/>
                      <w:sz w:val="21"/>
                    </w:rPr>
                    <w:t>ROI长度、测量长度及质量指标，具有IMT分析评估曲线。</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支持</w:t>
                  </w:r>
                  <w:r>
                    <w:rPr>
                      <w:rFonts w:ascii="仿宋_GB2312" w:hAnsi="仿宋_GB2312" w:cs="仿宋_GB2312" w:eastAsia="仿宋_GB2312"/>
                      <w:sz w:val="21"/>
                    </w:rPr>
                    <w:t>GS、CRL、FL、bpd、AC、HC、HL等相关测量</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自动工作流协议（非预设条件），自动标注体位图、注释及自动切换检查模式。</w:t>
                  </w:r>
                </w:p>
                <w:p>
                  <w:pPr>
                    <w:pStyle w:val="null3"/>
                    <w:jc w:val="both"/>
                  </w:pPr>
                  <w:r>
                    <w:rPr>
                      <w:rFonts w:ascii="仿宋_GB2312" w:hAnsi="仿宋_GB2312" w:cs="仿宋_GB2312" w:eastAsia="仿宋_GB2312"/>
                      <w:sz w:val="21"/>
                    </w:rPr>
                    <w:t>C.二维灰阶模式：</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数字化全程动态聚焦，数字化可变孔径及动态变迹，</w:t>
                  </w:r>
                  <w:r>
                    <w:rPr>
                      <w:rFonts w:ascii="仿宋_GB2312" w:hAnsi="仿宋_GB2312" w:cs="仿宋_GB2312" w:eastAsia="仿宋_GB2312"/>
                      <w:sz w:val="21"/>
                    </w:rPr>
                    <w:t>A/D≥12 bit。</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最大显示深度</w:t>
                  </w:r>
                  <w:r>
                    <w:rPr>
                      <w:rFonts w:ascii="仿宋_GB2312" w:hAnsi="仿宋_GB2312" w:cs="仿宋_GB2312" w:eastAsia="仿宋_GB2312"/>
                      <w:sz w:val="21"/>
                    </w:rPr>
                    <w:t>:≥33cm。</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物理滑动</w:t>
                  </w:r>
                  <w:r>
                    <w:rPr>
                      <w:rFonts w:ascii="仿宋_GB2312" w:hAnsi="仿宋_GB2312" w:cs="仿宋_GB2312" w:eastAsia="仿宋_GB2312"/>
                      <w:sz w:val="21"/>
                    </w:rPr>
                    <w:t>TGC: ≥8段，LGC: ≥4段。</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动态范围</w:t>
                  </w:r>
                  <w:r>
                    <w:rPr>
                      <w:rFonts w:ascii="仿宋_GB2312" w:hAnsi="仿宋_GB2312" w:cs="仿宋_GB2312" w:eastAsia="仿宋_GB2312"/>
                      <w:sz w:val="21"/>
                    </w:rPr>
                    <w:t>≥230db，步进≤5，可视可调。</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增益调节</w:t>
                  </w:r>
                  <w:r>
                    <w:rPr>
                      <w:rFonts w:ascii="仿宋_GB2312" w:hAnsi="仿宋_GB2312" w:cs="仿宋_GB2312" w:eastAsia="仿宋_GB2312"/>
                      <w:sz w:val="21"/>
                    </w:rPr>
                    <w:t>: B/M/D分别独立可调，≥100。</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体位标记：</w:t>
                  </w:r>
                  <w:r>
                    <w:rPr>
                      <w:rFonts w:ascii="仿宋_GB2312" w:hAnsi="仿宋_GB2312" w:cs="仿宋_GB2312" w:eastAsia="仿宋_GB2312"/>
                      <w:sz w:val="21"/>
                    </w:rPr>
                    <w:t>≥120种，可以自定义注释。</w:t>
                  </w:r>
                </w:p>
                <w:p>
                  <w:pPr>
                    <w:pStyle w:val="null3"/>
                    <w:jc w:val="both"/>
                  </w:pPr>
                  <w:r>
                    <w:rPr>
                      <w:rFonts w:ascii="仿宋_GB2312" w:hAnsi="仿宋_GB2312" w:cs="仿宋_GB2312" w:eastAsia="仿宋_GB2312"/>
                      <w:sz w:val="21"/>
                    </w:rPr>
                    <w:t>D.彩色多普勒成像</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包括速度、速度方差、能量、方向能量显示等。</w:t>
                  </w:r>
                </w:p>
                <w:p>
                  <w:pPr>
                    <w:pStyle w:val="null3"/>
                    <w:jc w:val="both"/>
                  </w:pPr>
                  <w:r>
                    <w:rPr>
                      <w:rFonts w:ascii="仿宋_GB2312" w:hAnsi="仿宋_GB2312" w:cs="仿宋_GB2312" w:eastAsia="仿宋_GB2312"/>
                      <w:sz w:val="21"/>
                    </w:rPr>
                    <w:t>35．</w:t>
                  </w:r>
                  <w:r>
                    <w:rPr>
                      <w:rFonts w:ascii="仿宋_GB2312" w:hAnsi="仿宋_GB2312" w:cs="仿宋_GB2312" w:eastAsia="仿宋_GB2312"/>
                      <w:sz w:val="21"/>
                    </w:rPr>
                    <w:t>取样框偏转</w:t>
                  </w:r>
                  <w:r>
                    <w:rPr>
                      <w:rFonts w:ascii="仿宋_GB2312" w:hAnsi="仿宋_GB2312" w:cs="仿宋_GB2312" w:eastAsia="仿宋_GB2312"/>
                      <w:sz w:val="21"/>
                    </w:rPr>
                    <w:t>: ≥±30度(线阵探头)。</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支持一键</w:t>
                  </w:r>
                  <w:r>
                    <w:rPr>
                      <w:rFonts w:ascii="仿宋_GB2312" w:hAnsi="仿宋_GB2312" w:cs="仿宋_GB2312" w:eastAsia="仿宋_GB2312"/>
                      <w:sz w:val="21"/>
                    </w:rPr>
                    <w:t>B/C 同宽。</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频谱多普勒模式。</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取样角度</w:t>
                  </w:r>
                  <w:r>
                    <w:rPr>
                      <w:rFonts w:ascii="仿宋_GB2312" w:hAnsi="仿宋_GB2312" w:cs="仿宋_GB2312" w:eastAsia="仿宋_GB2312"/>
                      <w:sz w:val="21"/>
                    </w:rPr>
                    <w:t>≤60°脉冲多普勒最大速度: ≥8.60m/s（连续多普勒速度: ≥35m/s）。</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最小速度</w:t>
                  </w:r>
                  <w:r>
                    <w:rPr>
                      <w:rFonts w:ascii="仿宋_GB2312" w:hAnsi="仿宋_GB2312" w:cs="仿宋_GB2312" w:eastAsia="仿宋_GB2312"/>
                      <w:sz w:val="21"/>
                    </w:rPr>
                    <w:t>: ≤1 mm /s（非噪声信号）。</w:t>
                  </w:r>
                </w:p>
                <w:p>
                  <w:pPr>
                    <w:pStyle w:val="null3"/>
                    <w:jc w:val="both"/>
                  </w:pPr>
                  <w:r>
                    <w:rPr>
                      <w:rFonts w:ascii="仿宋_GB2312" w:hAnsi="仿宋_GB2312" w:cs="仿宋_GB2312" w:eastAsia="仿宋_GB2312"/>
                      <w:sz w:val="21"/>
                    </w:rPr>
                    <w:t>40．</w:t>
                  </w:r>
                  <w:r>
                    <w:rPr>
                      <w:rFonts w:ascii="仿宋_GB2312" w:hAnsi="仿宋_GB2312" w:cs="仿宋_GB2312" w:eastAsia="仿宋_GB2312"/>
                      <w:sz w:val="21"/>
                    </w:rPr>
                    <w:t>取样容积</w:t>
                  </w:r>
                  <w:r>
                    <w:rPr>
                      <w:rFonts w:ascii="仿宋_GB2312" w:hAnsi="仿宋_GB2312" w:cs="仿宋_GB2312" w:eastAsia="仿宋_GB2312"/>
                      <w:sz w:val="21"/>
                    </w:rPr>
                    <w:t>: 0.5-30mm ,支持所有探头。</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偏转角度</w:t>
                  </w:r>
                  <w:r>
                    <w:rPr>
                      <w:rFonts w:ascii="仿宋_GB2312" w:hAnsi="仿宋_GB2312" w:cs="仿宋_GB2312" w:eastAsia="仿宋_GB2312"/>
                      <w:sz w:val="21"/>
                    </w:rPr>
                    <w:t>: ≥±30度 (线阵探头)。</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电影回放所有模式下可用，支持手动、自动回放，支持</w:t>
                  </w:r>
                  <w:r>
                    <w:rPr>
                      <w:rFonts w:ascii="仿宋_GB2312" w:hAnsi="仿宋_GB2312" w:cs="仿宋_GB2312" w:eastAsia="仿宋_GB2312"/>
                      <w:sz w:val="21"/>
                    </w:rPr>
                    <w:t>4D 电影回放。</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原始数据处理，可对回放图像进行</w:t>
                  </w:r>
                  <w:r>
                    <w:rPr>
                      <w:rFonts w:ascii="仿宋_GB2312" w:hAnsi="仿宋_GB2312" w:cs="仿宋_GB2312" w:eastAsia="仿宋_GB2312"/>
                      <w:sz w:val="21"/>
                    </w:rPr>
                    <w:t>≥34种参数调节。</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固态硬盘</w:t>
                  </w:r>
                  <w:r>
                    <w:rPr>
                      <w:rFonts w:ascii="仿宋_GB2312" w:hAnsi="仿宋_GB2312" w:cs="仿宋_GB2312" w:eastAsia="仿宋_GB2312"/>
                      <w:sz w:val="21"/>
                    </w:rPr>
                    <w:t>≥240GB。</w:t>
                  </w:r>
                </w:p>
                <w:p>
                  <w:pPr>
                    <w:pStyle w:val="null3"/>
                    <w:jc w:val="both"/>
                  </w:pPr>
                  <w:r>
                    <w:rPr>
                      <w:rFonts w:ascii="仿宋_GB2312" w:hAnsi="仿宋_GB2312" w:cs="仿宋_GB2312" w:eastAsia="仿宋_GB2312"/>
                      <w:sz w:val="21"/>
                    </w:rPr>
                    <w:t>45．</w:t>
                  </w:r>
                  <w:r>
                    <w:rPr>
                      <w:rFonts w:ascii="仿宋_GB2312" w:hAnsi="仿宋_GB2312" w:cs="仿宋_GB2312" w:eastAsia="仿宋_GB2312"/>
                      <w:sz w:val="21"/>
                    </w:rPr>
                    <w:t>支持有线和无线网络连接。</w:t>
                  </w:r>
                </w:p>
                <w:p>
                  <w:pPr>
                    <w:pStyle w:val="null3"/>
                    <w:jc w:val="both"/>
                  </w:pPr>
                  <w:r>
                    <w:rPr>
                      <w:rFonts w:ascii="仿宋_GB2312" w:hAnsi="仿宋_GB2312" w:cs="仿宋_GB2312" w:eastAsia="仿宋_GB2312"/>
                      <w:sz w:val="21"/>
                    </w:rPr>
                    <w:t>46．</w:t>
                  </w:r>
                  <w:r>
                    <w:rPr>
                      <w:rFonts w:ascii="仿宋_GB2312" w:hAnsi="仿宋_GB2312" w:cs="仿宋_GB2312" w:eastAsia="仿宋_GB2312"/>
                      <w:sz w:val="21"/>
                    </w:rPr>
                    <w:t>可下载手机移动终端</w:t>
                  </w:r>
                  <w:r>
                    <w:rPr>
                      <w:rFonts w:ascii="仿宋_GB2312" w:hAnsi="仿宋_GB2312" w:cs="仿宋_GB2312" w:eastAsia="仿宋_GB2312"/>
                      <w:sz w:val="21"/>
                    </w:rPr>
                    <w:t>APP（与超声同品牌），将机器超声图像通过无线网络直接发送到手机等智能移动终端平台，支持苹果和安卓系统。</w:t>
                  </w:r>
                </w:p>
                <w:p>
                  <w:pPr>
                    <w:pStyle w:val="null3"/>
                    <w:jc w:val="both"/>
                  </w:pPr>
                  <w:r>
                    <w:rPr>
                      <w:rFonts w:ascii="仿宋_GB2312" w:hAnsi="仿宋_GB2312" w:cs="仿宋_GB2312" w:eastAsia="仿宋_GB2312"/>
                      <w:sz w:val="21"/>
                    </w:rPr>
                    <w:t>47．</w:t>
                  </w:r>
                  <w:r>
                    <w:rPr>
                      <w:rFonts w:ascii="仿宋_GB2312" w:hAnsi="仿宋_GB2312" w:cs="仿宋_GB2312" w:eastAsia="仿宋_GB2312"/>
                      <w:sz w:val="21"/>
                    </w:rPr>
                    <w:t>可下载手机移动终端</w:t>
                  </w:r>
                  <w:r>
                    <w:rPr>
                      <w:rFonts w:ascii="仿宋_GB2312" w:hAnsi="仿宋_GB2312" w:cs="仿宋_GB2312" w:eastAsia="仿宋_GB2312"/>
                      <w:sz w:val="21"/>
                    </w:rPr>
                    <w:t>APP（与超声同品牌），进行远程病人信息管理等，支持苹果和安卓系统。</w:t>
                  </w:r>
                </w:p>
                <w:p>
                  <w:pPr>
                    <w:pStyle w:val="null3"/>
                    <w:jc w:val="both"/>
                  </w:pPr>
                  <w:r>
                    <w:rPr>
                      <w:rFonts w:ascii="仿宋_GB2312" w:hAnsi="仿宋_GB2312" w:cs="仿宋_GB2312" w:eastAsia="仿宋_GB2312"/>
                      <w:sz w:val="21"/>
                    </w:rPr>
                    <w:t>48．</w:t>
                  </w:r>
                  <w:r>
                    <w:rPr>
                      <w:rFonts w:ascii="仿宋_GB2312" w:hAnsi="仿宋_GB2312" w:cs="仿宋_GB2312" w:eastAsia="仿宋_GB2312"/>
                      <w:sz w:val="21"/>
                    </w:rPr>
                    <w:t>支持</w:t>
                  </w:r>
                  <w:r>
                    <w:rPr>
                      <w:rFonts w:ascii="仿宋_GB2312" w:hAnsi="仿宋_GB2312" w:cs="仿宋_GB2312" w:eastAsia="仿宋_GB2312"/>
                      <w:sz w:val="21"/>
                    </w:rPr>
                    <w:t>DICOM。</w:t>
                  </w:r>
                </w:p>
                <w:p>
                  <w:pPr>
                    <w:pStyle w:val="null3"/>
                    <w:jc w:val="both"/>
                  </w:pPr>
                  <w:r>
                    <w:rPr>
                      <w:rFonts w:ascii="仿宋_GB2312" w:hAnsi="仿宋_GB2312" w:cs="仿宋_GB2312" w:eastAsia="仿宋_GB2312"/>
                      <w:sz w:val="21"/>
                    </w:rPr>
                    <w:t>49．</w:t>
                  </w:r>
                  <w:r>
                    <w:rPr>
                      <w:rFonts w:ascii="仿宋_GB2312" w:hAnsi="仿宋_GB2312" w:cs="仿宋_GB2312" w:eastAsia="仿宋_GB2312"/>
                      <w:sz w:val="21"/>
                    </w:rPr>
                    <w:t>包含下列接口：</w:t>
                  </w:r>
                  <w:r>
                    <w:rPr>
                      <w:rFonts w:ascii="仿宋_GB2312" w:hAnsi="仿宋_GB2312" w:cs="仿宋_GB2312" w:eastAsia="仿宋_GB2312"/>
                      <w:sz w:val="21"/>
                    </w:rPr>
                    <w:t>S---视频、VGA视频接口、HDMI。</w:t>
                  </w:r>
                </w:p>
                <w:p>
                  <w:pPr>
                    <w:pStyle w:val="null3"/>
                    <w:jc w:val="both"/>
                  </w:pPr>
                  <w:r>
                    <w:rPr>
                      <w:rFonts w:ascii="仿宋_GB2312" w:hAnsi="仿宋_GB2312" w:cs="仿宋_GB2312" w:eastAsia="仿宋_GB2312"/>
                      <w:sz w:val="21"/>
                    </w:rPr>
                    <w:t>50．</w:t>
                  </w:r>
                  <w:r>
                    <w:rPr>
                      <w:rFonts w:ascii="仿宋_GB2312" w:hAnsi="仿宋_GB2312" w:cs="仿宋_GB2312" w:eastAsia="仿宋_GB2312"/>
                      <w:sz w:val="21"/>
                    </w:rPr>
                    <w:t>支持</w:t>
                  </w:r>
                  <w:r>
                    <w:rPr>
                      <w:rFonts w:ascii="仿宋_GB2312" w:hAnsi="仿宋_GB2312" w:cs="仿宋_GB2312" w:eastAsia="仿宋_GB2312"/>
                      <w:sz w:val="21"/>
                    </w:rPr>
                    <w:t>USB储存介质一键存储普通PC格式文件，无需转换格式。</w:t>
                  </w:r>
                </w:p>
                <w:p>
                  <w:pPr>
                    <w:pStyle w:val="null3"/>
                    <w:jc w:val="both"/>
                  </w:pPr>
                  <w:r>
                    <w:rPr>
                      <w:rFonts w:ascii="仿宋_GB2312" w:hAnsi="仿宋_GB2312" w:cs="仿宋_GB2312" w:eastAsia="仿宋_GB2312"/>
                      <w:sz w:val="21"/>
                      <w:color w:val="333333"/>
                      <w:shd w:fill="FFFFFF" w:val="clear"/>
                    </w:rPr>
                    <w:t>51．</w:t>
                  </w:r>
                  <w:r>
                    <w:rPr>
                      <w:rFonts w:ascii="仿宋_GB2312" w:hAnsi="仿宋_GB2312" w:cs="仿宋_GB2312" w:eastAsia="仿宋_GB2312"/>
                      <w:sz w:val="21"/>
                    </w:rPr>
                    <w:t>支持图像无线传输到监护中央工作站，需支持与中央工作站连接，开放连接端口。</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成都中医药大学附属医院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1、一次性支付全部合同款，合同中所有设备到达采购人指定收货地点，安装完毕并验收合格，采购人收到中标供应商提供的请款函、等额发票及验收相关资料后，达到付款条件起14日内，支付合同总金额的100.00%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1、供应商应在交货前以电话的形式通知采购人，最晚不得晚于交货前24小时。供应商交货时不得对采购人医疗工作产生影响。 2、供应商应严格按照合同约定的数量交货，不得多交或少交。供应商多交货物的，采购人未通过书面形式明确接收的，视为采购人拒绝接收并已发出拒绝通知，供应商应自行负责保管及运输多交部分货物，对多交部分货物的一切损失，采购人均不承担责任。 3、验收由采购人组织，供应商配合进行。必要时，采购人可邀请第三方参与验收。 4、供应商应于交货后5日内完成安装调试并通知采购人验收，采购人在收到供应商发出的验收通知后30日内完成验收。（隐藏性安装调试工作如对采购人清点配置存在影响的，应在隐藏性安装前5日通知采购人到场清点。）货物验收合格前，毁损灭失的风险由供应商承担。 5、验收标准：按国家有关规定以及采购人招标文件的质量要求和技术指标、配置和参数、供应商的投标文件及承诺、配置和参数与本合同约定标准进行验收；双方如对质量要求和技术指标的约定标准有相互抵触或异议的事项，由采购人在招标与投标文件中按质量要求和技术指标比较优胜的原则确定该项的约定标准进行验收。 6、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供应商承担，验收期限相应顺延。 7、如质量验收合格，双方签署质量验收报告。如供应商所供货物不符合验收要求，采购人有权拒绝签署验收报告，拒绝接受货物，有权要求供应商无条件更换、补齐，供应商应在交货时间内提供符合上述要求的货物，否则应承担逾期交付的违约责任。供应商更换的应提供证据证明更换后货物完全符合验收标准，否则采购人有权解除本合同，并由供应商承担合同解除的违约责任。 8、供应商应将所提供货物的装箱清单、配件、随机工具、用户使用手册（使用说明书）、原厂保修卡、产品合格证、质量保证书、质量鉴定书、品质检验证书等资料于验收时一并交付给采购人；供应商不能完整交付货物及本款规定的单证和工具的，必须负责在采购人要求的期限内补齐，否则视为未按合同约定交货并承担货物迟延交付的违约责任。 9、如供应商交付的货物不符合质量要求，如货物经供应商3次维修仍不能达到合同约定的质量标准，采购人有权退货，并视作供应商不能交付货物而须支付违约违约金给采购人，采购人还可依法追究供应商的违约责任。 10、其他未尽事宜应严格按照《财政部关于进一步加强政府采购需求和履约验收管理的指导意见》（财库〔2016〕205号）的要求进行。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供应商应保证提供的货物完全符合合同规定的质量、规格和性能要求。供应商应保证货物在正确安装、正常使用和保养条件下，在其使用寿命期内具备合同约定的性能。存在保修期的，货物最终交付验收合格后在采购文件规定的保修期或者供应商书面承诺的保修期内（两者以较长的为准），本保证保持有效。供应商承诺本货物质量保修期不低于5年，自双方签署验收报告之日起计算质量保修期。如实际使用寿命低于承诺使用寿命的，供应商应向采购人退还未达到承诺使用寿命对应的货款。 2、在保修期内所发现的缺陷，采购人应尽快以书面形式通知供应商。供应商须指派专人负责与采购人联系售后服务事宜。如供应商售后服务联系人更换的，应及时通知采购人并出具加盖供应商印章的书面告知书。 3、售后服务响应时间：供应商在接到采购人的服务需求电话后，在2个小时内给予电话响应，服务工程师24小时内到达现场，并在到达后24小时之内排除故障。质量保修期内，如需更换零配件，供应商应保证所有更换的零配件与原设备相同规格和品质，费用包括在合同总价中。 备用机提供的要求（如有）：货物故障2小时内无法修复，供应商应提供备用机。 4、在保修期内，如果货物的质量或规格与合同不符，或证实货物是有缺陷的，包括潜在的缺陷或使用不符合要求的材料等，采购人可以根据违约责任与解决争议的方法违约责任1.质量瑕疵的违约责任条款规定以书面形式追究供应商的违约责任。 5、在质量保修期内，由于货物本身原因引起的故障应由供应商负责免费提供技术服务和维修，经供应商3次维修仍不能达到合同约定的质量标准，采购人有权退货，并视作供应商不能交付货物而须支付违约金给采购人，采购人还可依法追究供应商的违约责任。 供应商须保证对产品的零备件和耗材提供十年以上供应。质保期满后，供应商提供维保的，维保费不得高于单项货物金额10%。</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一、违约责任1.质量瑕疵的违约责任 1.1.供应商交付的货物不符合合同规定的，供应商应向采购人支付合同总价的百分之十的违约金，并须在合同规定的交货时间内更换合格的货物给采购人，否则，视作供应商不能交付货物而违约，按本条本款下述迟延交货规定由供应商偿付违约违约金给采购人。 1.2.供应商货物在采购人使用过程中，经采购人送交具有法定资格条件的质量技术监督机构检测后，如检测结果认定货物质量不符合本合同规定标准的，供应商须在采购人通知后30天内无条件更换合格的货物，供应商每延期一天应向采购人偿付合同货款总额的万分之五/天的违约金；如供应商在前述约定的30天届满后仍未能交付合格货物的，采购人有权解除本合同，供应商应另付合同总价的百分之二十的违约金给采购人并退还采购人已经支付的全部货款。 1.3.供应商保证本合同货物无权利瑕疵，包括货物所有权及知识产权等权利无瑕疵。如任何第三方经法院（或仲裁机构）裁决有权对上述货物主张权利或国家机关依法对货物进行没收查处的，采购人有权解除合同，供应商除应向采购人返还已收款项，还应另按合同总价的百分之二十向采购人支付违约金并赔偿因此给采购人造成的一切损失。 2.迟延交货的违约责任 2.1.供应商应按照本合同规定的时间、地点交货和提供相关服务。 在履行合同过程中，如果供应商遇到可能影响按时交货和提供服务的情形时，应及时以书面形式将迟延的事实、可能迟延的期限和理由通知采购人。 2.2.如果供应商没有按照合同规定的时间交货和提供相关服务， 采购人有权从货款中扣除误期赔偿费而不影响合同项下的其他补救方法，误期赔偿费的计算方法为：按逾期交付部分货物货款总额的万分之五/天的违约金。如果涉及公共利益，且赔偿金额无法弥补公共利益损失，采购人可要求继续履行或者采取其他补救措施。逾期交货超过30天，采购人有权解除合同，供应商则应按合同总价的百分之二十的款额向采购人偿付违约金，并须全额退还采购人已经付给供应商的货款及其按照合同订立时1年期贷款市场报价利率的利息。供应商逾期安装、调试完毕、验收合格、补齐或更换单证、工具、配件或验收不合格的，按上述逾期交货处理。采购人另行通知交付时间的，供应商是否构成逾期交付以采购人另行通知的时间为准。 2.3.迟延支付的违约责任 采购人存在迟延支付供应商合同款项的，应当支付逾期付款利息，计算方法为：欠款总额万分之一/天的违约金，但该违约金总额不得超过合同总价款的百分之十，有正当理由不属于违约。 3.违法分包、转包的违约责任供应商将项目转包、违法分包的，采购人可以解除合同，并要求供应商承担如下违约责任：应按合同总价的百分之二十的款额向采购人偿付违约金，并须全额退还采购人已经付给供应商的全部货款。 4.供应商在质保期内违反售后服务条款，每发生一次，供应商应向采购人支付违约金2000.00元，采购人有权委托第三方进行维保，由此产生的费用由供应商承担，采购人有权从履约保证金（或售后维保金）中扣除。 5.供应商偿付的违约金不足以弥补采购人损失的，还应按采购人损失尚未弥补的部分，支付赔偿金给采购人。 6.如因供应商违约导致合同解除的，供应商应于收到采购人解除通知之日起15日内回收已经交付的货物，如因安装货物导致采购人建筑物、构筑物损坏的，供应商应恢复原状。供应商逾期回收已交付货物，经催告后10日内仍未回收的，采购人有权自行处置，供应商应补偿采购人因处置货物而支付的所有费用，同时不得因此向采购人主张赔偿。二、争议解决办法 1.因本合同及合同有关事项发生的争议，由双方友好协商解决。协商不成时，可以向有关组织申请调解。合同一方或双方不愿调解或调解不成的，可以通过诉讼的方式解决争议。 2.因本合同及合同有关事项发生的争议，向采购人所在地人民法院起诉。 3.如双方有争议的事项不影响合同其他部分的履行，在争议解决期间，合同其他部分应当继续履行。 4.因货物的质量问题发生争议，由采购人所在地具有合法鉴定资质且具有相关货物鉴定能力的鉴定机构进行质量鉴定。货物符合标准的，鉴定费由采购人承担；货物不符合质量标准的，鉴定费由供应商承担，因鉴定而导致的货物损坏由供应商自行承担。</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包装物不回收，包装所涉费用已包含在合同价款当中。因供应商原因导致货物部分或全部受损、灭失的，采购人有权拒绝支付受损、灭失货物的货款。货物受损，采购人有权拒收货物。 供应商负责将货物运输至约定的交货地点并交付采购人，并承担因运输货物所发生的一切费用，包括但不限于运输费、保险费、装卸费等；如果内含易燃易爆、剧毒、有毒等物品时，运输车辆必须符合国家的要求，具有相应的运输资质，并有明确的安全标示。</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其他要求：除商务和服务要求外，供应商还应当为落实本项目具备相应的业绩以及提供相应的售后服务方案，包含：1）售后服务范围及内容；2）零备件保障措施；3）售后服务人员配置方案；4）培训计划四个方面。以上内容的响应评定具体详见综合评分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投标人根据自身情况选择提供其中任意一项: (1)可提供 2023或2024或2025年度经审计的财务报告扫描件(包含审计报告和审计报告中所涉及的财务报表和报表附注)；(2)也可提供投标人内部的2023或2024或2025年度财务报表扫描件（至少包含资产负债表）(3)也可提供截至提交投标文件截止日一年内银行出具的资信证明(扫描件)；(4)投标人注册时间截至提交投标文件截止日不足一年的，也可提供工商管理部门备案的公司章程（扫描件）；(5)投标人为个体工商户或自然人时，可提供承诺函。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不存在与单位负责人为同一人或者存在直接控股、管理关系的其他供应商参与同一合同项下的政府采购活动的行为。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为医疗器械的，供应商须符合《医疗器械监督管理条例》要求并提供供应商经营该产品的经营许可/经营备案证明材料；投标产品须符合《医疗器械注册与备案管理办法》要求并提供产品的注册/备案证明材料。</w:t>
            </w:r>
          </w:p>
        </w:tc>
        <w:tc>
          <w:tcPr>
            <w:tcW w:type="dxa" w:w="3322"/>
          </w:tcPr>
          <w:p>
            <w:pPr>
              <w:pStyle w:val="null3"/>
              <w:jc w:val="left"/>
            </w:pPr>
            <w:r>
              <w:rPr>
                <w:rFonts w:ascii="仿宋_GB2312" w:hAnsi="仿宋_GB2312" w:cs="仿宋_GB2312" w:eastAsia="仿宋_GB2312"/>
              </w:rPr>
              <w:t>若投标产品为医疗器械的，供应商须符合《医疗器械监督管理条例》要求并提供供应商经营该产品的经营许可/经营备案证明材料；投标产品须符合《医疗器械注册与备案管理办法》要求并提供产品的注册/备案证明材料。（提供有效证明材料复印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“第三章-技术、服务及其他要求”中的实质性要求。</w:t>
            </w:r>
          </w:p>
        </w:tc>
        <w:tc>
          <w:tcPr>
            <w:tcW w:type="dxa" w:w="3322"/>
          </w:tcPr>
          <w:p>
            <w:pPr>
              <w:pStyle w:val="null3"/>
              <w:jc w:val="left"/>
            </w:pPr>
            <w:r>
              <w:rPr>
                <w:rFonts w:ascii="仿宋_GB2312" w:hAnsi="仿宋_GB2312" w:cs="仿宋_GB2312" w:eastAsia="仿宋_GB2312"/>
              </w:rPr>
              <w:t>针对“第三章-技术、服务要求及其他要求”中的实质性要求，需要投标人单独提供材料进行响应的，投标人提供应答表并按照该章具体要求上传相应的证明材料。</w:t>
            </w:r>
          </w:p>
        </w:tc>
        <w:tc>
          <w:tcPr>
            <w:tcW w:type="dxa" w:w="1661"/>
          </w:tcPr>
          <w:p>
            <w:pPr>
              <w:pStyle w:val="null3"/>
              <w:jc w:val="left"/>
            </w:pPr>
            <w:r>
              <w:rPr>
                <w:rFonts w:ascii="仿宋_GB2312" w:hAnsi="仿宋_GB2312" w:cs="仿宋_GB2312" w:eastAsia="仿宋_GB2312"/>
              </w:rPr>
              <w:t>投标人应提交的相关证明材料,商务要求应答表.docx,投标（响应）函,技术要求应答表.docx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1、“▲”技术参数分值40分，一般技术参数（指未标注“▲”“★”参数）分值20分。 2、投标人技术参数条款响应得分=（投标人满足“▲”技术参数条款的数量÷“▲”技术参数条款的总数量）×分值+（投标人满足一般技术参数条款的数量÷一般技术参数条款的总数量）×分值。 注：①★号条款作为实质性要求，不进行评分。②▲号条款参数均要求提供证明材料，若技术参数要求提供对应证明材料，应按要求提供；若技术参数未要求提供证明材料，投标时需至少提供以下任一佐证材料：投标产品制造厂家公开发布的产品说明书或产品公开发布的彩页或国家认可的第三方检验机构出具的检测报告；技术参数中有具体要求的，按其具体要求提供证明材料，否则视为不响应。 ③本招标文件以一级序号数字（如 “1.”“2.”“3.”…）为一条（标题除外）；数字序号下有多级序号的，以最小级数字序号为一条；</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在满足招标文件售后服务要求的基础上，根据所投产品的特点，提供具体的售后服务方案，包括但不限于：1）售后服务范围及内容；2）零备件保障措施；3）售后服务人员配置方案；4）培训计划四个方面。上述内容满分得4分，每有一项缺项扣1分，每有一处内容存在不足的扣0.5分，每项最多扣1分，4分扣完为止。不足是指：方案内容脱离项目背景、项目需求以及行业或市场客观事实；涉及的政策规范及标准对本项目不适用；方案技术环节存在漏缺项、内容交叉混乱、缺乏重点、套用错用其他项目内容；仅有标题或框架缺乏具体说明阐述等以上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自2023年年1月1日至递交投标文件截止日以来供应商所投同类产品业绩进行评定，每提供一个业绩得1分，最多得6分。 注：提供合同复印件及验收合格证明材料（加盖鲜章）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