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版本号：N510522202600003920260403002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合江县博物馆宋代石刻文物保护修复项目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N5105222026000039</w:t>
      </w:r>
    </w:p>
    <w:p>
      <w:pPr>
        <w:pStyle w:val="null3"/>
        <w:jc w:val="center"/>
        <w:outlineLvl w:val="2"/>
      </w:pPr>
      <w:r>
        <w:rPr>
          <w:rFonts w:ascii="仿宋_GB2312" w:hAnsi="仿宋_GB2312" w:cs="仿宋_GB2312" w:eastAsia="仿宋_GB2312"/>
          <w:sz w:val="28"/>
          <w:b/>
        </w:rPr>
        <w:t>合江县文化广播电视和旅游局</w:t>
      </w:r>
    </w:p>
    <w:p>
      <w:pPr>
        <w:pStyle w:val="null3"/>
        <w:jc w:val="center"/>
        <w:outlineLvl w:val="2"/>
      </w:pPr>
      <w:r>
        <w:rPr>
          <w:rFonts w:ascii="仿宋_GB2312" w:hAnsi="仿宋_GB2312" w:cs="仿宋_GB2312" w:eastAsia="仿宋_GB2312"/>
          <w:sz w:val="28"/>
          <w:b/>
        </w:rPr>
        <w:t>四川循远项目管理有限公司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四川循远项目管理有限公司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合江县文化广播电视和旅游局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合江县博物馆宋代石刻文物保护修复项目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泸州市合江县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N5105222026000039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合江县博物馆宋代石刻文物保护修复项目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1个包，预算金额：1，250，000.00。对34件宋代石刻进行保护修复，包括检测分析和前期研究、本体加固处理、表面清理、脱盐、拼接补配、加固封护等内容，达到恢复文物原貌、保持石刻完整性和稳定性，增强文物的自身保护性和强度，延缓文物风化进程，延长寿命的目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备文物主管部门颁发有效期内的《可移动文物修复资质证书》（资质范围包含：石刻）。（描述：提供文物主管部门颁发有效期内的《可移动文物修复资质证书》（资质范围包含：石刻）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合江县文化广播电视和旅游局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四川省泸州市合江县广场路682号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0830-5236362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四川循远项目管理有限公司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四川省泸州市合江县符阳街道佳荔路1号二楼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0830-7366698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依照成本加合理利润的原则，以成交金额作为计算基数，按差额定率累进法进行计算，并按以下费率标准（服务采购项目）收取：成交金额100万元以下，费率1.5%；成交金额100-500万元，费率0.8%；中标金额500-1000万元，费率0.45%；成交金额1000-5000万元，费率0.25%；成交金额5000-10000万元，费率0.1%；成交金额10000-100000万元，费率0.05%；成交金额100000万元以上，费率0.01%。按收费标准计算代理费用不足6000元的小额零星项目，代理费用统一按6000元计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合江县文化广播电视和旅游局</w:t>
      </w:r>
      <w:r>
        <w:rPr>
          <w:rFonts w:ascii="仿宋_GB2312" w:hAnsi="仿宋_GB2312" w:cs="仿宋_GB2312" w:eastAsia="仿宋_GB2312"/>
        </w:rPr>
        <w:t xml:space="preserve"> 和 </w:t>
      </w:r>
      <w:r>
        <w:rPr>
          <w:rFonts w:ascii="仿宋_GB2312" w:hAnsi="仿宋_GB2312" w:cs="仿宋_GB2312" w:eastAsia="仿宋_GB2312"/>
        </w:rPr>
        <w:t>四川循远项目管理有限公司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合江县文化广播电视和旅游局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四川循远项目管理有限公司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完成合同内容并通过市级初验合格后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通过省级终验合格后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验收合格一年后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本项目采购人将严格按照本项目采购文件中“技术要求及服务要求”及成交供应商响应文件进行验收。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 号）、财政部《政府采购需求管理办法》财库【2021】22号的要求及本行业国家现行标准、规范的要求；磋商文件要求（或响应文件的响应或承诺）以及合同的要求进行验收。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合江县文化广播电视和旅游局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四川循远项目管理有限公司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四川循远项目管理有限公司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联系人：敖老师</w:t>
      </w:r>
    </w:p>
    <w:p>
      <w:pPr>
        <w:pStyle w:val="null3"/>
        <w:jc w:val="left"/>
      </w:pPr>
      <w:r>
        <w:rPr>
          <w:rFonts w:ascii="仿宋_GB2312" w:hAnsi="仿宋_GB2312" w:cs="仿宋_GB2312" w:eastAsia="仿宋_GB2312"/>
        </w:rPr>
        <w:t>联系电话：0830-5236362</w:t>
      </w:r>
    </w:p>
    <w:p>
      <w:pPr>
        <w:pStyle w:val="null3"/>
        <w:jc w:val="left"/>
      </w:pPr>
      <w:r>
        <w:rPr>
          <w:rFonts w:ascii="仿宋_GB2312" w:hAnsi="仿宋_GB2312" w:cs="仿宋_GB2312" w:eastAsia="仿宋_GB2312"/>
        </w:rPr>
        <w:t>地址：四川省泸州市合江县广场路682号</w:t>
      </w:r>
    </w:p>
    <w:p>
      <w:pPr>
        <w:pStyle w:val="null3"/>
        <w:jc w:val="left"/>
      </w:pPr>
      <w:r>
        <w:rPr>
          <w:rFonts w:ascii="仿宋_GB2312" w:hAnsi="仿宋_GB2312" w:cs="仿宋_GB2312" w:eastAsia="仿宋_GB2312"/>
        </w:rPr>
        <w:t>邮编：646200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联系电话：18111171312</w:t>
      </w:r>
    </w:p>
    <w:p>
      <w:pPr>
        <w:pStyle w:val="null3"/>
        <w:jc w:val="left"/>
      </w:pPr>
      <w:r>
        <w:rPr>
          <w:rFonts w:ascii="仿宋_GB2312" w:hAnsi="仿宋_GB2312" w:cs="仿宋_GB2312" w:eastAsia="仿宋_GB2312"/>
        </w:rPr>
        <w:t>地址：四川省泸州市合江县符阳街道佳荔路1号二楼</w:t>
      </w:r>
    </w:p>
    <w:p>
      <w:pPr>
        <w:pStyle w:val="null3"/>
        <w:jc w:val="left"/>
      </w:pPr>
      <w:r>
        <w:rPr>
          <w:rFonts w:ascii="仿宋_GB2312" w:hAnsi="仿宋_GB2312" w:cs="仿宋_GB2312" w:eastAsia="仿宋_GB2312"/>
        </w:rPr>
        <w:t>邮编：646200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1,250,000.00</w:t>
      </w:r>
    </w:p>
    <w:p>
      <w:pPr>
        <w:pStyle w:val="null3"/>
        <w:jc w:val="left"/>
      </w:pPr>
      <w:r>
        <w:rPr>
          <w:rFonts w:ascii="仿宋_GB2312" w:hAnsi="仿宋_GB2312" w:cs="仿宋_GB2312" w:eastAsia="仿宋_GB2312"/>
        </w:rPr>
        <w:t>采购包最高限价（元）: 1,250,000.00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C06030400 文物和文化保护服务</w:t>
            </w:r>
          </w:p>
        </w:tc>
        <w:tc>
          <w:tcPr>
            <w:tcW w:type="dxa" w:w="821"/>
          </w:tcPr>
          <w:p>
            <w:pPr>
              <w:pStyle w:val="null3"/>
              <w:jc w:val="left"/>
            </w:pPr>
            <w:r>
              <w:rPr>
                <w:rFonts w:ascii="仿宋_GB2312" w:hAnsi="仿宋_GB2312" w:cs="仿宋_GB2312" w:eastAsia="仿宋_GB2312"/>
              </w:rPr>
              <w:t>宋代石刻文物保护修复</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宋代石刻文物保护修复</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标的名称：宋代石刻文物保护修复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实施方案</w:t>
            </w:r>
          </w:p>
        </w:tc>
        <w:tc>
          <w:tcPr>
            <w:tcW w:type="dxa" w:w="5814"/>
          </w:tcPr>
          <w:p>
            <w:pPr>
              <w:pStyle w:val="null3"/>
              <w:jc w:val="left"/>
            </w:pPr>
            <w:r>
              <w:rPr>
                <w:rFonts w:ascii="仿宋_GB2312" w:hAnsi="仿宋_GB2312" w:cs="仿宋_GB2312" w:eastAsia="仿宋_GB2312"/>
                <w:sz w:val="21"/>
                <w:color w:val="000000"/>
              </w:rPr>
              <w:t>根据《可移动文物保护修复方案编制要求</w:t>
            </w:r>
            <w:r>
              <w:rPr>
                <w:rFonts w:ascii="仿宋_GB2312" w:hAnsi="仿宋_GB2312" w:cs="仿宋_GB2312" w:eastAsia="仿宋_GB2312"/>
                <w:sz w:val="21"/>
                <w:color w:val="000000"/>
              </w:rPr>
              <w:t>WW/T 0128-2025</w:t>
            </w:r>
            <w:r>
              <w:rPr>
                <w:rFonts w:ascii="仿宋_GB2312" w:hAnsi="仿宋_GB2312" w:cs="仿宋_GB2312" w:eastAsia="仿宋_GB2312"/>
                <w:sz w:val="21"/>
                <w:color w:val="000000"/>
              </w:rPr>
              <w:t>》，结合实际情况，拟定实施方案，包括：细化现状描述，拍照记录，测量绘图，病害检测分析及评估，工作原则及目标，保护材料的筛选，保护修复技术路线及具体步骤，风险评估与防范措施，安全措施，工作量与进度安排，为文物建立修复前的完备基础档案，也为后期保护修复提供资料支撑</w:t>
            </w:r>
            <w:r>
              <w:rPr>
                <w:rFonts w:ascii="仿宋_GB2312" w:hAnsi="仿宋_GB2312" w:cs="仿宋_GB2312" w:eastAsia="仿宋_GB2312"/>
                <w:sz w:val="21"/>
                <w:color w:val="000000"/>
              </w:rPr>
              <w:t>，</w:t>
            </w:r>
            <w:r>
              <w:rPr>
                <w:rFonts w:ascii="仿宋_GB2312" w:hAnsi="仿宋_GB2312" w:cs="仿宋_GB2312" w:eastAsia="仿宋_GB2312"/>
                <w:sz w:val="21"/>
                <w:color w:val="000000"/>
              </w:rPr>
              <w:t>对</w:t>
            </w:r>
            <w:r>
              <w:rPr>
                <w:rFonts w:ascii="仿宋_GB2312" w:hAnsi="仿宋_GB2312" w:cs="仿宋_GB2312" w:eastAsia="仿宋_GB2312"/>
                <w:sz w:val="21"/>
                <w:color w:val="000000"/>
              </w:rPr>
              <w:t>34</w:t>
            </w:r>
            <w:r>
              <w:rPr>
                <w:rFonts w:ascii="仿宋_GB2312" w:hAnsi="仿宋_GB2312" w:cs="仿宋_GB2312" w:eastAsia="仿宋_GB2312"/>
                <w:sz w:val="21"/>
                <w:color w:val="000000"/>
              </w:rPr>
              <w:t>件宋代石刻进行详细的勘察和记录。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保护材料前期筛选</w:t>
            </w:r>
          </w:p>
        </w:tc>
        <w:tc>
          <w:tcPr>
            <w:tcW w:type="dxa" w:w="5814"/>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本次加固材料的选择应遵循以下原则：</w:t>
            </w:r>
            <w:r>
              <w:rPr>
                <w:rFonts w:ascii="仿宋_GB2312" w:hAnsi="仿宋_GB2312" w:cs="仿宋_GB2312" w:eastAsia="仿宋_GB2312"/>
                <w:sz w:val="21"/>
                <w:color w:val="000000"/>
              </w:rPr>
              <w:t>①</w:t>
            </w:r>
            <w:r>
              <w:rPr>
                <w:rFonts w:ascii="仿宋_GB2312" w:hAnsi="仿宋_GB2312" w:cs="仿宋_GB2312" w:eastAsia="仿宋_GB2312"/>
                <w:sz w:val="21"/>
                <w:color w:val="000000"/>
              </w:rPr>
              <w:t>有良好的渗透加固能力；</w:t>
            </w:r>
            <w:r>
              <w:rPr>
                <w:rFonts w:ascii="仿宋_GB2312" w:hAnsi="仿宋_GB2312" w:cs="仿宋_GB2312" w:eastAsia="仿宋_GB2312"/>
                <w:sz w:val="21"/>
                <w:color w:val="000000"/>
              </w:rPr>
              <w:t>②</w:t>
            </w:r>
            <w:r>
              <w:rPr>
                <w:rFonts w:ascii="仿宋_GB2312" w:hAnsi="仿宋_GB2312" w:cs="仿宋_GB2312" w:eastAsia="仿宋_GB2312"/>
                <w:sz w:val="21"/>
                <w:color w:val="000000"/>
              </w:rPr>
              <w:t>不产生新的病害；</w:t>
            </w:r>
            <w:r>
              <w:rPr>
                <w:rFonts w:ascii="仿宋_GB2312" w:hAnsi="仿宋_GB2312" w:cs="仿宋_GB2312" w:eastAsia="仿宋_GB2312"/>
                <w:sz w:val="21"/>
                <w:color w:val="000000"/>
              </w:rPr>
              <w:t>③</w:t>
            </w:r>
            <w:r>
              <w:rPr>
                <w:rFonts w:ascii="仿宋_GB2312" w:hAnsi="仿宋_GB2312" w:cs="仿宋_GB2312" w:eastAsia="仿宋_GB2312"/>
                <w:sz w:val="21"/>
                <w:color w:val="000000"/>
              </w:rPr>
              <w:t>具有耐老化性；</w:t>
            </w:r>
            <w:r>
              <w:rPr>
                <w:rFonts w:ascii="仿宋_GB2312" w:hAnsi="仿宋_GB2312" w:cs="仿宋_GB2312" w:eastAsia="仿宋_GB2312"/>
                <w:sz w:val="21"/>
                <w:color w:val="000000"/>
              </w:rPr>
              <w:t>④</w:t>
            </w:r>
            <w:r>
              <w:rPr>
                <w:rFonts w:ascii="仿宋_GB2312" w:hAnsi="仿宋_GB2312" w:cs="仿宋_GB2312" w:eastAsia="仿宋_GB2312"/>
                <w:sz w:val="21"/>
                <w:color w:val="000000"/>
              </w:rPr>
              <w:t>有良好的疏水性。根据方案所涉及的石刻文物特性，选择</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种硅酸乙酯材料作为本次保护修复工作的加固封护材料：为有机硅类渗透加固补强材料，要求</w:t>
            </w:r>
            <w:r>
              <w:rPr>
                <w:rFonts w:ascii="仿宋_GB2312" w:hAnsi="仿宋_GB2312" w:cs="仿宋_GB2312" w:eastAsia="仿宋_GB2312"/>
                <w:sz w:val="21"/>
                <w:color w:val="000000"/>
              </w:rPr>
              <w:t>①</w:t>
            </w:r>
            <w:r>
              <w:rPr>
                <w:rFonts w:ascii="仿宋_GB2312" w:hAnsi="仿宋_GB2312" w:cs="仿宋_GB2312" w:eastAsia="仿宋_GB2312"/>
                <w:sz w:val="21"/>
                <w:color w:val="000000"/>
              </w:rPr>
              <w:t>二氧化硅胶体含量</w:t>
            </w:r>
            <w:r>
              <w:rPr>
                <w:rFonts w:ascii="仿宋_GB2312" w:hAnsi="仿宋_GB2312" w:cs="仿宋_GB2312" w:eastAsia="仿宋_GB2312"/>
                <w:sz w:val="21"/>
                <w:color w:val="000000"/>
              </w:rPr>
              <w:t>&gt;30%</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℃密度约为</w:t>
            </w:r>
            <w:r>
              <w:rPr>
                <w:rFonts w:ascii="仿宋_GB2312" w:hAnsi="仿宋_GB2312" w:cs="仿宋_GB2312" w:eastAsia="仿宋_GB2312"/>
                <w:sz w:val="21"/>
                <w:color w:val="000000"/>
              </w:rPr>
              <w:t>0.98g/</w:t>
            </w:r>
            <w:r>
              <w:rPr>
                <w:rFonts w:ascii="仿宋_GB2312" w:hAnsi="仿宋_GB2312" w:cs="仿宋_GB2312" w:eastAsia="仿宋_GB2312"/>
                <w:sz w:val="21"/>
                <w:color w:val="000000"/>
              </w:rPr>
              <w:t>cm³</w:t>
            </w:r>
            <w:r>
              <w:rPr>
                <w:rFonts w:ascii="仿宋_GB2312" w:hAnsi="仿宋_GB2312" w:cs="仿宋_GB2312" w:eastAsia="仿宋_GB2312"/>
                <w:sz w:val="21"/>
                <w:color w:val="000000"/>
              </w:rPr>
              <w:t>，有效成分含量约</w:t>
            </w:r>
            <w:r>
              <w:rPr>
                <w:rFonts w:ascii="仿宋_GB2312" w:hAnsi="仿宋_GB2312" w:cs="仿宋_GB2312" w:eastAsia="仿宋_GB2312"/>
                <w:sz w:val="21"/>
                <w:color w:val="000000"/>
              </w:rPr>
              <w:t>99wt%</w:t>
            </w:r>
            <w:r>
              <w:rPr>
                <w:rFonts w:ascii="仿宋_GB2312" w:hAnsi="仿宋_GB2312" w:cs="仿宋_GB2312" w:eastAsia="仿宋_GB2312"/>
                <w:sz w:val="21"/>
                <w:color w:val="000000"/>
              </w:rPr>
              <w:t>；</w:t>
            </w:r>
            <w:r>
              <w:rPr>
                <w:rFonts w:ascii="仿宋_GB2312" w:hAnsi="仿宋_GB2312" w:cs="仿宋_GB2312" w:eastAsia="仿宋_GB2312"/>
                <w:sz w:val="21"/>
                <w:color w:val="000000"/>
              </w:rPr>
              <w:t>②</w:t>
            </w:r>
            <w:r>
              <w:rPr>
                <w:rFonts w:ascii="仿宋_GB2312" w:hAnsi="仿宋_GB2312" w:cs="仿宋_GB2312" w:eastAsia="仿宋_GB2312"/>
                <w:sz w:val="21"/>
                <w:color w:val="000000"/>
              </w:rPr>
              <w:t>二氧化硅胶体含量＞</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℃密度为</w:t>
            </w:r>
            <w:r>
              <w:rPr>
                <w:rFonts w:ascii="仿宋_GB2312" w:hAnsi="仿宋_GB2312" w:cs="仿宋_GB2312" w:eastAsia="仿宋_GB2312"/>
                <w:sz w:val="21"/>
                <w:color w:val="000000"/>
              </w:rPr>
              <w:t>1-1.05g/</w:t>
            </w:r>
            <w:r>
              <w:rPr>
                <w:rFonts w:ascii="仿宋_GB2312" w:hAnsi="仿宋_GB2312" w:cs="仿宋_GB2312" w:eastAsia="仿宋_GB2312"/>
                <w:sz w:val="21"/>
                <w:color w:val="000000"/>
              </w:rPr>
              <w:t>cm³</w:t>
            </w:r>
            <w:r>
              <w:rPr>
                <w:rFonts w:ascii="仿宋_GB2312" w:hAnsi="仿宋_GB2312" w:cs="仿宋_GB2312" w:eastAsia="仿宋_GB2312"/>
                <w:sz w:val="21"/>
                <w:color w:val="000000"/>
              </w:rPr>
              <w:t>，有效成分含量约</w:t>
            </w:r>
            <w:r>
              <w:rPr>
                <w:rFonts w:ascii="仿宋_GB2312" w:hAnsi="仿宋_GB2312" w:cs="仿宋_GB2312" w:eastAsia="仿宋_GB2312"/>
                <w:sz w:val="21"/>
                <w:color w:val="000000"/>
              </w:rPr>
              <w:t>70wt%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0"/>
                <w:color w:val="000000"/>
              </w:rPr>
              <w:t>本次修复砂浆要求：</w:t>
            </w:r>
          </w:p>
          <w:p>
            <w:pPr>
              <w:pStyle w:val="null3"/>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凝结时间：初凝时间应</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分钟，终凝时间应</w:t>
            </w:r>
            <w:r>
              <w:rPr>
                <w:rFonts w:ascii="仿宋_GB2312" w:hAnsi="仿宋_GB2312" w:cs="仿宋_GB2312" w:eastAsia="仿宋_GB2312"/>
                <w:sz w:val="21"/>
                <w:color w:val="000000"/>
              </w:rPr>
              <w:t>≤</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分钟。</w:t>
            </w:r>
          </w:p>
          <w:p>
            <w:pPr>
              <w:pStyle w:val="null3"/>
              <w:jc w:val="left"/>
            </w:pPr>
            <w:r>
              <w:rPr>
                <w:rFonts w:ascii="仿宋_GB2312" w:hAnsi="仿宋_GB2312" w:cs="仿宋_GB2312" w:eastAsia="仿宋_GB2312"/>
                <w:sz w:val="21"/>
                <w:color w:val="000000"/>
              </w:rPr>
              <w:t>②</w:t>
            </w:r>
            <w:r>
              <w:rPr>
                <w:rFonts w:ascii="仿宋_GB2312" w:hAnsi="仿宋_GB2312" w:cs="仿宋_GB2312" w:eastAsia="仿宋_GB2312"/>
                <w:sz w:val="21"/>
                <w:color w:val="000000"/>
              </w:rPr>
              <w:t>抗压强度：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小时抗压强度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15MPa</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小时抗压强度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40MPa</w:t>
            </w: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天抗压强度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55MPa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抗折强度：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小时抗折强度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3MPa</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小时抗折强度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4MPa</w:t>
            </w: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天抗折强度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④</w:t>
            </w:r>
            <w:r>
              <w:rPr>
                <w:rFonts w:ascii="仿宋_GB2312" w:hAnsi="仿宋_GB2312" w:cs="仿宋_GB2312" w:eastAsia="仿宋_GB2312"/>
                <w:sz w:val="21"/>
                <w:color w:val="000000"/>
              </w:rPr>
              <w:t>收缩率：</w:t>
            </w:r>
            <w:r>
              <w:rPr>
                <w:rFonts w:ascii="仿宋_GB2312" w:hAnsi="仿宋_GB2312" w:cs="仿宋_GB2312" w:eastAsia="仿宋_GB2312"/>
                <w:sz w:val="21"/>
                <w:color w:val="000000"/>
              </w:rPr>
              <w:t>28</w:t>
            </w:r>
            <w:r>
              <w:rPr>
                <w:rFonts w:ascii="仿宋_GB2312" w:hAnsi="仿宋_GB2312" w:cs="仿宋_GB2312" w:eastAsia="仿宋_GB2312"/>
                <w:sz w:val="21"/>
                <w:color w:val="000000"/>
              </w:rPr>
              <w:t>天收缩率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定制专用托架</w:t>
            </w:r>
          </w:p>
        </w:tc>
        <w:tc>
          <w:tcPr>
            <w:tcW w:type="dxa" w:w="5814"/>
          </w:tcPr>
          <w:p>
            <w:pPr>
              <w:pStyle w:val="null3"/>
              <w:jc w:val="left"/>
            </w:pPr>
            <w:r>
              <w:rPr>
                <w:rFonts w:ascii="仿宋_GB2312" w:hAnsi="仿宋_GB2312" w:cs="仿宋_GB2312" w:eastAsia="仿宋_GB2312"/>
                <w:sz w:val="21"/>
                <w:color w:val="000000"/>
              </w:rPr>
              <w:t>对</w:t>
            </w:r>
            <w:r>
              <w:rPr>
                <w:rFonts w:ascii="仿宋_GB2312" w:hAnsi="仿宋_GB2312" w:cs="仿宋_GB2312" w:eastAsia="仿宋_GB2312"/>
                <w:sz w:val="21"/>
                <w:color w:val="000000"/>
              </w:rPr>
              <w:t>34</w:t>
            </w:r>
            <w:r>
              <w:rPr>
                <w:rFonts w:ascii="仿宋_GB2312" w:hAnsi="仿宋_GB2312" w:cs="仿宋_GB2312" w:eastAsia="仿宋_GB2312"/>
                <w:sz w:val="21"/>
                <w:color w:val="000000"/>
              </w:rPr>
              <w:t>件石刻文物量身定制专用托架或支架，</w:t>
            </w:r>
            <w:r>
              <w:rPr>
                <w:rFonts w:ascii="仿宋_GB2312" w:hAnsi="仿宋_GB2312" w:cs="仿宋_GB2312" w:eastAsia="仿宋_GB2312"/>
                <w:sz w:val="21"/>
                <w:color w:val="000000"/>
              </w:rPr>
              <w:t>用于</w:t>
            </w:r>
            <w:r>
              <w:rPr>
                <w:rFonts w:ascii="仿宋_GB2312" w:hAnsi="仿宋_GB2312" w:cs="仿宋_GB2312" w:eastAsia="仿宋_GB2312"/>
                <w:sz w:val="21"/>
                <w:color w:val="000000"/>
              </w:rPr>
              <w:t>搬运和展出使用，要求：</w:t>
            </w:r>
            <w:r>
              <w:rPr>
                <w:rFonts w:ascii="仿宋_GB2312" w:hAnsi="仿宋_GB2312" w:cs="仿宋_GB2312" w:eastAsia="仿宋_GB2312"/>
                <w:sz w:val="21"/>
                <w:color w:val="000000"/>
              </w:rPr>
              <w:t>托架主体</w:t>
            </w:r>
            <w:r>
              <w:rPr>
                <w:rFonts w:ascii="仿宋_GB2312" w:hAnsi="仿宋_GB2312" w:cs="仿宋_GB2312" w:eastAsia="仿宋_GB2312"/>
                <w:sz w:val="21"/>
                <w:color w:val="000000"/>
              </w:rPr>
              <w:t>采用防腐木，</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3cm</w:t>
            </w:r>
            <w:r>
              <w:rPr>
                <w:rFonts w:ascii="仿宋_GB2312" w:hAnsi="仿宋_GB2312" w:cs="仿宋_GB2312" w:eastAsia="仿宋_GB2312"/>
                <w:sz w:val="21"/>
                <w:color w:val="000000"/>
              </w:rPr>
              <w:t>，支撑骨架角钢宽度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4cm</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4mm</w:t>
            </w:r>
            <w:r>
              <w:rPr>
                <w:rFonts w:ascii="仿宋_GB2312" w:hAnsi="仿宋_GB2312" w:cs="仿宋_GB2312" w:eastAsia="仿宋_GB2312"/>
                <w:sz w:val="21"/>
                <w:color w:val="000000"/>
              </w:rPr>
              <w:t>，</w:t>
            </w:r>
            <w:r>
              <w:rPr>
                <w:rFonts w:ascii="仿宋_GB2312" w:hAnsi="仿宋_GB2312" w:cs="仿宋_GB2312" w:eastAsia="仿宋_GB2312"/>
                <w:sz w:val="21"/>
                <w:color w:val="000000"/>
              </w:rPr>
              <w:t>托架的承重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000</w:t>
            </w:r>
            <w:r>
              <w:rPr>
                <w:rFonts w:ascii="仿宋_GB2312" w:hAnsi="仿宋_GB2312" w:cs="仿宋_GB2312" w:eastAsia="仿宋_GB2312"/>
                <w:sz w:val="21"/>
                <w:color w:val="000000"/>
              </w:rPr>
              <w:t>kg</w:t>
            </w:r>
            <w:r>
              <w:rPr>
                <w:rFonts w:ascii="仿宋_GB2312" w:hAnsi="仿宋_GB2312" w:cs="仿宋_GB2312" w:eastAsia="仿宋_GB2312"/>
                <w:sz w:val="21"/>
                <w:color w:val="000000"/>
              </w:rPr>
              <w:t>，托架表面</w:t>
            </w:r>
            <w:r>
              <w:rPr>
                <w:rFonts w:ascii="仿宋_GB2312" w:hAnsi="仿宋_GB2312" w:cs="仿宋_GB2312" w:eastAsia="仿宋_GB2312"/>
                <w:sz w:val="21"/>
                <w:color w:val="000000"/>
              </w:rPr>
              <w:t>增加</w:t>
            </w:r>
            <w:r>
              <w:rPr>
                <w:rFonts w:ascii="仿宋_GB2312" w:hAnsi="仿宋_GB2312" w:cs="仿宋_GB2312" w:eastAsia="仿宋_GB2312"/>
                <w:sz w:val="21"/>
                <w:color w:val="000000"/>
              </w:rPr>
              <w:t>缓冲层，增加两者间的结合度和稳定性。</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检测分析和前期研究</w:t>
            </w:r>
          </w:p>
        </w:tc>
        <w:tc>
          <w:tcPr>
            <w:tcW w:type="dxa" w:w="5814"/>
          </w:tcPr>
          <w:p>
            <w:pPr>
              <w:pStyle w:val="null3"/>
              <w:jc w:val="left"/>
            </w:pPr>
            <w:r>
              <w:rPr>
                <w:rFonts w:ascii="仿宋_GB2312" w:hAnsi="仿宋_GB2312" w:cs="仿宋_GB2312" w:eastAsia="仿宋_GB2312"/>
                <w:sz w:val="21"/>
                <w:color w:val="000000"/>
              </w:rPr>
              <w:t>保护修复工作实施前，应对文物本体及病害现状开展进一步的检测分析和试验，研究文物病害成因及风化机理，筛选保护技术及工艺，制定针对性的保护修复措施。</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本体预加固处理</w:t>
            </w:r>
          </w:p>
        </w:tc>
        <w:tc>
          <w:tcPr>
            <w:tcW w:type="dxa" w:w="5814"/>
          </w:tcPr>
          <w:p>
            <w:pPr>
              <w:pStyle w:val="null3"/>
              <w:jc w:val="left"/>
            </w:pPr>
            <w:r>
              <w:rPr>
                <w:rFonts w:ascii="仿宋_GB2312" w:hAnsi="仿宋_GB2312" w:cs="仿宋_GB2312" w:eastAsia="仿宋_GB2312"/>
                <w:sz w:val="21"/>
                <w:color w:val="000000"/>
              </w:rPr>
              <w:t>对与表面酥粉严重的石刻，应进行渗透加固处理，采用两种硅酸乙酯类材料，为有机硅类渗透加固补强材料，要求具备较好的渗透性、透气性、耐水性和哑光，以提高其抗风化能力。对空鼓的石刻，可结合采用渗透加固和灌浆两种方法。</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表面清洗、脱盐</w:t>
            </w:r>
          </w:p>
        </w:tc>
        <w:tc>
          <w:tcPr>
            <w:tcW w:type="dxa" w:w="5814"/>
          </w:tcPr>
          <w:p>
            <w:pPr>
              <w:pStyle w:val="null3"/>
              <w:jc w:val="both"/>
            </w:pPr>
            <w:r>
              <w:rPr>
                <w:rFonts w:ascii="仿宋_GB2312" w:hAnsi="仿宋_GB2312" w:cs="仿宋_GB2312" w:eastAsia="仿宋_GB2312"/>
                <w:sz w:val="21"/>
                <w:color w:val="000000"/>
              </w:rPr>
              <w:t>清洗：表面清理以手工机械为主，化学试剂为辅，清洗用水应使用去离子水，并控制清洗用水量，对于部分石刻表面还存在残留彩绘颜料，在清理过程中应采取保护措施。对于少量使用化学方法清洗的，之后必须用去离子水漂洗干净。</w:t>
            </w:r>
          </w:p>
          <w:p>
            <w:pPr>
              <w:pStyle w:val="null3"/>
              <w:jc w:val="left"/>
            </w:pPr>
            <w:r>
              <w:rPr>
                <w:rFonts w:ascii="仿宋_GB2312" w:hAnsi="仿宋_GB2312" w:cs="仿宋_GB2312" w:eastAsia="仿宋_GB2312"/>
                <w:sz w:val="21"/>
                <w:color w:val="000000"/>
              </w:rPr>
              <w:t>脱盐：采用纸浆贴敷脱盐法进行脱盐处理。脱盐后石刻表面盐分含量应小于</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拼接补配</w:t>
            </w:r>
          </w:p>
        </w:tc>
        <w:tc>
          <w:tcPr>
            <w:tcW w:type="dxa" w:w="5814"/>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拼接补配</w:t>
            </w:r>
            <w:r>
              <w:rPr>
                <w:rFonts w:ascii="仿宋_GB2312" w:hAnsi="仿宋_GB2312" w:cs="仿宋_GB2312" w:eastAsia="仿宋_GB2312"/>
                <w:sz w:val="21"/>
                <w:color w:val="000000"/>
              </w:rPr>
              <w:t>：</w:t>
            </w:r>
            <w:r>
              <w:rPr>
                <w:rFonts w:ascii="仿宋_GB2312" w:hAnsi="仿宋_GB2312" w:cs="仿宋_GB2312" w:eastAsia="仿宋_GB2312"/>
                <w:sz w:val="21"/>
                <w:color w:val="000000"/>
              </w:rPr>
              <w:t>应遵循最小干预和可再处理原则，需补配的部位应有据可依，补配选用的材料应安全、成熟、可靠，选用的工艺以传统工艺为主，并符合文物保护基本原则。</w:t>
            </w:r>
          </w:p>
          <w:p>
            <w:pPr>
              <w:pStyle w:val="null3"/>
              <w:jc w:val="left"/>
            </w:pPr>
            <w:r>
              <w:rPr>
                <w:rFonts w:ascii="仿宋_GB2312" w:hAnsi="仿宋_GB2312" w:cs="仿宋_GB2312" w:eastAsia="仿宋_GB2312"/>
                <w:sz w:val="20"/>
                <w:color w:val="000000"/>
              </w:rPr>
              <w:t>回贴修补：这批石刻风化严重，层片状剥落和局部缺失较多，为了保持文物的完整性，需进行回贴、修补处理，并且修补时要有据可依，使用的材料和工艺也要尊重文物原材料、原工艺。文物表面片状、块状脱落部分，将脱落位置清洁处理后，采用环氧树脂胶进行回贴、归位，并施加一定外力，确保在粘接剂固化前回贴物不会脱落。文物表面缺失部位，主要采用传统工艺和现代材料相结合方法，进行有依据的修补，缺失较小部位直接采用修复砂浆修补，缺失较大部位采用接近砂岩材料的修复砂浆进行塑形、粘接和补缝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粘接锚固</w:t>
            </w:r>
          </w:p>
        </w:tc>
        <w:tc>
          <w:tcPr>
            <w:tcW w:type="dxa" w:w="5814"/>
          </w:tcPr>
          <w:p>
            <w:pPr>
              <w:pStyle w:val="null3"/>
              <w:jc w:val="left"/>
            </w:pPr>
            <w:r>
              <w:rPr>
                <w:rFonts w:ascii="仿宋_GB2312" w:hAnsi="仿宋_GB2312" w:cs="仿宋_GB2312" w:eastAsia="仿宋_GB2312"/>
                <w:sz w:val="21"/>
                <w:color w:val="000000"/>
              </w:rPr>
              <w:t>粘接材料以环氧树脂为主，粘接前宜进行隔离处理，为今后再处理留下余地。根据文物的具体病害状况，可采取锚杆与粘接剂共同加固的方式增加本体强度；锚固材料应选用不锈钢材质，锚杆直径根据石刻断裂面大小宽度进行适当选择，</w:t>
            </w:r>
            <w:r>
              <w:rPr>
                <w:rFonts w:ascii="仿宋_GB2312" w:hAnsi="仿宋_GB2312" w:cs="仿宋_GB2312" w:eastAsia="仿宋_GB2312"/>
                <w:sz w:val="21"/>
                <w:color w:val="000000"/>
              </w:rPr>
              <w:t>范围在</w:t>
            </w:r>
            <w:r>
              <w:rPr>
                <w:rFonts w:ascii="仿宋_GB2312" w:hAnsi="仿宋_GB2312" w:cs="仿宋_GB2312" w:eastAsia="仿宋_GB2312"/>
                <w:sz w:val="21"/>
                <w:color w:val="000000"/>
              </w:rPr>
              <w:t>6-12mm</w:t>
            </w:r>
            <w:r>
              <w:rPr>
                <w:rFonts w:ascii="仿宋_GB2312" w:hAnsi="仿宋_GB2312" w:cs="仿宋_GB2312" w:eastAsia="仿宋_GB2312"/>
                <w:sz w:val="21"/>
                <w:color w:val="000000"/>
              </w:rPr>
              <w:t>，钻孔深度控制在</w:t>
            </w:r>
            <w:r>
              <w:rPr>
                <w:rFonts w:ascii="仿宋_GB2312" w:hAnsi="仿宋_GB2312" w:cs="仿宋_GB2312" w:eastAsia="仿宋_GB2312"/>
                <w:sz w:val="21"/>
                <w:color w:val="000000"/>
              </w:rPr>
              <w:t>5-15cm</w:t>
            </w:r>
            <w:r>
              <w:rPr>
                <w:rFonts w:ascii="仿宋_GB2312" w:hAnsi="仿宋_GB2312" w:cs="仿宋_GB2312" w:eastAsia="仿宋_GB2312"/>
                <w:sz w:val="21"/>
                <w:color w:val="000000"/>
              </w:rPr>
              <w:t>，锚杆间距控制在</w:t>
            </w:r>
            <w:r>
              <w:rPr>
                <w:rFonts w:ascii="仿宋_GB2312" w:hAnsi="仿宋_GB2312" w:cs="仿宋_GB2312" w:eastAsia="仿宋_GB2312"/>
                <w:sz w:val="21"/>
                <w:color w:val="000000"/>
              </w:rPr>
              <w:t>10-15cm</w:t>
            </w:r>
            <w:r>
              <w:rPr>
                <w:rFonts w:ascii="仿宋_GB2312" w:hAnsi="仿宋_GB2312" w:cs="仿宋_GB2312" w:eastAsia="仿宋_GB2312"/>
                <w:sz w:val="21"/>
                <w:color w:val="000000"/>
              </w:rPr>
              <w:t>。</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加固封护</w:t>
            </w:r>
          </w:p>
        </w:tc>
        <w:tc>
          <w:tcPr>
            <w:tcW w:type="dxa" w:w="5814"/>
          </w:tcPr>
          <w:p>
            <w:pPr>
              <w:pStyle w:val="null3"/>
              <w:jc w:val="left"/>
            </w:pPr>
            <w:r>
              <w:rPr>
                <w:rFonts w:ascii="仿宋_GB2312" w:hAnsi="仿宋_GB2312" w:cs="仿宋_GB2312" w:eastAsia="仿宋_GB2312"/>
                <w:sz w:val="21"/>
                <w:color w:val="000000"/>
              </w:rPr>
              <w:t>采用硅酸乙酯类材料，要求具备一定的渗透性、透气性、耐水性和哑光，具有较好的加固效果，工艺要求表面施工均匀、没砂砾、没流痕、不堆积。</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协色</w:t>
            </w:r>
          </w:p>
        </w:tc>
        <w:tc>
          <w:tcPr>
            <w:tcW w:type="dxa" w:w="5814"/>
          </w:tcPr>
          <w:p>
            <w:pPr>
              <w:pStyle w:val="null3"/>
              <w:jc w:val="left"/>
            </w:pPr>
            <w:r>
              <w:rPr>
                <w:rFonts w:ascii="仿宋_GB2312" w:hAnsi="仿宋_GB2312" w:cs="仿宋_GB2312" w:eastAsia="仿宋_GB2312"/>
                <w:sz w:val="21"/>
                <w:color w:val="000000"/>
              </w:rPr>
              <w:t>采用矿物颜料或丙烯颜料，配合加固剂混合均匀后，作为做旧材料，均匀地涂覆在文物表面</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要求做到修旧如旧，协调一致。</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保护修复档案整理</w:t>
            </w:r>
          </w:p>
        </w:tc>
        <w:tc>
          <w:tcPr>
            <w:tcW w:type="dxa" w:w="5814"/>
          </w:tcPr>
          <w:p>
            <w:pPr>
              <w:pStyle w:val="null3"/>
              <w:jc w:val="left"/>
            </w:pPr>
            <w:r>
              <w:rPr>
                <w:rFonts w:ascii="仿宋_GB2312" w:hAnsi="仿宋_GB2312" w:cs="仿宋_GB2312" w:eastAsia="仿宋_GB2312"/>
                <w:sz w:val="21"/>
                <w:color w:val="000000"/>
              </w:rPr>
              <w:t>参照《馆藏砖石文物保护修复记录规范</w:t>
            </w:r>
            <w:r>
              <w:rPr>
                <w:rFonts w:ascii="仿宋_GB2312" w:hAnsi="仿宋_GB2312" w:cs="仿宋_GB2312" w:eastAsia="仿宋_GB2312"/>
                <w:sz w:val="21"/>
                <w:color w:val="000000"/>
              </w:rPr>
              <w:t>GB/T 33289-2016</w:t>
            </w:r>
            <w:r>
              <w:rPr>
                <w:rFonts w:ascii="仿宋_GB2312" w:hAnsi="仿宋_GB2312" w:cs="仿宋_GB2312" w:eastAsia="仿宋_GB2312"/>
                <w:sz w:val="21"/>
                <w:color w:val="000000"/>
              </w:rPr>
              <w:t>》要求，完成修复档案的记录和保护修复报告提交。</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修复原则</w:t>
            </w:r>
          </w:p>
        </w:tc>
        <w:tc>
          <w:tcPr>
            <w:tcW w:type="dxa" w:w="5814"/>
          </w:tcPr>
          <w:p>
            <w:pPr>
              <w:pStyle w:val="null3"/>
              <w:jc w:val="left"/>
            </w:pPr>
            <w:r>
              <w:rPr>
                <w:rFonts w:ascii="仿宋_GB2312" w:hAnsi="仿宋_GB2312" w:cs="仿宋_GB2312" w:eastAsia="仿宋_GB2312"/>
                <w:sz w:val="20"/>
                <w:color w:val="000000"/>
              </w:rPr>
              <w:t>真实性、可识别性、最小干预、可再处理、修旧如旧、渐进可控、传统修复方法与现代科技保护相结合、科学保护与有效利用、保护材料安全环保原则。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风险评估</w:t>
            </w:r>
          </w:p>
        </w:tc>
        <w:tc>
          <w:tcPr>
            <w:tcW w:type="dxa" w:w="5814"/>
          </w:tcPr>
          <w:p>
            <w:pPr>
              <w:pStyle w:val="null3"/>
              <w:jc w:val="left"/>
            </w:pPr>
            <w:r>
              <w:rPr>
                <w:rFonts w:ascii="仿宋_GB2312" w:hAnsi="仿宋_GB2312" w:cs="仿宋_GB2312" w:eastAsia="仿宋_GB2312"/>
                <w:sz w:val="20"/>
                <w:color w:val="000000"/>
              </w:rPr>
              <w:t>在具体修复实施时，要根据文物的实际情况采取有针对性的措施，细化操作步骤，将传统工艺和现代科学技术相结合，最大限度减少保护性的损伤。此外，本方案遴选的技术方法不能保证始终具有先进性，可能会随着科技进步被新的技术和材料所替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防范措施</w:t>
            </w:r>
          </w:p>
        </w:tc>
        <w:tc>
          <w:tcPr>
            <w:tcW w:type="dxa" w:w="5814"/>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1）保护修复开始前，首先定制专用的石刻托架或支架，便于修复时拼接固定和后期搬运，并对风化严重的石刻进行预处理，避免在修复过程中出现新的损伤。</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2）对于体积大而重的断裂石刻，若必要用打孔锚固时，应在粘接钻孔之前先测量好打孔距离，确保打孔后的对接面相吻合。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3）在实际操作时，根据每件文物的具体情况，采取有针对性的措施，并由具备实际操作经验的保护修复专业技术人员实施。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4）文物保护修复过程中遇到的疑难问题，应先做局部实验，并请专家论证后方可进行技术实施。实施后也要随时跟踪观察，便于发现问题及时纠正，将损失控制在最小范围。</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安全措施</w:t>
            </w:r>
          </w:p>
        </w:tc>
        <w:tc>
          <w:tcPr>
            <w:tcW w:type="dxa" w:w="5814"/>
          </w:tcPr>
          <w:p>
            <w:pPr>
              <w:pStyle w:val="null3"/>
              <w:ind w:left="13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1）人员安全</w:t>
            </w:r>
          </w:p>
          <w:p>
            <w:pPr>
              <w:pStyle w:val="null3"/>
              <w:jc w:val="both"/>
            </w:pPr>
            <w:r>
              <w:rPr>
                <w:rFonts w:ascii="仿宋_GB2312" w:hAnsi="仿宋_GB2312" w:cs="仿宋_GB2312" w:eastAsia="仿宋_GB2312"/>
                <w:sz w:val="20"/>
                <w:color w:val="000000"/>
              </w:rPr>
              <w:t>本方案设计中使用的加固剂、粘结剂的溶剂或稀释剂为有机试剂，部分有机溶剂具有一定刺激性，在保护修复现场，应避免因化学试剂的使用造成对人体的危害。操作过程中须做好人员防护，</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戴上口罩和手套，避免直接接触或呼入化学试剂而引起身体不适。保护修复工作场所的空气质量，应符合《室内空气质量标准</w:t>
            </w:r>
            <w:r>
              <w:rPr>
                <w:rFonts w:ascii="仿宋_GB2312" w:hAnsi="仿宋_GB2312" w:cs="仿宋_GB2312" w:eastAsia="仿宋_GB2312"/>
                <w:sz w:val="20"/>
                <w:color w:val="000000"/>
              </w:rPr>
              <w:t>GB/T 18883-2022</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2）文物安全</w:t>
            </w:r>
          </w:p>
          <w:p>
            <w:pPr>
              <w:pStyle w:val="null3"/>
              <w:jc w:val="both"/>
            </w:pPr>
            <w:r>
              <w:rPr>
                <w:rFonts w:ascii="仿宋_GB2312" w:hAnsi="仿宋_GB2312" w:cs="仿宋_GB2312" w:eastAsia="仿宋_GB2312"/>
                <w:sz w:val="20"/>
                <w:color w:val="000000"/>
              </w:rPr>
              <w:t>① 在保护修复工作现场，</w:t>
            </w:r>
            <w:r>
              <w:rPr>
                <w:rFonts w:ascii="仿宋_GB2312" w:hAnsi="仿宋_GB2312" w:cs="仿宋_GB2312" w:eastAsia="仿宋_GB2312"/>
                <w:sz w:val="20"/>
                <w:color w:val="000000"/>
              </w:rPr>
              <w:t>具</w:t>
            </w:r>
            <w:r>
              <w:rPr>
                <w:rFonts w:ascii="仿宋_GB2312" w:hAnsi="仿宋_GB2312" w:cs="仿宋_GB2312" w:eastAsia="仿宋_GB2312"/>
                <w:sz w:val="20"/>
                <w:color w:val="000000"/>
              </w:rPr>
              <w:t>有完善的安防措施，通过安装监控设备，严密监控文物修复的各个流程，并建立安全责任制，落实专人时刻注意文物安全，特别是在文物搬动、挪移时需仔细小心，防止文物安全事件发生。</w:t>
            </w:r>
          </w:p>
          <w:p>
            <w:pPr>
              <w:pStyle w:val="null3"/>
              <w:jc w:val="both"/>
            </w:pPr>
            <w:r>
              <w:rPr>
                <w:rFonts w:ascii="仿宋_GB2312" w:hAnsi="仿宋_GB2312" w:cs="仿宋_GB2312" w:eastAsia="仿宋_GB2312"/>
                <w:sz w:val="20"/>
                <w:color w:val="000000"/>
              </w:rPr>
              <w:t>② 在文物保护修复过程中，严格挑选项目实施人员，以文物安全为首要考虑因素，选择有文物保护修复实际工作经验的人员进行保护修复工作。</w:t>
            </w:r>
          </w:p>
          <w:p>
            <w:pPr>
              <w:pStyle w:val="null3"/>
              <w:jc w:val="both"/>
            </w:pPr>
            <w:r>
              <w:rPr>
                <w:rFonts w:ascii="仿宋_GB2312" w:hAnsi="仿宋_GB2312" w:cs="仿宋_GB2312" w:eastAsia="仿宋_GB2312"/>
                <w:sz w:val="20"/>
                <w:color w:val="000000"/>
              </w:rPr>
              <w:t>③ 文物保护修复所用材料及药品属于易燃易爆物，须专人专管，</w:t>
            </w:r>
            <w:r>
              <w:rPr>
                <w:rFonts w:ascii="仿宋_GB2312" w:hAnsi="仿宋_GB2312" w:cs="仿宋_GB2312" w:eastAsia="仿宋_GB2312"/>
                <w:sz w:val="20"/>
                <w:color w:val="000000"/>
              </w:rPr>
              <w:t>严格落实危化品管理要求</w:t>
            </w:r>
            <w:r>
              <w:rPr>
                <w:rFonts w:ascii="仿宋_GB2312" w:hAnsi="仿宋_GB2312" w:cs="仿宋_GB2312" w:eastAsia="仿宋_GB2312"/>
                <w:sz w:val="20"/>
                <w:color w:val="000000"/>
              </w:rPr>
              <w:t>。修复场地内禁止携带火种，通过配置消防灭火专用器材、建造消防沙坑、储备消防用水等措施，确保这批文物在保护修复过程中，无安全隐患。</w:t>
            </w:r>
          </w:p>
          <w:p>
            <w:pPr>
              <w:pStyle w:val="null3"/>
              <w:ind w:left="13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3）环境安全</w:t>
            </w:r>
          </w:p>
          <w:p>
            <w:pPr>
              <w:pStyle w:val="null3"/>
              <w:ind w:firstLine="400"/>
              <w:jc w:val="both"/>
            </w:pPr>
            <w:r>
              <w:rPr>
                <w:rFonts w:ascii="仿宋_GB2312" w:hAnsi="仿宋_GB2312" w:cs="仿宋_GB2312" w:eastAsia="仿宋_GB2312"/>
                <w:sz w:val="20"/>
                <w:color w:val="000000"/>
              </w:rPr>
              <w:t>尽量避免使用产生有害材料、有害气体等对环境不利的化学试剂，因有机溶剂多数具有易燃易爆等特点，在操作过程中应注意通风、透气和防火措施。在保护修复过程中产生的化学试剂、废弃材料等，应集中存放与统一管理，并尽量回收利用，对于无法回收再利用的，经处理后再排放，以减少对环境的影响。保护修复工作场所排放的污水，应符合《污水综合排放标准</w:t>
            </w:r>
            <w:r>
              <w:rPr>
                <w:rFonts w:ascii="仿宋_GB2312" w:hAnsi="仿宋_GB2312" w:cs="仿宋_GB2312" w:eastAsia="仿宋_GB2312"/>
                <w:sz w:val="20"/>
                <w:color w:val="000000"/>
              </w:rPr>
              <w:t>GB 8978-1996》。</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4）其他</w:t>
            </w:r>
          </w:p>
          <w:p>
            <w:pPr>
              <w:pStyle w:val="null3"/>
              <w:jc w:val="left"/>
            </w:pPr>
            <w:r>
              <w:rPr>
                <w:rFonts w:ascii="仿宋_GB2312" w:hAnsi="仿宋_GB2312" w:cs="仿宋_GB2312" w:eastAsia="仿宋_GB2312"/>
                <w:sz w:val="20"/>
                <w:color w:val="000000"/>
              </w:rPr>
              <w:t>在合同期内，供应商应严格执行国家安全生产法律法规要求。本项目在实施过程中，验收合格前所发生的一切安全事故均由供应商承担相应后果，与采购人无关。</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在响应文件中提供承诺函并进行电子签章</w:t>
            </w:r>
            <w:r>
              <w:rPr>
                <w:rFonts w:ascii="仿宋_GB2312" w:hAnsi="仿宋_GB2312" w:cs="仿宋_GB2312" w:eastAsia="仿宋_GB2312"/>
                <w:sz w:val="21"/>
                <w:b/>
                <w:color w:val="000000"/>
              </w:rPr>
              <w:t>）</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0"/>
                <w:color w:val="000000"/>
              </w:rPr>
              <w:t>供应商具有相关类似项目履约经验。</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人员配置</w:t>
            </w:r>
          </w:p>
        </w:tc>
        <w:tc>
          <w:tcPr>
            <w:tcW w:type="dxa" w:w="5814"/>
          </w:tcPr>
          <w:p>
            <w:pPr>
              <w:pStyle w:val="null3"/>
              <w:jc w:val="left"/>
            </w:pPr>
            <w:r>
              <w:rPr>
                <w:rFonts w:ascii="仿宋_GB2312" w:hAnsi="仿宋_GB2312" w:cs="仿宋_GB2312" w:eastAsia="仿宋_GB2312"/>
                <w:sz w:val="20"/>
                <w:color w:val="000000"/>
              </w:rPr>
              <w:t>供应商为本项目配备的人员包括：项目负责人</w:t>
            </w:r>
            <w:r>
              <w:rPr>
                <w:rFonts w:ascii="仿宋_GB2312" w:hAnsi="仿宋_GB2312" w:cs="仿宋_GB2312" w:eastAsia="仿宋_GB2312"/>
                <w:sz w:val="20"/>
                <w:color w:val="000000"/>
              </w:rPr>
              <w:t>1人、技术负责人 1 人、其他人员 4 人。</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sz w:val="20"/>
                <w:color w:val="000000"/>
              </w:rPr>
              <w:t>供应商提供的服务方案，包括：</w:t>
            </w:r>
            <w:r>
              <w:rPr>
                <w:rFonts w:ascii="仿宋_GB2312" w:hAnsi="仿宋_GB2312" w:cs="仿宋_GB2312" w:eastAsia="仿宋_GB2312"/>
                <w:sz w:val="20"/>
                <w:color w:val="000000"/>
              </w:rPr>
              <w:t>①项目总体思路和理解；②文物保护修复分析与风险评估；③保护修复工作原则和目标；④保护修复工作的技术路线及操作步骤；⑤保护修复过程中可能出现的重难点分析及应对措施；⑥项目进度安排及保障措施；⑦保护修复工作的质量保障措施；⑧实施过程管理及制度；⑨文物安全风险防控方案。</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后续服务方案</w:t>
            </w:r>
          </w:p>
        </w:tc>
        <w:tc>
          <w:tcPr>
            <w:tcW w:type="dxa" w:w="5814"/>
          </w:tcPr>
          <w:p>
            <w:pPr>
              <w:pStyle w:val="null3"/>
              <w:jc w:val="left"/>
            </w:pPr>
            <w:r>
              <w:rPr>
                <w:rFonts w:ascii="仿宋_GB2312" w:hAnsi="仿宋_GB2312" w:cs="仿宋_GB2312" w:eastAsia="仿宋_GB2312"/>
                <w:sz w:val="21"/>
                <w:color w:val="000000"/>
              </w:rPr>
              <w:t>供应商提供</w:t>
            </w:r>
            <w:r>
              <w:rPr>
                <w:rFonts w:ascii="仿宋_GB2312" w:hAnsi="仿宋_GB2312" w:cs="仿宋_GB2312" w:eastAsia="仿宋_GB2312"/>
                <w:sz w:val="21"/>
                <w:color w:val="000000"/>
              </w:rPr>
              <w:t>的</w:t>
            </w:r>
            <w:r>
              <w:rPr>
                <w:rFonts w:ascii="仿宋_GB2312" w:hAnsi="仿宋_GB2312" w:cs="仿宋_GB2312" w:eastAsia="仿宋_GB2312"/>
                <w:sz w:val="21"/>
                <w:color w:val="000000"/>
              </w:rPr>
              <w:t>后续服务，包括：</w:t>
            </w:r>
            <w:r>
              <w:rPr>
                <w:rFonts w:ascii="仿宋_GB2312" w:hAnsi="仿宋_GB2312" w:cs="仿宋_GB2312" w:eastAsia="仿宋_GB2312"/>
                <w:sz w:val="20"/>
                <w:color w:val="000000"/>
              </w:rPr>
              <w:t>①</w:t>
            </w:r>
            <w:r>
              <w:rPr>
                <w:rFonts w:ascii="仿宋_GB2312" w:hAnsi="仿宋_GB2312" w:cs="仿宋_GB2312" w:eastAsia="仿宋_GB2312"/>
                <w:sz w:val="21"/>
                <w:color w:val="000000"/>
              </w:rPr>
              <w:t>后续</w:t>
            </w:r>
            <w:r>
              <w:rPr>
                <w:rFonts w:ascii="仿宋_GB2312" w:hAnsi="仿宋_GB2312" w:cs="仿宋_GB2312" w:eastAsia="仿宋_GB2312"/>
                <w:sz w:val="20"/>
                <w:color w:val="000000"/>
              </w:rPr>
              <w:t>服务计划；</w:t>
            </w:r>
            <w:r>
              <w:rPr>
                <w:rFonts w:ascii="仿宋_GB2312" w:hAnsi="仿宋_GB2312" w:cs="仿宋_GB2312" w:eastAsia="仿宋_GB2312"/>
                <w:sz w:val="20"/>
                <w:color w:val="000000"/>
              </w:rPr>
              <w:t>②</w:t>
            </w:r>
            <w:r>
              <w:rPr>
                <w:rFonts w:ascii="仿宋_GB2312" w:hAnsi="仿宋_GB2312" w:cs="仿宋_GB2312" w:eastAsia="仿宋_GB2312"/>
                <w:sz w:val="21"/>
                <w:color w:val="000000"/>
              </w:rPr>
              <w:t>后续</w:t>
            </w:r>
            <w:r>
              <w:rPr>
                <w:rFonts w:ascii="仿宋_GB2312" w:hAnsi="仿宋_GB2312" w:cs="仿宋_GB2312" w:eastAsia="仿宋_GB2312"/>
                <w:sz w:val="20"/>
                <w:color w:val="000000"/>
              </w:rPr>
              <w:t>服务内容和流程；</w:t>
            </w:r>
            <w:r>
              <w:rPr>
                <w:rFonts w:ascii="仿宋_GB2312" w:hAnsi="仿宋_GB2312" w:cs="仿宋_GB2312" w:eastAsia="仿宋_GB2312"/>
                <w:sz w:val="20"/>
                <w:color w:val="000000"/>
              </w:rPr>
              <w:t>③</w:t>
            </w:r>
            <w:r>
              <w:rPr>
                <w:rFonts w:ascii="仿宋_GB2312" w:hAnsi="仿宋_GB2312" w:cs="仿宋_GB2312" w:eastAsia="仿宋_GB2312"/>
                <w:sz w:val="21"/>
                <w:color w:val="000000"/>
              </w:rPr>
              <w:t>后续</w:t>
            </w:r>
            <w:r>
              <w:rPr>
                <w:rFonts w:ascii="仿宋_GB2312" w:hAnsi="仿宋_GB2312" w:cs="仿宋_GB2312" w:eastAsia="仿宋_GB2312"/>
                <w:sz w:val="20"/>
                <w:color w:val="000000"/>
              </w:rPr>
              <w:t>服务响应时间和质量；</w:t>
            </w:r>
            <w:r>
              <w:rPr>
                <w:rFonts w:ascii="仿宋_GB2312" w:hAnsi="仿宋_GB2312" w:cs="仿宋_GB2312" w:eastAsia="仿宋_GB2312"/>
                <w:sz w:val="20"/>
                <w:color w:val="000000"/>
              </w:rPr>
              <w:t>④</w:t>
            </w:r>
            <w:r>
              <w:rPr>
                <w:rFonts w:ascii="仿宋_GB2312" w:hAnsi="仿宋_GB2312" w:cs="仿宋_GB2312" w:eastAsia="仿宋_GB2312"/>
                <w:sz w:val="21"/>
                <w:color w:val="000000"/>
              </w:rPr>
              <w:t>后续</w:t>
            </w:r>
            <w:r>
              <w:rPr>
                <w:rFonts w:ascii="仿宋_GB2312" w:hAnsi="仿宋_GB2312" w:cs="仿宋_GB2312" w:eastAsia="仿宋_GB2312"/>
                <w:sz w:val="20"/>
                <w:color w:val="000000"/>
              </w:rPr>
              <w:t>服务机构和人员；</w:t>
            </w:r>
            <w:r>
              <w:rPr>
                <w:rFonts w:ascii="仿宋_GB2312" w:hAnsi="仿宋_GB2312" w:cs="仿宋_GB2312" w:eastAsia="仿宋_GB2312"/>
                <w:sz w:val="20"/>
                <w:color w:val="000000"/>
              </w:rPr>
              <w:t>⑤</w:t>
            </w:r>
            <w:r>
              <w:rPr>
                <w:rFonts w:ascii="仿宋_GB2312" w:hAnsi="仿宋_GB2312" w:cs="仿宋_GB2312" w:eastAsia="仿宋_GB2312"/>
                <w:sz w:val="21"/>
                <w:color w:val="000000"/>
              </w:rPr>
              <w:t>后续</w:t>
            </w:r>
            <w:r>
              <w:rPr>
                <w:rFonts w:ascii="仿宋_GB2312" w:hAnsi="仿宋_GB2312" w:cs="仿宋_GB2312" w:eastAsia="仿宋_GB2312"/>
                <w:sz w:val="20"/>
                <w:color w:val="000000"/>
              </w:rPr>
              <w:t>服务承诺。</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pPr>
              <w:pStyle w:val="null3"/>
              <w:jc w:val="left"/>
            </w:pPr>
            <w:r>
              <w:rPr>
                <w:rFonts w:ascii="仿宋_GB2312" w:hAnsi="仿宋_GB2312" w:cs="仿宋_GB2312" w:eastAsia="仿宋_GB2312"/>
              </w:rPr>
              <w:t>34件文物基本情况</w:t>
            </w:r>
          </w:p>
        </w:tc>
        <w:tc>
          <w:tcPr>
            <w:tcW w:type="dxa" w:w="5814"/>
          </w:tcPr>
          <w:p>
            <w:pPr>
              <w:pStyle w:val="null3"/>
              <w:jc w:val="left"/>
            </w:pPr>
            <w:r>
              <w:rPr>
                <w:rFonts w:ascii="仿宋_GB2312" w:hAnsi="仿宋_GB2312" w:cs="仿宋_GB2312" w:eastAsia="仿宋_GB2312"/>
                <w:sz w:val="21"/>
              </w:rPr>
              <w:t>本项目附件《</w:t>
            </w:r>
            <w:r>
              <w:rPr>
                <w:rFonts w:ascii="仿宋_GB2312" w:hAnsi="仿宋_GB2312" w:cs="仿宋_GB2312" w:eastAsia="仿宋_GB2312"/>
                <w:sz w:val="21"/>
              </w:rPr>
              <w:t xml:space="preserve">34 </w:t>
            </w:r>
            <w:r>
              <w:rPr>
                <w:rFonts w:ascii="仿宋_GB2312" w:hAnsi="仿宋_GB2312" w:cs="仿宋_GB2312" w:eastAsia="仿宋_GB2312"/>
                <w:sz w:val="21"/>
              </w:rPr>
              <w:t>件宋代石刻文物基本情况汇总表》（含</w:t>
            </w:r>
            <w:r>
              <w:rPr>
                <w:rFonts w:ascii="仿宋_GB2312" w:hAnsi="仿宋_GB2312" w:cs="仿宋_GB2312" w:eastAsia="仿宋_GB2312"/>
                <w:sz w:val="21"/>
              </w:rPr>
              <w:t>藏品</w:t>
            </w:r>
            <w:r>
              <w:rPr>
                <w:rFonts w:ascii="仿宋_GB2312" w:hAnsi="仿宋_GB2312" w:cs="仿宋_GB2312" w:eastAsia="仿宋_GB2312"/>
                <w:sz w:val="21"/>
              </w:rPr>
              <w:t>编号、</w:t>
            </w:r>
            <w:r>
              <w:rPr>
                <w:rFonts w:ascii="仿宋_GB2312" w:hAnsi="仿宋_GB2312" w:cs="仿宋_GB2312" w:eastAsia="仿宋_GB2312"/>
                <w:sz w:val="21"/>
              </w:rPr>
              <w:t>名称、尺寸、病害类型、病害程度、文物级别</w:t>
            </w:r>
            <w:r>
              <w:rPr>
                <w:rFonts w:ascii="仿宋_GB2312" w:hAnsi="仿宋_GB2312" w:cs="仿宋_GB2312" w:eastAsia="仿宋_GB2312"/>
                <w:sz w:val="21"/>
              </w:rPr>
              <w:t>），仅为各供应商编制</w:t>
            </w:r>
            <w:r>
              <w:rPr>
                <w:rFonts w:ascii="仿宋_GB2312" w:hAnsi="仿宋_GB2312" w:cs="仿宋_GB2312" w:eastAsia="仿宋_GB2312"/>
                <w:sz w:val="21"/>
              </w:rPr>
              <w:t>响应</w:t>
            </w:r>
            <w:r>
              <w:rPr>
                <w:rFonts w:ascii="仿宋_GB2312" w:hAnsi="仿宋_GB2312" w:cs="仿宋_GB2312" w:eastAsia="仿宋_GB2312"/>
                <w:sz w:val="21"/>
              </w:rPr>
              <w:t>文件提供参考依据</w:t>
            </w:r>
            <w:r>
              <w:rPr>
                <w:rFonts w:ascii="仿宋_GB2312" w:hAnsi="仿宋_GB2312" w:cs="仿宋_GB2312" w:eastAsia="仿宋_GB2312"/>
                <w:sz w:val="21"/>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签订合同之日起540日内完成。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合江县博物馆、白米镇转龙坝菜河园、大石坝小学校。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一、验收组织方式： 采购包1： 自行验收 二、是否邀请本项目的其他供应商： 采购包1： 否 三、是否邀请专家： 采购包1： 是 四、是否邀请服务对象： 采购包1： 否 五、是否邀请第三方检测机构： 采购包1： 否 六、履约验收程序： 采购包1： 分段/分期验收 七、履约验收时间： 采购包1： 1、 验收条件说明： 完成合同内容并通过市级初验合格后 ，达到验收条件起 30 日内，验收合同总金额的 80%； 2、 验收条件说明： 通过省级终验合格后 ，达到验收条件起 30 日内，验收合同总金额的 17%； 3、 验收条件说明： 验收合格一年后 ，达到验收条件起 30 日内，验收合同总金额的 3%； 八、验收组织的其他事项： 采购包1： 无。 九、技术履约验收内容： 采购包1： 本项目采购人将严格按照本项目采购文件中“技术要求及服务要求”及成交供应商响应文件进行验收。 十、商务履约验收内容： 采购包1： 本项目采购人将严格按照本项目采购文件中“商务要求”及成交供应商响应文件进行验收。 十一、履约验收标准： 采购包1： 本项目采购人将严格按照《财政部关于进一步加强政府采购需求和履约验收管理的指导意见》（财库【2016】205 号）、财政部《政府采购需求管理办法》财库【2021】22号的要求及本行业国家现行标准、规范的要求；磋商文件要求（或响应文件的响应或承诺）以及合同的要求进行验收。 十二、履约验收其他事项： 采购包1： 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1、成交供应商进场提供服务起，达到付款条件起30日内，支付合同总金额的30.00%</w:t>
            </w:r>
          </w:p>
          <w:p>
            <w:pPr>
              <w:pStyle w:val="null3"/>
              <w:jc w:val="left"/>
            </w:pPr>
            <w:r>
              <w:rPr>
                <w:rFonts w:ascii="仿宋_GB2312" w:hAnsi="仿宋_GB2312" w:cs="仿宋_GB2312" w:eastAsia="仿宋_GB2312"/>
              </w:rPr>
              <w:t>2、完成合同内容并通过市级初验合格后，达到付款条件起30日内，支付合同总金额的50.00%</w:t>
            </w:r>
          </w:p>
          <w:p>
            <w:pPr>
              <w:pStyle w:val="null3"/>
              <w:jc w:val="left"/>
            </w:pPr>
            <w:r>
              <w:rPr>
                <w:rFonts w:ascii="仿宋_GB2312" w:hAnsi="仿宋_GB2312" w:cs="仿宋_GB2312" w:eastAsia="仿宋_GB2312"/>
              </w:rPr>
              <w:t>3、通过省级终验合格后，达到付款条件起30日内，支付合同总金额的17.00%</w:t>
            </w:r>
          </w:p>
          <w:p>
            <w:pPr>
              <w:pStyle w:val="null3"/>
              <w:jc w:val="left"/>
            </w:pPr>
            <w:r>
              <w:rPr>
                <w:rFonts w:ascii="仿宋_GB2312" w:hAnsi="仿宋_GB2312" w:cs="仿宋_GB2312" w:eastAsia="仿宋_GB2312"/>
              </w:rPr>
              <w:t>4、剩余款项在验收合格一年后，达到付款条件起30日内，支付合同总金额的3.00%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1.采购人与成交供应商双方必须遵守合同并执行合同中的各项规定，保证合同的正常履行。 2.如因成交供应商工作人员在履行职务过程中给采购人造成损失或侵害，包括但不限于采购人本身的财产损失、由此而导致的采购人对任何第三方的法律责任等，成交供应商对此均应承担全部的赔偿责任。 3.解决争议的方法：合同履行期间，若双方发生争议，双方本着友好合作的态度，及时进行协商或由有关部门调解；如不能协商或调解解决的，依法向泸州市合江县人民法院通过法律诉讼解决。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实质性变动的内容，须经磋商小组中的采购人代表确认。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合同草案条款等。</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可提供2024或2025年经审计的财务报告（包含审计报告和审计报告中所涉及的财务报表和报表附注）或者银行出具的资信证明；供应商可提供2024或2025年未经审计的财务报表（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供应商具备文物主管部门颁发有效期内的《可移动文物修复资质证书》（资质范围包含：石刻）。</w:t>
            </w:r>
          </w:p>
        </w:tc>
        <w:tc>
          <w:tcPr>
            <w:tcW w:type="dxa" w:w="3322"/>
          </w:tcPr>
          <w:p>
            <w:pPr>
              <w:pStyle w:val="null3"/>
              <w:jc w:val="left"/>
            </w:pPr>
            <w:r>
              <w:rPr>
                <w:rFonts w:ascii="仿宋_GB2312" w:hAnsi="仿宋_GB2312" w:cs="仿宋_GB2312" w:eastAsia="仿宋_GB2312"/>
              </w:rPr>
              <w:t>提供文物主管部门颁发有效期内的《可移动文物修复资质证书》（资质范围包含：石刻）扫描件并进行电子签章。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需要供应商单独提交材料的实质性要求。</w:t>
            </w:r>
          </w:p>
        </w:tc>
        <w:tc>
          <w:tcPr>
            <w:tcW w:type="dxa" w:w="3322"/>
          </w:tcPr>
          <w:p>
            <w:pPr>
              <w:pStyle w:val="null3"/>
              <w:jc w:val="left"/>
            </w:pPr>
            <w:r>
              <w:rPr>
                <w:rFonts w:ascii="仿宋_GB2312" w:hAnsi="仿宋_GB2312" w:cs="仿宋_GB2312" w:eastAsia="仿宋_GB2312"/>
              </w:rPr>
              <w:t>需要供应商单独提交材料的实质性要求。</w:t>
            </w:r>
          </w:p>
        </w:tc>
        <w:tc>
          <w:tcPr>
            <w:tcW w:type="dxa" w:w="1661"/>
          </w:tcPr>
          <w:p>
            <w:pPr>
              <w:pStyle w:val="null3"/>
              <w:jc w:val="left"/>
            </w:pPr>
            <w:r>
              <w:rPr>
                <w:rFonts w:ascii="仿宋_GB2312" w:hAnsi="仿宋_GB2312" w:cs="仿宋_GB2312" w:eastAsia="仿宋_GB2312"/>
              </w:rPr>
              <w:t>供应商应提交的相关证明材料,技术应答表.docx,服务应答表,报价表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详细评审87.00分</w:t>
            </w:r>
          </w:p>
          <w:p>
            <w:pPr>
              <w:pStyle w:val="null3"/>
              <w:jc w:val="left"/>
            </w:pPr>
            <w:r>
              <w:rPr>
                <w:rFonts w:ascii="仿宋_GB2312" w:hAnsi="仿宋_GB2312" w:cs="仿宋_GB2312" w:eastAsia="仿宋_GB2312"/>
              </w:rPr>
              <w:t>报价得分13.00分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根据供应商提供服务方案进行评审，包括：①项目总体思路和理解；②文物保护修复分析 与风险评估；③保护修复工作原则和目标；④保护修复工作的技术路线及操作步骤；⑤保护修复过程中可能出现的重难点分析及应对措施；⑥项目进度安排及保障措施；⑦保护修复工作的质量保障措施；⑧实施过程管理及制度；⑨文物安全风险防控方案。 以上内容共9项，以上内容齐全完全符合采购需求且无缺陷得45分，每有缺失一项扣5分，一项中每有一处内容缺陷的扣2.5分，单项5分扣完为止。未提供不得分。 注：缺陷是指：存在项目名称错误、地点区域错误、内容与本项目需求无关、方案内容矛盾或表述前后不一致、仅有框架或标题、适用的标准（方法）错误、复制其他项目内容任意一种情形。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为本项目提供的后续服务方案进行评审，包括：①后续服务计划；②后续服务内容和流程；③后续服务响应时间和质量；④后续服务机构和人员；⑤后续服务承诺。以上内容齐全完全符合采购需求且无缺陷得10分，每有缺失一项扣2分，一项中每有一处内容缺陷的扣1分，单项2分扣完为止。未提供不得分。 注：缺陷是指：存在项目名称错误、地点区域错误、内容与本项目需求无关、方案内容矛盾或表述前后不一致、仅有框架或标题、适用的标准（方法）错误、明显复制其他项目内容任意一种情形。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 项目负责人具有文物博物类专业高级及以上职称（包含副高）得6分，具有文物博物类专业中级职称得3分；本项最多得6分，未提供不得分。 2.技术负责人（1人）： 技术负责人具有文物博物类专业高级及以上职称（包含副高）得6分，具有具有文物博物类专业中级职称得3分，本项最多得6分，未提供不得分。 3.项目管理机构其他人员： 其他人员具有文物博物类专业中级及以上职称每有1人得2分，文物博物类专业初级职称每有1人得1分，最多得8分，未提供不得分。 注：人员证书提供职称证书扫描件和在职证明材料，以上证明材料均需进行电子签章，未提供不得分。上述人员不重复计分。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供应商提供自2023年1月1日至递交投标文件截止之日的类似项目业绩，每提供1个类似业绩得6分，本项最多得12分；不提供不得分。 注：类似项目业绩指石刻类修复项目业绩。提供合同或中标（成交）通知书、验收证明材料并进行电子签章。业绩时间以合同签订时间或中标（成交）通知书落款时间为准。未提供或提供相关证明材料不完整该项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详见附件：具有健全的财务会计制度的证明材料.docx</w:t>
      </w:r>
    </w:p>
    <w:p>
      <w:pPr>
        <w:pStyle w:val="null3"/>
        <w:ind w:firstLine="960"/>
        <w:jc w:val="left"/>
      </w:pPr>
      <w:r>
        <w:rPr>
          <w:rFonts w:ascii="仿宋_GB2312" w:hAnsi="仿宋_GB2312" w:cs="仿宋_GB2312" w:eastAsia="仿宋_GB2312"/>
        </w:rPr>
        <w:t>详见附件：技术应答表.docx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