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版本号：N510001202600027220260319001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2026-2028年度危险废物安全处置服务采购项目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N5100012026000272</w:t>
      </w:r>
    </w:p>
    <w:p>
      <w:pPr>
        <w:pStyle w:val="null3"/>
        <w:jc w:val="left"/>
        <w:outlineLvl w:val="2"/>
      </w:pPr>
      <w:r>
        <w:rPr>
          <w:rFonts w:ascii="仿宋_GB2312" w:hAnsi="仿宋_GB2312" w:cs="仿宋_GB2312" w:eastAsia="仿宋_GB2312"/>
          <w:sz w:val="28"/>
          <w:b/>
        </w:rPr>
        <w:t>四川省骨科医院</w:t>
      </w:r>
    </w:p>
    <w:p>
      <w:pPr>
        <w:pStyle w:val="null3"/>
        <w:jc w:val="center"/>
        <w:outlineLvl w:val="2"/>
      </w:pPr>
      <w:r>
        <w:rPr>
          <w:rFonts w:ascii="仿宋_GB2312" w:hAnsi="仿宋_GB2312" w:cs="仿宋_GB2312" w:eastAsia="仿宋_GB2312"/>
          <w:sz w:val="28"/>
          <w:b/>
        </w:rPr>
        <w:t>联投项目管理（集团）有限公司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联投项目管理（集团）有限公司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四川省骨科医院</w:t>
      </w:r>
      <w:r>
        <w:rPr>
          <w:rFonts w:ascii="仿宋_GB2312" w:hAnsi="仿宋_GB2312" w:cs="仿宋_GB2312" w:eastAsia="仿宋_GB2312"/>
        </w:rPr>
        <w:t xml:space="preserve"> 委托，拟对 </w:t>
      </w:r>
      <w:r>
        <w:rPr>
          <w:rFonts w:ascii="仿宋_GB2312" w:hAnsi="仿宋_GB2312" w:cs="仿宋_GB2312" w:eastAsia="仿宋_GB2312"/>
        </w:rPr>
        <w:t>2026-2028年度危险废物安全处置服务采购项目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N5100012026000272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2026-2028年度危险废物安全处置服务采购项目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本项目共1个包,拟确定中标人1名。拟采购四川省骨科医院2026～2028年度危险废物安全处置服务。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供应商合同分包的，分包意向协议中分包意向供应商应当为中小企业。接受分包合同的中小企业与分包企业之间不得存在直接控股、管理关系。</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1、1、供应商具有有效期内的《危险废物经营许可证》且核准经营的危险废物类别涵盖HW01(医疗废物)中的841-001-01、841-004-01，HW49其他废物中的900-039-49、900-041-49、900-047-49，HW29含汞废物中的900-023-29； 2、供应商须提供有效期内的《道路运输经营许可证》，且许可范围含有“危险货物运输（6类2项）”或“医疗废物”；若供应商进行分包的，须提供第三方分包供应商有效的《道路运输经营许可证》，且许可范围含有“危险货物运输（6类2项）”或“医疗废物”（供应商进行分包的，须提供分包意向协议）（描述：1、供应商具有有效期内的《危险废物经营许可证》且核准经营的危险废物类别涵盖HW01(医疗废物)中的841-001-01、841-004-01，HW49其他废物中的900-039-49、900-041-49、900-047-49，HW29含汞废物中的900-023-29； 2、供应商须提供有效期内的《道路运输经营许可证》，且许可范围含有“危险货物运输（6类2项）”或“医疗废物”；若供应商进行分包的，须提供第三方分包供应商有效的《道路运输经营许可证》，且许可范围含有“危险货物运输（6类2项）”或“医疗废物”（供应商进行分包的，须提供分包意向协议））</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四川省骨科医院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四川省成都市武侯区一环路西一段132号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028-65238736</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联投项目管理（集团）有限公司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成都市高新区天府大道北段1700号环球中心N5区20楼2015号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028-67873777转1、17761049664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采购包1：1,260,000.00元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采购代理机构按照成本加合理利润原则，参照中华人民共和国国家发展计划委员会计价格(2002)1980号《招标代理服务收费管理暂行办法》和发改办价格[2011]534号文规定的收费标准的规定下浮45%收取。 由中标（成交）供应商在领取中标（成交）通知书前向采购代理机构一次性缴纳全额代理服务费。 收款信息：联投项目管理（集团）有限公司； 开 户 行：中国建设银行股份有限公司成都益州支行； 银行账号：51050141618500000138。 发票开具：代理服务费交纳后，请填写《中标（成交）通知书及发票信息单》（下载地址： https://jy.scltzb.com/html/eltzb/banshizhinan/1580019365598851074.html ），并按PDF及WORD格式各一份发送至邮箱qa@scltzb.com，PDF需要加盖公司公章。在收到您的邮件及代理服务费后，我公司将在1—3个工作日内向您的邮箱发送电子发票</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四川省骨科医院</w:t>
      </w:r>
      <w:r>
        <w:rPr>
          <w:rFonts w:ascii="仿宋_GB2312" w:hAnsi="仿宋_GB2312" w:cs="仿宋_GB2312" w:eastAsia="仿宋_GB2312"/>
        </w:rPr>
        <w:t xml:space="preserve"> 和 </w:t>
      </w:r>
      <w:r>
        <w:rPr>
          <w:rFonts w:ascii="仿宋_GB2312" w:hAnsi="仿宋_GB2312" w:cs="仿宋_GB2312" w:eastAsia="仿宋_GB2312"/>
        </w:rPr>
        <w:t>联投项目管理（集团）有限公司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四川省骨科医院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联投项目管理（集团）有限公司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本项目以下采购包允许合同分包。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采购包号</w:t>
            </w:r>
          </w:p>
        </w:tc>
        <w:tc>
          <w:tcPr>
            <w:tcW w:type="dxa" w:w="2076"/>
          </w:tcPr>
          <w:p>
            <w:pPr>
              <w:pStyle w:val="null3"/>
              <w:jc w:val="left"/>
            </w:pPr>
            <w:r>
              <w:rPr>
                <w:rFonts w:ascii="仿宋_GB2312" w:hAnsi="仿宋_GB2312" w:cs="仿宋_GB2312" w:eastAsia="仿宋_GB2312"/>
              </w:rPr>
              <w:t>分包方式</w:t>
            </w:r>
          </w:p>
        </w:tc>
        <w:tc>
          <w:tcPr>
            <w:tcW w:type="dxa" w:w="2076"/>
          </w:tcPr>
          <w:p>
            <w:pPr>
              <w:pStyle w:val="null3"/>
              <w:jc w:val="left"/>
            </w:pPr>
            <w:r>
              <w:rPr>
                <w:rFonts w:ascii="仿宋_GB2312" w:hAnsi="仿宋_GB2312" w:cs="仿宋_GB2312" w:eastAsia="仿宋_GB2312"/>
              </w:rPr>
              <w:t>分包说明</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采购包1</w:t>
            </w:r>
          </w:p>
        </w:tc>
        <w:tc>
          <w:tcPr>
            <w:tcW w:type="dxa" w:w="2076"/>
          </w:tcPr>
          <w:p>
            <w:pPr>
              <w:pStyle w:val="null3"/>
              <w:jc w:val="left"/>
            </w:pPr>
            <w:r>
              <w:rPr>
                <w:rFonts w:ascii="仿宋_GB2312" w:hAnsi="仿宋_GB2312" w:cs="仿宋_GB2312" w:eastAsia="仿宋_GB2312"/>
              </w:rPr>
              <w:t>比例</w:t>
            </w:r>
          </w:p>
        </w:tc>
        <w:tc>
          <w:tcPr>
            <w:tcW w:type="dxa" w:w="2076"/>
          </w:tcPr>
          <w:p>
            <w:pPr>
              <w:pStyle w:val="null3"/>
              <w:jc w:val="left"/>
            </w:pPr>
            <w:r>
              <w:rPr>
                <w:rFonts w:ascii="仿宋_GB2312" w:hAnsi="仿宋_GB2312" w:cs="仿宋_GB2312" w:eastAsia="仿宋_GB2312"/>
              </w:rPr>
              <w:t>分包比例：20%，（1）可分包内容：“危险废物运输”工作为本项目非主体、非关键性工作，若供应商不具备承担该项工作的能力和资质，本项目允许成交供应商将“危险废物运输”工作分包给具有相应资质【即：《道路运输经营许可证》，且许可范围含有“危险货物运输（6类2项）”或“医疗废物”】的供应商，分包比例为：不超过本项目预算金额的20%。但成交供应商委托的期限不得小于本项目的服务期限，除分包内容外，本项目的其他服务内容均不得委托第三方； （2）若以合同分包的形式参与本项目，需提供合同分包意向协议（载明拟分包内容及分包承担主体），并提供分包承担主体满足本项目资格条件的证明材料。</w:t>
            </w:r>
          </w:p>
        </w:tc>
      </w:tr>
    </w:tbl>
    <w:p>
      <w:pPr>
        <w:pStyle w:val="null3"/>
        <w:jc w:val="left"/>
      </w:pPr>
      <w:r>
        <w:rPr>
          <w:rFonts w:ascii="仿宋_GB2312" w:hAnsi="仿宋_GB2312" w:cs="仿宋_GB2312" w:eastAsia="仿宋_GB2312"/>
        </w:rPr>
        <w:t>注：</w:t>
      </w:r>
    </w:p>
    <w:p>
      <w:pPr>
        <w:pStyle w:val="null3"/>
        <w:jc w:val="left"/>
      </w:pPr>
      <w:r>
        <w:rPr>
          <w:rFonts w:ascii="仿宋_GB2312" w:hAnsi="仿宋_GB2312" w:cs="仿宋_GB2312" w:eastAsia="仿宋_GB2312"/>
        </w:rPr>
        <w:t xml:space="preserve"> 1.投标人根据招标文件的规定和采购项目的实际情况，拟在中标后将中标项目的非主体、非关键性工作分包的，应当在投标文件中载明分包承担主体，分包承担主体应当具备相应资质条件且不得再次分包。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jc w:val="left"/>
      </w:pPr>
      <w:r>
        <w:rPr>
          <w:rFonts w:ascii="仿宋_GB2312" w:hAnsi="仿宋_GB2312" w:cs="仿宋_GB2312" w:eastAsia="仿宋_GB2312"/>
        </w:rPr>
        <w:t xml:space="preserve"> 2.采购合同实行分包履行的，中标人就采购项目和分包项目向采购人负责，分包供应商就分包项目承担责任。</w:t>
      </w:r>
    </w:p>
    <w:p>
      <w:pPr>
        <w:pStyle w:val="null3"/>
        <w:jc w:val="left"/>
      </w:pPr>
      <w:r>
        <w:rPr>
          <w:rFonts w:ascii="仿宋_GB2312" w:hAnsi="仿宋_GB2312" w:cs="仿宋_GB2312" w:eastAsia="仿宋_GB2312"/>
        </w:rPr>
        <w:t xml:space="preserve"> 3.中小企业依据《政府采购促进中小企业发展管理办法》（财库〔2020〕46号）规定的政策获取政府采购合同后，小型、微型企业不得将合同分包给大型、中型企业，中型企业不得将合同分包给大型企业。</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50</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50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★1.按照政府采购相关法律法规以及《财政部关于进一步加强政府采购需求和履约验收管理的指导意见》（财库〔2016〕205号）和《政府采购需求管理办法》(财库(2021) 22号)的要求组织验收。 ★2.按国家有关规定以及本项目采购文件的质量要求和技术指标、投标人的投标文件及承诺与合同约定标准进行技术履约验收。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★1.按照政府采购相关法律法规以及《财政部关于进一步加强政府采购需求和履约验收管理的指导意见》（财库〔2016〕205号）和《政府采购需求管理办法》(财库(2021) 22号)的要求组织验收。 ★2.按照采购文件商务要求及投标人投标内容进行商务履约验收。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★1.供应商每完成一次危险废物安全处置服务工作后，向采购人提供完整的“危险废物转移联单”（“无废四川”下载打印并加盖公章）为验收依据。 ★2.其他按照政府采购相关法律法规以及《财政部关于进一步加强政府采购需求和履约验收管理的指导意见》（财库〔2016〕205号）《政府采购需求管理办法》(财库(2021) 22号)的要求及国家行业主管部门规定的标准、方法和内容进行验收。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四川省骨科医院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联投项目管理（集团）有限公司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联投项目管理（集团）有限公司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联系人：刘老师</w:t>
      </w:r>
    </w:p>
    <w:p>
      <w:pPr>
        <w:pStyle w:val="null3"/>
        <w:jc w:val="left"/>
      </w:pPr>
      <w:r>
        <w:rPr>
          <w:rFonts w:ascii="仿宋_GB2312" w:hAnsi="仿宋_GB2312" w:cs="仿宋_GB2312" w:eastAsia="仿宋_GB2312"/>
        </w:rPr>
        <w:t>联系电话： 028-65238736</w:t>
      </w:r>
    </w:p>
    <w:p>
      <w:pPr>
        <w:pStyle w:val="null3"/>
        <w:jc w:val="left"/>
      </w:pPr>
      <w:r>
        <w:rPr>
          <w:rFonts w:ascii="仿宋_GB2312" w:hAnsi="仿宋_GB2312" w:cs="仿宋_GB2312" w:eastAsia="仿宋_GB2312"/>
        </w:rPr>
        <w:t>地址：四川省成都市武侯区一环路西一段132号</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联系人：陈女士</w:t>
      </w:r>
    </w:p>
    <w:p>
      <w:pPr>
        <w:pStyle w:val="null3"/>
        <w:jc w:val="left"/>
      </w:pPr>
      <w:r>
        <w:rPr>
          <w:rFonts w:ascii="仿宋_GB2312" w:hAnsi="仿宋_GB2312" w:cs="仿宋_GB2312" w:eastAsia="仿宋_GB2312"/>
        </w:rPr>
        <w:t>联系电话：028-67873777转1</w:t>
      </w:r>
    </w:p>
    <w:p>
      <w:pPr>
        <w:pStyle w:val="null3"/>
        <w:jc w:val="left"/>
      </w:pPr>
      <w:r>
        <w:rPr>
          <w:rFonts w:ascii="仿宋_GB2312" w:hAnsi="仿宋_GB2312" w:cs="仿宋_GB2312" w:eastAsia="仿宋_GB2312"/>
        </w:rPr>
        <w:t>地址：成都市高新区天府大道北段1700号环球中心N5区20楼2015号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1,260,000.00</w:t>
      </w:r>
    </w:p>
    <w:p>
      <w:pPr>
        <w:pStyle w:val="null3"/>
        <w:jc w:val="left"/>
      </w:pPr>
      <w:r>
        <w:rPr>
          <w:rFonts w:ascii="仿宋_GB2312" w:hAnsi="仿宋_GB2312" w:cs="仿宋_GB2312" w:eastAsia="仿宋_GB2312"/>
        </w:rPr>
        <w:t>采购包最高限价（元）: 1,260,000.00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C07020401 医疗和药物废弃物治理服务</w:t>
            </w:r>
          </w:p>
        </w:tc>
        <w:tc>
          <w:tcPr>
            <w:tcW w:type="dxa" w:w="821"/>
          </w:tcPr>
          <w:p>
            <w:pPr>
              <w:pStyle w:val="null3"/>
              <w:jc w:val="left"/>
            </w:pPr>
            <w:r>
              <w:rPr>
                <w:rFonts w:ascii="仿宋_GB2312" w:hAnsi="仿宋_GB2312" w:cs="仿宋_GB2312" w:eastAsia="仿宋_GB2312"/>
              </w:rPr>
              <w:t>2026～2028年度危险废物安全处置服务采购项目</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1,260,000.00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2026～2028年度危险废物安全处置服务采购项目</w:t>
            </w:r>
          </w:p>
        </w:tc>
        <w:tc>
          <w:tcPr>
            <w:tcW w:type="dxa" w:w="977"/>
          </w:tcPr>
          <w:p>
            <w:pPr>
              <w:pStyle w:val="null3"/>
              <w:jc w:val="center"/>
            </w:pPr>
            <w:r>
              <w:rPr>
                <w:rFonts w:ascii="仿宋_GB2312" w:hAnsi="仿宋_GB2312" w:cs="仿宋_GB2312" w:eastAsia="仿宋_GB2312"/>
              </w:rPr>
              <w:t>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1.本次报价为统一百分比报价，统一百分比报价作为项目结算价格履约依据。服务内容中所有项目均按照该百分比结算，如供应商统一百分比报价为90%，某单项服务内容的单价最高限价为100元，则该单项服务费=100*90%=90元。 2.统一百分比越小则报价越低，如报价80%、90%中最低报价即为80%。</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标的名称：2026～2028年度危险废物安全处置服务采购项目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w:t>
            </w:r>
          </w:p>
        </w:tc>
        <w:tc>
          <w:tcPr>
            <w:tcW w:type="dxa" w:w="5814"/>
          </w:tcPr>
          <w:p>
            <w:pPr>
              <w:pStyle w:val="null3"/>
              <w:ind w:firstLine="210"/>
              <w:jc w:val="both"/>
            </w:pPr>
            <w:r>
              <w:rPr>
                <w:rFonts w:ascii="仿宋_GB2312" w:hAnsi="仿宋_GB2312" w:cs="仿宋_GB2312" w:eastAsia="仿宋_GB2312"/>
                <w:sz w:val="21"/>
              </w:rPr>
              <w:t>供应商负责采购人化粪池及污水处理站的浮渣和污泥清掏、转运及无害化处置服务，以及采购人院内化学性废物、在线监测废液、废活性炭、污水处理站过滤砂等危险废物转运及无害化处置服务。主要服务内容详见下表：</w:t>
            </w:r>
          </w:p>
          <w:tbl>
            <w:tblPr>
              <w:tblInd w:type="dxa" w:w="135"/>
              <w:tblBorders>
                <w:top w:val="none" w:color="000000" w:sz="4"/>
                <w:left w:val="none" w:color="000000" w:sz="4"/>
                <w:bottom w:val="none" w:color="000000" w:sz="4"/>
                <w:right w:val="none" w:color="000000" w:sz="4"/>
                <w:insideH w:val="none"/>
                <w:insideV w:val="none"/>
              </w:tblBorders>
            </w:tblPr>
            <w:tblGrid>
              <w:gridCol w:w="550"/>
              <w:gridCol w:w="1661"/>
              <w:gridCol w:w="1695"/>
              <w:gridCol w:w="553"/>
              <w:gridCol w:w="1136"/>
            </w:tblGrid>
            <w:tr>
              <w:tc>
                <w:tcPr>
                  <w:tcW w:type="dxa" w:w="55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35" w:right="120"/>
                    <w:jc w:val="center"/>
                  </w:pPr>
                  <w:r>
                    <w:rPr>
                      <w:rFonts w:ascii="仿宋_GB2312" w:hAnsi="仿宋_GB2312" w:cs="仿宋_GB2312" w:eastAsia="仿宋_GB2312"/>
                      <w:sz w:val="21"/>
                      <w:b/>
                    </w:rPr>
                    <w:t>序号</w:t>
                  </w:r>
                </w:p>
              </w:tc>
              <w:tc>
                <w:tcPr>
                  <w:tcW w:type="dxa" w:w="16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right="45"/>
                    <w:jc w:val="center"/>
                  </w:pPr>
                  <w:r>
                    <w:rPr>
                      <w:rFonts w:ascii="仿宋_GB2312" w:hAnsi="仿宋_GB2312" w:cs="仿宋_GB2312" w:eastAsia="仿宋_GB2312"/>
                      <w:sz w:val="21"/>
                      <w:b/>
                    </w:rPr>
                    <w:t>服务项目</w:t>
                  </w:r>
                </w:p>
              </w:tc>
              <w:tc>
                <w:tcPr>
                  <w:tcW w:type="dxa" w:w="169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35" w:right="120"/>
                    <w:jc w:val="center"/>
                  </w:pPr>
                  <w:r>
                    <w:rPr>
                      <w:rFonts w:ascii="仿宋_GB2312" w:hAnsi="仿宋_GB2312" w:cs="仿宋_GB2312" w:eastAsia="仿宋_GB2312"/>
                      <w:sz w:val="21"/>
                      <w:b/>
                    </w:rPr>
                    <w:t>危废代码</w:t>
                  </w:r>
                </w:p>
              </w:tc>
              <w:tc>
                <w:tcPr>
                  <w:tcW w:type="dxa" w:w="5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单位</w:t>
                  </w:r>
                </w:p>
              </w:tc>
              <w:tc>
                <w:tcPr>
                  <w:tcW w:type="dxa" w:w="11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单价最高限价（元）</w:t>
                  </w:r>
                </w:p>
              </w:tc>
            </w:tr>
            <w:tr>
              <w:tc>
                <w:tcPr>
                  <w:tcW w:type="dxa" w:w="5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35" w:right="120"/>
                    <w:jc w:val="center"/>
                  </w:pPr>
                  <w:r>
                    <w:rPr>
                      <w:rFonts w:ascii="仿宋_GB2312" w:hAnsi="仿宋_GB2312" w:cs="仿宋_GB2312" w:eastAsia="仿宋_GB2312"/>
                      <w:sz w:val="21"/>
                    </w:rPr>
                    <w:t>1</w:t>
                  </w:r>
                </w:p>
              </w:tc>
              <w:tc>
                <w:tcPr>
                  <w:tcW w:type="dxa" w:w="16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化粪池及污水处理站浮渣和污泥清掏、转运及无害化处置</w:t>
                  </w:r>
                </w:p>
              </w:tc>
              <w:tc>
                <w:tcPr>
                  <w:tcW w:type="dxa" w:w="16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20"/>
                    <w:jc w:val="center"/>
                  </w:pPr>
                  <w:r>
                    <w:rPr>
                      <w:rFonts w:ascii="仿宋_GB2312" w:hAnsi="仿宋_GB2312" w:cs="仿宋_GB2312" w:eastAsia="仿宋_GB2312"/>
                      <w:sz w:val="21"/>
                    </w:rPr>
                    <w:t>HW01：841-001-01</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kg</w:t>
                  </w:r>
                </w:p>
              </w:tc>
              <w:tc>
                <w:tcPr>
                  <w:tcW w:type="dxa" w:w="1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16.00</w:t>
                  </w:r>
                </w:p>
              </w:tc>
            </w:tr>
            <w:tr>
              <w:tc>
                <w:tcPr>
                  <w:tcW w:type="dxa" w:w="5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35" w:right="120"/>
                    <w:jc w:val="center"/>
                  </w:pPr>
                  <w:r>
                    <w:rPr>
                      <w:rFonts w:ascii="仿宋_GB2312" w:hAnsi="仿宋_GB2312" w:cs="仿宋_GB2312" w:eastAsia="仿宋_GB2312"/>
                      <w:sz w:val="21"/>
                    </w:rPr>
                    <w:t>2</w:t>
                  </w:r>
                </w:p>
              </w:tc>
              <w:tc>
                <w:tcPr>
                  <w:tcW w:type="dxa" w:w="16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废活性炭转运处置</w:t>
                  </w:r>
                </w:p>
              </w:tc>
              <w:tc>
                <w:tcPr>
                  <w:tcW w:type="dxa" w:w="16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20"/>
                    <w:jc w:val="center"/>
                  </w:pPr>
                  <w:r>
                    <w:rPr>
                      <w:rFonts w:ascii="仿宋_GB2312" w:hAnsi="仿宋_GB2312" w:cs="仿宋_GB2312" w:eastAsia="仿宋_GB2312"/>
                      <w:sz w:val="21"/>
                    </w:rPr>
                    <w:t>HW49：900-039-49</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kg</w:t>
                  </w:r>
                </w:p>
              </w:tc>
              <w:tc>
                <w:tcPr>
                  <w:tcW w:type="dxa" w:w="1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8.00</w:t>
                  </w:r>
                </w:p>
              </w:tc>
            </w:tr>
            <w:tr>
              <w:tc>
                <w:tcPr>
                  <w:tcW w:type="dxa" w:w="5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35" w:right="120"/>
                    <w:jc w:val="center"/>
                  </w:pPr>
                  <w:r>
                    <w:rPr>
                      <w:rFonts w:ascii="仿宋_GB2312" w:hAnsi="仿宋_GB2312" w:cs="仿宋_GB2312" w:eastAsia="仿宋_GB2312"/>
                      <w:sz w:val="21"/>
                    </w:rPr>
                    <w:t>3</w:t>
                  </w:r>
                </w:p>
              </w:tc>
              <w:tc>
                <w:tcPr>
                  <w:tcW w:type="dxa" w:w="16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污水处理站过滤砂转运处置</w:t>
                  </w:r>
                </w:p>
              </w:tc>
              <w:tc>
                <w:tcPr>
                  <w:tcW w:type="dxa" w:w="16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20"/>
                    <w:jc w:val="center"/>
                  </w:pPr>
                  <w:r>
                    <w:rPr>
                      <w:rFonts w:ascii="仿宋_GB2312" w:hAnsi="仿宋_GB2312" w:cs="仿宋_GB2312" w:eastAsia="仿宋_GB2312"/>
                      <w:sz w:val="21"/>
                    </w:rPr>
                    <w:t>HW49:900-041-49</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kg</w:t>
                  </w:r>
                </w:p>
              </w:tc>
              <w:tc>
                <w:tcPr>
                  <w:tcW w:type="dxa" w:w="1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8.00</w:t>
                  </w:r>
                </w:p>
              </w:tc>
            </w:tr>
            <w:tr>
              <w:tc>
                <w:tcPr>
                  <w:tcW w:type="dxa" w:w="5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rFonts w:ascii="仿宋_GB2312" w:hAnsi="仿宋_GB2312" w:cs="仿宋_GB2312" w:eastAsia="仿宋_GB2312"/>
                      <w:sz w:val="21"/>
                    </w:rPr>
                    <w:t>4</w:t>
                  </w:r>
                </w:p>
              </w:tc>
              <w:tc>
                <w:tcPr>
                  <w:tcW w:type="dxa" w:w="16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化学性废物转运处置</w:t>
                  </w:r>
                </w:p>
              </w:tc>
              <w:tc>
                <w:tcPr>
                  <w:tcW w:type="dxa" w:w="16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rFonts w:ascii="仿宋_GB2312" w:hAnsi="仿宋_GB2312" w:cs="仿宋_GB2312" w:eastAsia="仿宋_GB2312"/>
                      <w:sz w:val="21"/>
                    </w:rPr>
                    <w:t>HW01：841-004-01</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50"/>
                    <w:jc w:val="center"/>
                  </w:pPr>
                  <w:r>
                    <w:rPr>
                      <w:rFonts w:ascii="仿宋_GB2312" w:hAnsi="仿宋_GB2312" w:cs="仿宋_GB2312" w:eastAsia="仿宋_GB2312"/>
                      <w:sz w:val="21"/>
                    </w:rPr>
                    <w:t xml:space="preserve">  kg</w:t>
                  </w:r>
                </w:p>
              </w:tc>
              <w:tc>
                <w:tcPr>
                  <w:tcW w:type="dxa" w:w="1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50"/>
                    <w:jc w:val="center"/>
                  </w:pPr>
                  <w:r>
                    <w:rPr>
                      <w:rFonts w:ascii="仿宋_GB2312" w:hAnsi="仿宋_GB2312" w:cs="仿宋_GB2312" w:eastAsia="仿宋_GB2312"/>
                      <w:sz w:val="21"/>
                    </w:rPr>
                    <w:t xml:space="preserve"> 53.00</w:t>
                  </w:r>
                </w:p>
              </w:tc>
            </w:tr>
            <w:tr>
              <w:tc>
                <w:tcPr>
                  <w:tcW w:type="dxa" w:w="5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rFonts w:ascii="仿宋_GB2312" w:hAnsi="仿宋_GB2312" w:cs="仿宋_GB2312" w:eastAsia="仿宋_GB2312"/>
                      <w:sz w:val="21"/>
                    </w:rPr>
                    <w:t>5</w:t>
                  </w:r>
                </w:p>
              </w:tc>
              <w:tc>
                <w:tcPr>
                  <w:tcW w:type="dxa" w:w="16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在线监测废液</w:t>
                  </w:r>
                  <w:r>
                    <w:rPr>
                      <w:rFonts w:ascii="仿宋_GB2312" w:hAnsi="仿宋_GB2312" w:cs="仿宋_GB2312" w:eastAsia="仿宋_GB2312"/>
                      <w:sz w:val="21"/>
                    </w:rPr>
                    <w:t>转运处置</w:t>
                  </w:r>
                </w:p>
              </w:tc>
              <w:tc>
                <w:tcPr>
                  <w:tcW w:type="dxa" w:w="16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rFonts w:ascii="仿宋_GB2312" w:hAnsi="仿宋_GB2312" w:cs="仿宋_GB2312" w:eastAsia="仿宋_GB2312"/>
                      <w:sz w:val="21"/>
                    </w:rPr>
                    <w:t>HW49：900-047-49</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75"/>
                    <w:jc w:val="center"/>
                  </w:pPr>
                  <w:r>
                    <w:rPr>
                      <w:rFonts w:ascii="仿宋_GB2312" w:hAnsi="仿宋_GB2312" w:cs="仿宋_GB2312" w:eastAsia="仿宋_GB2312"/>
                      <w:sz w:val="21"/>
                    </w:rPr>
                    <w:t>kg</w:t>
                  </w:r>
                </w:p>
              </w:tc>
              <w:tc>
                <w:tcPr>
                  <w:tcW w:type="dxa" w:w="1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75"/>
                    <w:jc w:val="center"/>
                  </w:pPr>
                  <w:r>
                    <w:rPr>
                      <w:rFonts w:ascii="仿宋_GB2312" w:hAnsi="仿宋_GB2312" w:cs="仿宋_GB2312" w:eastAsia="仿宋_GB2312"/>
                      <w:sz w:val="21"/>
                    </w:rPr>
                    <w:t>43.00</w:t>
                  </w:r>
                </w:p>
              </w:tc>
            </w:tr>
            <w:tr>
              <w:tc>
                <w:tcPr>
                  <w:tcW w:type="dxa" w:w="5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rFonts w:ascii="仿宋_GB2312" w:hAnsi="仿宋_GB2312" w:cs="仿宋_GB2312" w:eastAsia="仿宋_GB2312"/>
                      <w:sz w:val="21"/>
                    </w:rPr>
                    <w:t>6</w:t>
                  </w:r>
                </w:p>
              </w:tc>
              <w:tc>
                <w:tcPr>
                  <w:tcW w:type="dxa" w:w="16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废弃含汞温度计、血压计转运处置</w:t>
                  </w:r>
                </w:p>
              </w:tc>
              <w:tc>
                <w:tcPr>
                  <w:tcW w:type="dxa" w:w="16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rFonts w:ascii="仿宋_GB2312" w:hAnsi="仿宋_GB2312" w:cs="仿宋_GB2312" w:eastAsia="仿宋_GB2312"/>
                      <w:sz w:val="21"/>
                    </w:rPr>
                    <w:t>HW01：841-004-01</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75"/>
                    <w:jc w:val="center"/>
                  </w:pPr>
                  <w:r>
                    <w:rPr>
                      <w:rFonts w:ascii="仿宋_GB2312" w:hAnsi="仿宋_GB2312" w:cs="仿宋_GB2312" w:eastAsia="仿宋_GB2312"/>
                      <w:sz w:val="21"/>
                    </w:rPr>
                    <w:t>kg</w:t>
                  </w:r>
                </w:p>
              </w:tc>
              <w:tc>
                <w:tcPr>
                  <w:tcW w:type="dxa" w:w="1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75"/>
                    <w:jc w:val="center"/>
                  </w:pPr>
                  <w:r>
                    <w:rPr>
                      <w:rFonts w:ascii="仿宋_GB2312" w:hAnsi="仿宋_GB2312" w:cs="仿宋_GB2312" w:eastAsia="仿宋_GB2312"/>
                      <w:sz w:val="21"/>
                    </w:rPr>
                    <w:t>2965.00</w:t>
                  </w:r>
                </w:p>
              </w:tc>
            </w:tr>
            <w:tr>
              <w:tc>
                <w:tcPr>
                  <w:tcW w:type="dxa" w:w="5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rFonts w:ascii="仿宋_GB2312" w:hAnsi="仿宋_GB2312" w:cs="仿宋_GB2312" w:eastAsia="仿宋_GB2312"/>
                      <w:sz w:val="21"/>
                    </w:rPr>
                    <w:t>7</w:t>
                  </w:r>
                </w:p>
              </w:tc>
              <w:tc>
                <w:tcPr>
                  <w:tcW w:type="dxa" w:w="16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废弃含汞灯管（紫外线及日光灯）转运处置</w:t>
                  </w:r>
                </w:p>
              </w:tc>
              <w:tc>
                <w:tcPr>
                  <w:tcW w:type="dxa" w:w="16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rFonts w:ascii="仿宋_GB2312" w:hAnsi="仿宋_GB2312" w:cs="仿宋_GB2312" w:eastAsia="仿宋_GB2312"/>
                      <w:sz w:val="21"/>
                    </w:rPr>
                    <w:t>HW29：900-023-29</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75"/>
                    <w:jc w:val="center"/>
                  </w:pPr>
                  <w:r>
                    <w:rPr>
                      <w:rFonts w:ascii="仿宋_GB2312" w:hAnsi="仿宋_GB2312" w:cs="仿宋_GB2312" w:eastAsia="仿宋_GB2312"/>
                      <w:sz w:val="21"/>
                    </w:rPr>
                    <w:t>kg</w:t>
                  </w:r>
                </w:p>
              </w:tc>
              <w:tc>
                <w:tcPr>
                  <w:tcW w:type="dxa" w:w="1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75"/>
                    <w:jc w:val="center"/>
                  </w:pPr>
                  <w:r>
                    <w:rPr>
                      <w:rFonts w:ascii="仿宋_GB2312" w:hAnsi="仿宋_GB2312" w:cs="仿宋_GB2312" w:eastAsia="仿宋_GB2312"/>
                      <w:sz w:val="21"/>
                    </w:rPr>
                    <w:t>10.00</w:t>
                  </w:r>
                </w:p>
              </w:tc>
            </w:tr>
          </w:tbl>
          <w:p>
            <w:pPr>
              <w:pStyle w:val="null3"/>
              <w:ind w:firstLine="420"/>
              <w:jc w:val="both"/>
            </w:pPr>
            <w:r>
              <w:rPr>
                <w:rFonts w:ascii="仿宋_GB2312" w:hAnsi="仿宋_GB2312" w:cs="仿宋_GB2312" w:eastAsia="仿宋_GB2312"/>
                <w:sz w:val="21"/>
              </w:rPr>
              <w:t>注：</w:t>
            </w:r>
            <w:r>
              <w:rPr>
                <w:rFonts w:ascii="仿宋_GB2312" w:hAnsi="仿宋_GB2312" w:cs="仿宋_GB2312" w:eastAsia="仿宋_GB2312"/>
                <w:sz w:val="21"/>
              </w:rPr>
              <w:t>1、每次服务费结算计算方式：每次结算金额=每次实际发生数量×单价最高限价×中标百分比-考核违约金。本次报价为统一百分比报价，统一百分比报价作为项目结算价格履约依据。服务内容中所有项目均按照该百分比结算，如供应商统一百分比报价为90%，某单项服务内容的单价最高限价为100元，则该单项服务费=100*90%=90元。</w:t>
            </w:r>
          </w:p>
          <w:p>
            <w:pPr>
              <w:pStyle w:val="null3"/>
              <w:ind w:firstLine="420"/>
              <w:jc w:val="both"/>
            </w:pPr>
            <w:r>
              <w:rPr>
                <w:rFonts w:ascii="仿宋_GB2312" w:hAnsi="仿宋_GB2312" w:cs="仿宋_GB2312" w:eastAsia="仿宋_GB2312"/>
                <w:sz w:val="21"/>
              </w:rPr>
              <w:t>2、供应商报价包含危险废物的转运申报、清掏、包装、运输、装车、暂存、处置、机械进出场、安全文明施工、</w:t>
            </w:r>
            <w:r>
              <w:rPr>
                <w:rFonts w:ascii="仿宋_GB2312" w:hAnsi="仿宋_GB2312" w:cs="仿宋_GB2312" w:eastAsia="仿宋_GB2312"/>
                <w:sz w:val="21"/>
              </w:rPr>
              <w:t>保险、人员差旅、税费等所有费用。供应商应根据本项目的实际与自身情况，并充分考虑不确定性因素可能导致的风险。若因供应商原因造成的漏报、错报而导致本项目无法履行的，由供应商负责，采购人不承担任何费用。</w:t>
            </w:r>
          </w:p>
          <w:p>
            <w:pPr>
              <w:pStyle w:val="null3"/>
              <w:ind w:firstLine="420"/>
              <w:jc w:val="both"/>
            </w:pPr>
            <w:r>
              <w:rPr>
                <w:rFonts w:ascii="仿宋_GB2312" w:hAnsi="仿宋_GB2312" w:cs="仿宋_GB2312" w:eastAsia="仿宋_GB2312"/>
                <w:sz w:val="21"/>
              </w:rPr>
              <w:t>3、服务期限内年度累计结算金额不得超过年度预算金额，若年度累计结算金额超出</w:t>
            </w:r>
            <w:r>
              <w:rPr>
                <w:rFonts w:ascii="仿宋_GB2312" w:hAnsi="仿宋_GB2312" w:cs="仿宋_GB2312" w:eastAsia="仿宋_GB2312"/>
                <w:sz w:val="21"/>
              </w:rPr>
              <w:t>年度预算金额，则仍按年度预算金额进行结算。</w:t>
            </w:r>
          </w:p>
          <w:p>
            <w:pPr>
              <w:pStyle w:val="null3"/>
              <w:ind w:firstLine="420"/>
              <w:jc w:val="both"/>
            </w:pPr>
            <w:r>
              <w:rPr>
                <w:rFonts w:ascii="仿宋_GB2312" w:hAnsi="仿宋_GB2312" w:cs="仿宋_GB2312" w:eastAsia="仿宋_GB2312"/>
                <w:sz w:val="21"/>
              </w:rPr>
              <w:t>4、本采购项目合同为年度单价合同，年度合同期限届满时，若采购人实际采购金额未达到本项目年度预算金额的，投标人不得因此向采购人主张任何权利。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20"/>
              <w:jc w:val="both"/>
            </w:pPr>
            <w:r>
              <w:rPr>
                <w:rFonts w:ascii="仿宋_GB2312" w:hAnsi="仿宋_GB2312" w:cs="仿宋_GB2312" w:eastAsia="仿宋_GB2312"/>
                <w:sz w:val="21"/>
              </w:rPr>
              <w:t>1、供应商按照《中华人民共和国环境保护法》《中华人民共和国安全生产法》《医疗废物管理条例》《危险废物转移管理办法》《四川省安全生产条例》《四川省有限空间作业安全管理规定》等有关法律法规、规范及标准（若有出台最新版本标准的，以新的为准，下同）的相关要求为采购人提供服务内容的所有危废代码的危险废物清掏（污泥和浮渣）、转运、无害化处置服务。</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每次实施危险废物转运处置服务时，双方按照实施的服务内容须对各类危险废物的称重、转运、交接等环节进行验收和监督，确保转运处置的各类危险废物实际重量与《危险废物转转移联单》记录保持一致，双方须签字确认。同时，供应商须为本项目服务内容办理转移、无害化处置等相关手续【包括协助采购人完成各类危险废物在四川省固体废物环境管理信息系统（简称</w:t>
            </w:r>
            <w:r>
              <w:rPr>
                <w:rFonts w:ascii="仿宋_GB2312" w:hAnsi="仿宋_GB2312" w:cs="仿宋_GB2312" w:eastAsia="仿宋_GB2312"/>
                <w:sz w:val="21"/>
              </w:rPr>
              <w:t>“无废四川”系统）的申报、交接、转运、数据上传、填写转移联单以及登记、统计等工作】，转运处置全流程审批完成后十个工作日内向采购人提供“无废四川”《危险废物转移联单》1份。</w:t>
            </w:r>
          </w:p>
          <w:p>
            <w:pPr>
              <w:pStyle w:val="null3"/>
              <w:ind w:firstLine="420"/>
              <w:jc w:val="both"/>
            </w:pPr>
            <w:r>
              <w:rPr>
                <w:rFonts w:ascii="仿宋_GB2312" w:hAnsi="仿宋_GB2312" w:cs="仿宋_GB2312" w:eastAsia="仿宋_GB2312"/>
                <w:sz w:val="21"/>
              </w:rPr>
              <w:t>3、供应商负责将本项目各类危险废物转运至具有法定资质的运输工具上，在危险废物转运至运输工具过程中，必须采取相应安全防护措施和污染防治措施（包括防爆、防火、防中毒、防感染、防泄漏等），确保本项目各类危险废物所涉及的收集、贮存、处置等具体实施过程中完全符合上述有关法律法规、行业标准的有关要求。</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供应商负责维护采购人各院区院内化粪池、排污管道等地下污水管网疏通维护服务工作（</w:t>
            </w:r>
            <w:r>
              <w:rPr>
                <w:rFonts w:ascii="仿宋_GB2312" w:hAnsi="仿宋_GB2312" w:cs="仿宋_GB2312" w:eastAsia="仿宋_GB2312"/>
                <w:sz w:val="21"/>
              </w:rPr>
              <w:t>每两个月开展</w:t>
            </w:r>
            <w:r>
              <w:rPr>
                <w:rFonts w:ascii="仿宋_GB2312" w:hAnsi="仿宋_GB2312" w:cs="仿宋_GB2312" w:eastAsia="仿宋_GB2312"/>
              </w:rPr>
              <w:t>≥</w:t>
            </w:r>
            <w:r>
              <w:rPr>
                <w:rFonts w:ascii="仿宋_GB2312" w:hAnsi="仿宋_GB2312" w:cs="仿宋_GB2312" w:eastAsia="仿宋_GB2312"/>
                <w:sz w:val="21"/>
              </w:rPr>
              <w:t>1次），确保其</w:t>
            </w:r>
            <w:r>
              <w:rPr>
                <w:rFonts w:ascii="仿宋_GB2312" w:hAnsi="仿宋_GB2312" w:cs="仿宋_GB2312" w:eastAsia="仿宋_GB2312"/>
                <w:sz w:val="21"/>
              </w:rPr>
              <w:t>排放通畅，产生的费用已包含在报价中，采购人不再另行支付其他任何费用。</w:t>
            </w:r>
          </w:p>
          <w:p>
            <w:pPr>
              <w:pStyle w:val="null3"/>
              <w:ind w:firstLine="420"/>
              <w:jc w:val="both"/>
            </w:pPr>
            <w:r>
              <w:rPr>
                <w:rFonts w:ascii="仿宋_GB2312" w:hAnsi="仿宋_GB2312" w:cs="仿宋_GB2312" w:eastAsia="仿宋_GB2312"/>
                <w:sz w:val="21"/>
                <w:color w:val="000000"/>
              </w:rPr>
              <w:t>5、供应商为采购人提供化粪池及污水处理站浮渣和污泥处理技术服务时：</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1）清掏前必须对即将清掏的池体进行消毒，按规范向池体内投加活性氧消毒剂（投加比例1:50），为保证污水处理站活性细菌生存率，不得使用含氯消毒剂，确保清掏前污泥指标满足以下要求（参照GB 18466-2005《医疗机构水污染物排放标准》）：</w:t>
            </w:r>
          </w:p>
          <w:tbl>
            <w:tblPr>
              <w:tblBorders>
                <w:top w:val="none" w:color="000000" w:sz="4"/>
                <w:left w:val="none" w:color="000000" w:sz="4"/>
                <w:bottom w:val="none" w:color="000000" w:sz="4"/>
                <w:right w:val="none" w:color="000000" w:sz="4"/>
                <w:insideH w:val="none"/>
                <w:insideV w:val="none"/>
              </w:tblBorders>
            </w:tblPr>
            <w:tblGrid>
              <w:gridCol w:w="2793"/>
              <w:gridCol w:w="2793"/>
            </w:tblGrid>
            <w:tr>
              <w:tc>
                <w:tcPr>
                  <w:tcW w:type="dxa" w:w="27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指标名称</w:t>
                  </w:r>
                </w:p>
              </w:tc>
              <w:tc>
                <w:tcPr>
                  <w:tcW w:type="dxa" w:w="27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控制标准</w:t>
                  </w:r>
                </w:p>
              </w:tc>
            </w:tr>
            <w:tr>
              <w:tc>
                <w:tcPr>
                  <w:tcW w:type="dxa" w:w="2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粪大肠菌群数</w:t>
                  </w:r>
                </w:p>
              </w:tc>
              <w:tc>
                <w:tcPr>
                  <w:tcW w:type="dxa" w:w="2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≤100MPN/</w:t>
                  </w:r>
                  <w:r>
                    <w:rPr>
                      <w:rFonts w:ascii="仿宋_GB2312" w:hAnsi="仿宋_GB2312" w:cs="仿宋_GB2312" w:eastAsia="仿宋_GB2312"/>
                      <w:sz w:val="30"/>
                    </w:rPr>
                    <w:t>g</w:t>
                  </w:r>
                </w:p>
              </w:tc>
            </w:tr>
            <w:tr>
              <w:tc>
                <w:tcPr>
                  <w:tcW w:type="dxa" w:w="2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蛔虫卵死亡率</w:t>
                  </w:r>
                </w:p>
              </w:tc>
              <w:tc>
                <w:tcPr>
                  <w:tcW w:type="dxa" w:w="2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&gt;95%</w:t>
                  </w:r>
                </w:p>
              </w:tc>
            </w:tr>
          </w:tbl>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2）为防止感染源扩散以及对周围环境造成二次污染，严禁在地面堆放污泥和浮渣，不得在采购人院区内对污泥和浮渣进行干化处理，污泥和浮渣清掏后24小时内转运出院，不得在采购人院区内停放超过24小时。</w:t>
            </w:r>
          </w:p>
          <w:p>
            <w:pPr>
              <w:pStyle w:val="null3"/>
              <w:ind w:firstLine="420"/>
              <w:jc w:val="both"/>
            </w:pPr>
            <w:r>
              <w:rPr>
                <w:rFonts w:ascii="仿宋_GB2312" w:hAnsi="仿宋_GB2312" w:cs="仿宋_GB2312" w:eastAsia="仿宋_GB2312"/>
                <w:sz w:val="21"/>
                <w:color w:val="000000"/>
              </w:rPr>
              <w:t>6、供应商提供服务或作业时，须达到要求：</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必须提前做好服务或作业人员的安全及技能培训工作，做好相应安全防护措施。服务或作业人员着装统一，佩戴安全防护装备，有监督人员进场跟踪方能作业，严禁在无人监护下进行作业，作业完成后须做到工完场清。</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2）涉及有限空间作业的，须按《四川省有限空间作业安全管理规定》等有关法律法规及规范要求实施。</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3）做好环境保护和职业防护等相关措施，防止环境污染、院感事件及安全等事故的发生。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严格遵守采购人的规章制度，不得影响采购人正常工作秩序和医疗秩序。若因违规作业、或故意、或过失、环境污染等行为造成的自身、采购人或其他第三人的人身伤害（亡）或财产（或代管财产）损失等均由供应商承担相应责任。</w:t>
            </w:r>
          </w:p>
          <w:p>
            <w:pPr>
              <w:pStyle w:val="null3"/>
              <w:ind w:firstLine="420"/>
              <w:jc w:val="both"/>
            </w:pPr>
            <w:r>
              <w:rPr>
                <w:rFonts w:ascii="仿宋_GB2312" w:hAnsi="仿宋_GB2312" w:cs="仿宋_GB2312" w:eastAsia="仿宋_GB2312"/>
                <w:sz w:val="21"/>
              </w:rPr>
              <w:t>7、紧急情况下，供应商须30分钟内响应，2小时内到达现场开展处置工作。若</w:t>
            </w:r>
            <w:r>
              <w:rPr>
                <w:rFonts w:ascii="仿宋_GB2312" w:hAnsi="仿宋_GB2312" w:cs="仿宋_GB2312" w:eastAsia="仿宋_GB2312"/>
                <w:sz w:val="21"/>
              </w:rPr>
              <w:t>发生重大突发公共卫生事件或突发事件时，供应商须按上级主管部门相关文件要求对危险废物进行处置。</w:t>
            </w:r>
          </w:p>
          <w:p>
            <w:pPr>
              <w:pStyle w:val="null3"/>
              <w:ind w:firstLine="420"/>
              <w:jc w:val="both"/>
            </w:pPr>
            <w:r>
              <w:rPr>
                <w:rFonts w:ascii="仿宋_GB2312" w:hAnsi="仿宋_GB2312" w:cs="仿宋_GB2312" w:eastAsia="仿宋_GB2312"/>
                <w:sz w:val="21"/>
                <w:color w:val="000000"/>
              </w:rPr>
              <w:t>8、供应商针对本项目须设置项目经理1名，专门负责与本项目服务有关的一切事宜，项目经理实行备案制度，未经采购人书面同意不得擅自更换。若发现擅自更换项目经理的，采购人可单方面终止合同并追究供应商违约责任。（</w:t>
            </w:r>
            <w:r>
              <w:rPr>
                <w:rFonts w:ascii="仿宋_GB2312" w:hAnsi="仿宋_GB2312" w:cs="仿宋_GB2312" w:eastAsia="仿宋_GB2312"/>
                <w:sz w:val="21"/>
                <w:b/>
                <w:color w:val="000000"/>
              </w:rPr>
              <w:t>投标时须提供人员名单、联系方式、身份证扫描件及劳动合同扫描件并加盖供应商公章）。</w:t>
            </w:r>
          </w:p>
          <w:p>
            <w:pPr>
              <w:pStyle w:val="null3"/>
              <w:ind w:firstLine="420"/>
              <w:jc w:val="both"/>
            </w:pPr>
            <w:r>
              <w:rPr>
                <w:rFonts w:ascii="仿宋_GB2312" w:hAnsi="仿宋_GB2312" w:cs="仿宋_GB2312" w:eastAsia="仿宋_GB2312"/>
                <w:sz w:val="21"/>
              </w:rPr>
              <w:t>9、采购人按次（每实施一次考核一次）对供应商服务质量进行考核，并根据考核结果支付相应的违约金，违约金将在付款时予以扣除，服务质量考核标准详见下表。</w:t>
            </w:r>
          </w:p>
          <w:p>
            <w:pPr>
              <w:pStyle w:val="null3"/>
              <w:jc w:val="center"/>
            </w:pPr>
            <w:r>
              <w:rPr>
                <w:rFonts w:ascii="仿宋_GB2312" w:hAnsi="仿宋_GB2312" w:cs="仿宋_GB2312" w:eastAsia="仿宋_GB2312"/>
                <w:sz w:val="21"/>
                <w:b/>
              </w:rPr>
              <w:t>服务质量考核表</w:t>
            </w:r>
          </w:p>
          <w:tbl>
            <w:tblPr>
              <w:tblInd w:type="dxa" w:w="135"/>
              <w:tblBorders>
                <w:top w:val="none" w:color="000000" w:sz="4"/>
                <w:left w:val="none" w:color="000000" w:sz="4"/>
                <w:bottom w:val="none" w:color="000000" w:sz="4"/>
                <w:right w:val="none" w:color="000000" w:sz="4"/>
                <w:insideH w:val="none"/>
                <w:insideV w:val="none"/>
              </w:tblBorders>
            </w:tblPr>
            <w:tblGrid>
              <w:gridCol w:w="389"/>
              <w:gridCol w:w="4498"/>
              <w:gridCol w:w="373"/>
              <w:gridCol w:w="335"/>
            </w:tblGrid>
            <w:tr>
              <w:tc>
                <w:tcPr>
                  <w:tcW w:type="dxa" w:w="38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项目</w:t>
                  </w:r>
                </w:p>
                <w:p>
                  <w:pPr>
                    <w:pStyle w:val="null3"/>
                    <w:jc w:val="left"/>
                  </w:pPr>
                  <w:r>
                    <w:rPr>
                      <w:rFonts w:ascii="仿宋_GB2312" w:hAnsi="仿宋_GB2312" w:cs="仿宋_GB2312" w:eastAsia="仿宋_GB2312"/>
                      <w:sz w:val="19"/>
                    </w:rPr>
                    <w:t xml:space="preserve"> </w:t>
                  </w:r>
                </w:p>
              </w:tc>
              <w:tc>
                <w:tcPr>
                  <w:tcW w:type="dxa" w:w="44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考核标准</w:t>
                  </w:r>
                </w:p>
              </w:tc>
              <w:tc>
                <w:tcPr>
                  <w:tcW w:type="dxa" w:w="3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考核结果</w:t>
                  </w:r>
                </w:p>
              </w:tc>
              <w:tc>
                <w:tcPr>
                  <w:tcW w:type="dxa" w:w="33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处理措施</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1</w:t>
                  </w:r>
                </w:p>
              </w:tc>
              <w:tc>
                <w:tcPr>
                  <w:tcW w:type="dxa" w:w="44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供应商服务人员</w:t>
                  </w:r>
                  <w:r>
                    <w:rPr>
                      <w:rFonts w:ascii="仿宋_GB2312" w:hAnsi="仿宋_GB2312" w:cs="仿宋_GB2312" w:eastAsia="仿宋_GB2312"/>
                      <w:sz w:val="21"/>
                    </w:rPr>
                    <w:t>仪表不整洁，不佩戴工作牌，不文明语言</w:t>
                  </w:r>
                  <w:r>
                    <w:rPr>
                      <w:rFonts w:ascii="仿宋_GB2312" w:hAnsi="仿宋_GB2312" w:cs="仿宋_GB2312" w:eastAsia="仿宋_GB2312"/>
                      <w:sz w:val="21"/>
                    </w:rPr>
                    <w:t>或</w:t>
                  </w:r>
                  <w:r>
                    <w:rPr>
                      <w:rFonts w:ascii="仿宋_GB2312" w:hAnsi="仿宋_GB2312" w:cs="仿宋_GB2312" w:eastAsia="仿宋_GB2312"/>
                      <w:sz w:val="21"/>
                    </w:rPr>
                    <w:t>行为，在</w:t>
                  </w:r>
                  <w:r>
                    <w:rPr>
                      <w:rFonts w:ascii="仿宋_GB2312" w:hAnsi="仿宋_GB2312" w:cs="仿宋_GB2312" w:eastAsia="仿宋_GB2312"/>
                      <w:sz w:val="21"/>
                    </w:rPr>
                    <w:t>采购人</w:t>
                  </w:r>
                  <w:r>
                    <w:rPr>
                      <w:rFonts w:ascii="仿宋_GB2312" w:hAnsi="仿宋_GB2312" w:cs="仿宋_GB2312" w:eastAsia="仿宋_GB2312"/>
                      <w:sz w:val="21"/>
                    </w:rPr>
                    <w:t>院内吸烟、喝酒等。（</w:t>
                  </w:r>
                  <w:r>
                    <w:rPr>
                      <w:rFonts w:ascii="仿宋_GB2312" w:hAnsi="仿宋_GB2312" w:cs="仿宋_GB2312" w:eastAsia="仿宋_GB2312"/>
                      <w:sz w:val="21"/>
                    </w:rPr>
                    <w:t>违反一次，</w:t>
                  </w:r>
                  <w:r>
                    <w:rPr>
                      <w:rFonts w:ascii="仿宋_GB2312" w:hAnsi="仿宋_GB2312" w:cs="仿宋_GB2312" w:eastAsia="仿宋_GB2312"/>
                      <w:sz w:val="21"/>
                    </w:rPr>
                    <w:t>每次扣</w:t>
                  </w:r>
                  <w:r>
                    <w:rPr>
                      <w:rFonts w:ascii="仿宋_GB2312" w:hAnsi="仿宋_GB2312" w:cs="仿宋_GB2312" w:eastAsia="仿宋_GB2312"/>
                      <w:sz w:val="21"/>
                    </w:rPr>
                    <w:t>20</w:t>
                  </w:r>
                  <w:r>
                    <w:rPr>
                      <w:rFonts w:ascii="仿宋_GB2312" w:hAnsi="仿宋_GB2312" w:cs="仿宋_GB2312" w:eastAsia="仿宋_GB2312"/>
                      <w:sz w:val="21"/>
                    </w:rPr>
                    <w:t>元）</w:t>
                  </w:r>
                </w:p>
              </w:tc>
              <w:tc>
                <w:tcPr>
                  <w:tcW w:type="dxa" w:w="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2</w:t>
                  </w:r>
                </w:p>
              </w:tc>
              <w:tc>
                <w:tcPr>
                  <w:tcW w:type="dxa" w:w="44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服务过程中</w:t>
                  </w:r>
                  <w:r>
                    <w:rPr>
                      <w:rFonts w:ascii="仿宋_GB2312" w:hAnsi="仿宋_GB2312" w:cs="仿宋_GB2312" w:eastAsia="仿宋_GB2312"/>
                      <w:sz w:val="21"/>
                    </w:rPr>
                    <w:t>出现与医护人员、患者纠纷。（</w:t>
                  </w:r>
                  <w:r>
                    <w:rPr>
                      <w:rFonts w:ascii="仿宋_GB2312" w:hAnsi="仿宋_GB2312" w:cs="仿宋_GB2312" w:eastAsia="仿宋_GB2312"/>
                      <w:sz w:val="21"/>
                    </w:rPr>
                    <w:t>违反一次，</w:t>
                  </w:r>
                  <w:r>
                    <w:rPr>
                      <w:rFonts w:ascii="仿宋_GB2312" w:hAnsi="仿宋_GB2312" w:cs="仿宋_GB2312" w:eastAsia="仿宋_GB2312"/>
                      <w:sz w:val="21"/>
                    </w:rPr>
                    <w:t>每次扣</w:t>
                  </w:r>
                  <w:r>
                    <w:rPr>
                      <w:rFonts w:ascii="仿宋_GB2312" w:hAnsi="仿宋_GB2312" w:cs="仿宋_GB2312" w:eastAsia="仿宋_GB2312"/>
                      <w:sz w:val="21"/>
                    </w:rPr>
                    <w:t>5</w:t>
                  </w:r>
                  <w:r>
                    <w:rPr>
                      <w:rFonts w:ascii="仿宋_GB2312" w:hAnsi="仿宋_GB2312" w:cs="仿宋_GB2312" w:eastAsia="仿宋_GB2312"/>
                      <w:sz w:val="21"/>
                    </w:rPr>
                    <w:t>0元）</w:t>
                  </w:r>
                </w:p>
              </w:tc>
              <w:tc>
                <w:tcPr>
                  <w:tcW w:type="dxa" w:w="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3</w:t>
                  </w:r>
                </w:p>
              </w:tc>
              <w:tc>
                <w:tcPr>
                  <w:tcW w:type="dxa" w:w="44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服务过程未采取防护措施，造成采购人</w:t>
                  </w:r>
                  <w:r>
                    <w:rPr>
                      <w:rFonts w:ascii="仿宋_GB2312" w:hAnsi="仿宋_GB2312" w:cs="仿宋_GB2312" w:eastAsia="仿宋_GB2312"/>
                      <w:sz w:val="21"/>
                    </w:rPr>
                    <w:t>公共设施</w:t>
                  </w:r>
                  <w:r>
                    <w:rPr>
                      <w:rFonts w:ascii="仿宋_GB2312" w:hAnsi="仿宋_GB2312" w:cs="仿宋_GB2312" w:eastAsia="仿宋_GB2312"/>
                      <w:sz w:val="21"/>
                    </w:rPr>
                    <w:t>设备污垢或污渍的</w:t>
                  </w:r>
                  <w:r>
                    <w:rPr>
                      <w:rFonts w:ascii="仿宋_GB2312" w:hAnsi="仿宋_GB2312" w:cs="仿宋_GB2312" w:eastAsia="仿宋_GB2312"/>
                      <w:sz w:val="21"/>
                    </w:rPr>
                    <w:t>。（</w:t>
                  </w:r>
                  <w:r>
                    <w:rPr>
                      <w:rFonts w:ascii="仿宋_GB2312" w:hAnsi="仿宋_GB2312" w:cs="仿宋_GB2312" w:eastAsia="仿宋_GB2312"/>
                      <w:sz w:val="21"/>
                    </w:rPr>
                    <w:t>违反一次，</w:t>
                  </w:r>
                  <w:r>
                    <w:rPr>
                      <w:rFonts w:ascii="仿宋_GB2312" w:hAnsi="仿宋_GB2312" w:cs="仿宋_GB2312" w:eastAsia="仿宋_GB2312"/>
                      <w:sz w:val="21"/>
                    </w:rPr>
                    <w:t>每次扣</w:t>
                  </w:r>
                  <w:r>
                    <w:rPr>
                      <w:rFonts w:ascii="仿宋_GB2312" w:hAnsi="仿宋_GB2312" w:cs="仿宋_GB2312" w:eastAsia="仿宋_GB2312"/>
                      <w:sz w:val="21"/>
                    </w:rPr>
                    <w:t>20元。）</w:t>
                  </w:r>
                </w:p>
              </w:tc>
              <w:tc>
                <w:tcPr>
                  <w:tcW w:type="dxa" w:w="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4</w:t>
                  </w:r>
                </w:p>
              </w:tc>
              <w:tc>
                <w:tcPr>
                  <w:tcW w:type="dxa" w:w="44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服务过程中，未</w:t>
                  </w:r>
                  <w:r>
                    <w:rPr>
                      <w:rFonts w:ascii="仿宋_GB2312" w:hAnsi="仿宋_GB2312" w:cs="仿宋_GB2312" w:eastAsia="仿宋_GB2312"/>
                      <w:sz w:val="21"/>
                    </w:rPr>
                    <w:t>配备</w:t>
                  </w:r>
                  <w:r>
                    <w:rPr>
                      <w:rFonts w:ascii="仿宋_GB2312" w:hAnsi="仿宋_GB2312" w:cs="仿宋_GB2312" w:eastAsia="仿宋_GB2312"/>
                      <w:sz w:val="21"/>
                    </w:rPr>
                    <w:t>有限空间作业人员少于</w:t>
                  </w:r>
                  <w:r>
                    <w:rPr>
                      <w:rFonts w:ascii="仿宋_GB2312" w:hAnsi="仿宋_GB2312" w:cs="仿宋_GB2312" w:eastAsia="仿宋_GB2312"/>
                      <w:sz w:val="21"/>
                    </w:rPr>
                    <w:t>2人的</w:t>
                  </w:r>
                  <w:r>
                    <w:rPr>
                      <w:rFonts w:ascii="仿宋_GB2312" w:hAnsi="仿宋_GB2312" w:cs="仿宋_GB2312" w:eastAsia="仿宋_GB2312"/>
                      <w:sz w:val="21"/>
                    </w:rPr>
                    <w:t>。（</w:t>
                  </w:r>
                  <w:r>
                    <w:rPr>
                      <w:rFonts w:ascii="仿宋_GB2312" w:hAnsi="仿宋_GB2312" w:cs="仿宋_GB2312" w:eastAsia="仿宋_GB2312"/>
                      <w:sz w:val="21"/>
                    </w:rPr>
                    <w:t>违反一次，</w:t>
                  </w:r>
                  <w:r>
                    <w:rPr>
                      <w:rFonts w:ascii="仿宋_GB2312" w:hAnsi="仿宋_GB2312" w:cs="仿宋_GB2312" w:eastAsia="仿宋_GB2312"/>
                      <w:sz w:val="21"/>
                    </w:rPr>
                    <w:t>每次扣</w:t>
                  </w:r>
                  <w:r>
                    <w:rPr>
                      <w:rFonts w:ascii="仿宋_GB2312" w:hAnsi="仿宋_GB2312" w:cs="仿宋_GB2312" w:eastAsia="仿宋_GB2312"/>
                      <w:sz w:val="21"/>
                    </w:rPr>
                    <w:t>50</w:t>
                  </w:r>
                  <w:r>
                    <w:rPr>
                      <w:rFonts w:ascii="仿宋_GB2312" w:hAnsi="仿宋_GB2312" w:cs="仿宋_GB2312" w:eastAsia="仿宋_GB2312"/>
                      <w:sz w:val="21"/>
                    </w:rPr>
                    <w:t>元）</w:t>
                  </w:r>
                </w:p>
              </w:tc>
              <w:tc>
                <w:tcPr>
                  <w:tcW w:type="dxa" w:w="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5</w:t>
                  </w:r>
                </w:p>
              </w:tc>
              <w:tc>
                <w:tcPr>
                  <w:tcW w:type="dxa" w:w="44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供应商</w:t>
                  </w:r>
                  <w:r>
                    <w:rPr>
                      <w:rFonts w:ascii="仿宋_GB2312" w:hAnsi="仿宋_GB2312" w:cs="仿宋_GB2312" w:eastAsia="仿宋_GB2312"/>
                      <w:sz w:val="21"/>
                    </w:rPr>
                    <w:t>未</w:t>
                  </w:r>
                  <w:r>
                    <w:rPr>
                      <w:rFonts w:ascii="仿宋_GB2312" w:hAnsi="仿宋_GB2312" w:cs="仿宋_GB2312" w:eastAsia="仿宋_GB2312"/>
                      <w:sz w:val="21"/>
                    </w:rPr>
                    <w:t>自备称重和院内转运工具</w:t>
                  </w:r>
                  <w:r>
                    <w:rPr>
                      <w:rFonts w:ascii="仿宋_GB2312" w:hAnsi="仿宋_GB2312" w:cs="仿宋_GB2312" w:eastAsia="仿宋_GB2312"/>
                      <w:sz w:val="21"/>
                    </w:rPr>
                    <w:t>的</w:t>
                  </w:r>
                  <w:r>
                    <w:rPr>
                      <w:rFonts w:ascii="仿宋_GB2312" w:hAnsi="仿宋_GB2312" w:cs="仿宋_GB2312" w:eastAsia="仿宋_GB2312"/>
                      <w:sz w:val="21"/>
                    </w:rPr>
                    <w:t>。（</w:t>
                  </w:r>
                  <w:r>
                    <w:rPr>
                      <w:rFonts w:ascii="仿宋_GB2312" w:hAnsi="仿宋_GB2312" w:cs="仿宋_GB2312" w:eastAsia="仿宋_GB2312"/>
                      <w:sz w:val="21"/>
                    </w:rPr>
                    <w:t>违反一次，</w:t>
                  </w:r>
                  <w:r>
                    <w:rPr>
                      <w:rFonts w:ascii="仿宋_GB2312" w:hAnsi="仿宋_GB2312" w:cs="仿宋_GB2312" w:eastAsia="仿宋_GB2312"/>
                      <w:sz w:val="21"/>
                    </w:rPr>
                    <w:t>每次扣</w:t>
                  </w:r>
                  <w:r>
                    <w:rPr>
                      <w:rFonts w:ascii="仿宋_GB2312" w:hAnsi="仿宋_GB2312" w:cs="仿宋_GB2312" w:eastAsia="仿宋_GB2312"/>
                      <w:sz w:val="21"/>
                    </w:rPr>
                    <w:t>50元）</w:t>
                  </w:r>
                </w:p>
              </w:tc>
              <w:tc>
                <w:tcPr>
                  <w:tcW w:type="dxa" w:w="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6</w:t>
                  </w:r>
                </w:p>
              </w:tc>
              <w:tc>
                <w:tcPr>
                  <w:tcW w:type="dxa" w:w="44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未完成</w:t>
                  </w:r>
                  <w:r>
                    <w:rPr>
                      <w:rFonts w:ascii="仿宋_GB2312" w:hAnsi="仿宋_GB2312" w:cs="仿宋_GB2312" w:eastAsia="仿宋_GB2312"/>
                      <w:sz w:val="21"/>
                    </w:rPr>
                    <w:t>对</w:t>
                  </w:r>
                  <w:r>
                    <w:rPr>
                      <w:rFonts w:ascii="仿宋_GB2312" w:hAnsi="仿宋_GB2312" w:cs="仿宋_GB2312" w:eastAsia="仿宋_GB2312"/>
                      <w:sz w:val="21"/>
                    </w:rPr>
                    <w:t>采购人</w:t>
                  </w:r>
                  <w:r>
                    <w:rPr>
                      <w:rFonts w:ascii="仿宋_GB2312" w:hAnsi="仿宋_GB2312" w:cs="仿宋_GB2312" w:eastAsia="仿宋_GB2312"/>
                      <w:sz w:val="21"/>
                    </w:rPr>
                    <w:t>院区内的</w:t>
                  </w:r>
                  <w:r>
                    <w:rPr>
                      <w:rFonts w:ascii="仿宋_GB2312" w:hAnsi="仿宋_GB2312" w:cs="仿宋_GB2312" w:eastAsia="仿宋_GB2312"/>
                      <w:sz w:val="21"/>
                    </w:rPr>
                    <w:t>污水池等浮渣和污泥、</w:t>
                  </w:r>
                  <w:r>
                    <w:rPr>
                      <w:rFonts w:ascii="仿宋_GB2312" w:hAnsi="仿宋_GB2312" w:cs="仿宋_GB2312" w:eastAsia="仿宋_GB2312"/>
                      <w:sz w:val="21"/>
                    </w:rPr>
                    <w:t>化学性</w:t>
                  </w:r>
                  <w:r>
                    <w:rPr>
                      <w:rFonts w:ascii="仿宋_GB2312" w:hAnsi="仿宋_GB2312" w:cs="仿宋_GB2312" w:eastAsia="仿宋_GB2312"/>
                      <w:sz w:val="21"/>
                    </w:rPr>
                    <w:t>废物、废活性炭、等危废</w:t>
                  </w:r>
                  <w:r>
                    <w:rPr>
                      <w:rFonts w:ascii="仿宋_GB2312" w:hAnsi="仿宋_GB2312" w:cs="仿宋_GB2312" w:eastAsia="仿宋_GB2312"/>
                      <w:sz w:val="21"/>
                    </w:rPr>
                    <w:t>进行转运、处置，并填写转移联单，资料保存</w:t>
                  </w:r>
                  <w:r>
                    <w:rPr>
                      <w:rFonts w:ascii="仿宋_GB2312" w:hAnsi="仿宋_GB2312" w:cs="仿宋_GB2312" w:eastAsia="仿宋_GB2312"/>
                      <w:sz w:val="21"/>
                    </w:rPr>
                    <w:t>3年。</w:t>
                  </w:r>
                  <w:r>
                    <w:rPr>
                      <w:rFonts w:ascii="仿宋_GB2312" w:hAnsi="仿宋_GB2312" w:cs="仿宋_GB2312" w:eastAsia="仿宋_GB2312"/>
                      <w:sz w:val="21"/>
                    </w:rPr>
                    <w:t>未</w:t>
                  </w:r>
                  <w:r>
                    <w:rPr>
                      <w:rFonts w:ascii="仿宋_GB2312" w:hAnsi="仿宋_GB2312" w:cs="仿宋_GB2312" w:eastAsia="仿宋_GB2312"/>
                      <w:sz w:val="21"/>
                    </w:rPr>
                    <w:t>完成危险废物转移、处置等相关手续申报。（</w:t>
                  </w:r>
                  <w:r>
                    <w:rPr>
                      <w:rFonts w:ascii="仿宋_GB2312" w:hAnsi="仿宋_GB2312" w:cs="仿宋_GB2312" w:eastAsia="仿宋_GB2312"/>
                      <w:sz w:val="21"/>
                    </w:rPr>
                    <w:t>违反一次，</w:t>
                  </w:r>
                  <w:r>
                    <w:rPr>
                      <w:rFonts w:ascii="仿宋_GB2312" w:hAnsi="仿宋_GB2312" w:cs="仿宋_GB2312" w:eastAsia="仿宋_GB2312"/>
                      <w:sz w:val="21"/>
                    </w:rPr>
                    <w:t>每次扣</w:t>
                  </w:r>
                  <w:r>
                    <w:rPr>
                      <w:rFonts w:ascii="仿宋_GB2312" w:hAnsi="仿宋_GB2312" w:cs="仿宋_GB2312" w:eastAsia="仿宋_GB2312"/>
                      <w:sz w:val="21"/>
                    </w:rPr>
                    <w:t>100元）</w:t>
                  </w:r>
                </w:p>
              </w:tc>
              <w:tc>
                <w:tcPr>
                  <w:tcW w:type="dxa" w:w="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7</w:t>
                  </w:r>
                </w:p>
              </w:tc>
              <w:tc>
                <w:tcPr>
                  <w:tcW w:type="dxa" w:w="44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院内转运未按采购人</w:t>
                  </w:r>
                  <w:r>
                    <w:rPr>
                      <w:rFonts w:ascii="仿宋_GB2312" w:hAnsi="仿宋_GB2312" w:cs="仿宋_GB2312" w:eastAsia="仿宋_GB2312"/>
                      <w:sz w:val="21"/>
                    </w:rPr>
                    <w:t>指定</w:t>
                  </w:r>
                  <w:r>
                    <w:rPr>
                      <w:rFonts w:ascii="仿宋_GB2312" w:hAnsi="仿宋_GB2312" w:cs="仿宋_GB2312" w:eastAsia="仿宋_GB2312"/>
                      <w:sz w:val="21"/>
                    </w:rPr>
                    <w:t>的路线进行</w:t>
                  </w:r>
                  <w:r>
                    <w:rPr>
                      <w:rFonts w:ascii="仿宋_GB2312" w:hAnsi="仿宋_GB2312" w:cs="仿宋_GB2312" w:eastAsia="仿宋_GB2312"/>
                      <w:sz w:val="21"/>
                    </w:rPr>
                    <w:t>转运（若有特殊情况，在不超出限定时间的前提下，可与</w:t>
                  </w:r>
                  <w:r>
                    <w:rPr>
                      <w:rFonts w:ascii="仿宋_GB2312" w:hAnsi="仿宋_GB2312" w:cs="仿宋_GB2312" w:eastAsia="仿宋_GB2312"/>
                      <w:sz w:val="21"/>
                    </w:rPr>
                    <w:t>采购人</w:t>
                  </w:r>
                  <w:r>
                    <w:rPr>
                      <w:rFonts w:ascii="仿宋_GB2312" w:hAnsi="仿宋_GB2312" w:cs="仿宋_GB2312" w:eastAsia="仿宋_GB2312"/>
                      <w:sz w:val="21"/>
                    </w:rPr>
                    <w:t>协商处理）（</w:t>
                  </w:r>
                  <w:r>
                    <w:rPr>
                      <w:rFonts w:ascii="仿宋_GB2312" w:hAnsi="仿宋_GB2312" w:cs="仿宋_GB2312" w:eastAsia="仿宋_GB2312"/>
                      <w:sz w:val="21"/>
                    </w:rPr>
                    <w:t>违反一次</w:t>
                  </w:r>
                  <w:r>
                    <w:rPr>
                      <w:rFonts w:ascii="仿宋_GB2312" w:hAnsi="仿宋_GB2312" w:cs="仿宋_GB2312" w:eastAsia="仿宋_GB2312"/>
                      <w:sz w:val="21"/>
                    </w:rPr>
                    <w:t>，每次扣</w:t>
                  </w:r>
                  <w:r>
                    <w:rPr>
                      <w:rFonts w:ascii="仿宋_GB2312" w:hAnsi="仿宋_GB2312" w:cs="仿宋_GB2312" w:eastAsia="仿宋_GB2312"/>
                      <w:sz w:val="21"/>
                    </w:rPr>
                    <w:t>100元）</w:t>
                  </w:r>
                </w:p>
              </w:tc>
              <w:tc>
                <w:tcPr>
                  <w:tcW w:type="dxa" w:w="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8</w:t>
                  </w:r>
                </w:p>
              </w:tc>
              <w:tc>
                <w:tcPr>
                  <w:tcW w:type="dxa" w:w="44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按采购人通知</w:t>
                  </w:r>
                  <w:r>
                    <w:rPr>
                      <w:rFonts w:ascii="仿宋_GB2312" w:hAnsi="仿宋_GB2312" w:cs="仿宋_GB2312" w:eastAsia="仿宋_GB2312"/>
                      <w:sz w:val="21"/>
                    </w:rPr>
                    <w:t>，供应商</w:t>
                  </w:r>
                  <w:r>
                    <w:rPr>
                      <w:rFonts w:ascii="仿宋_GB2312" w:hAnsi="仿宋_GB2312" w:cs="仿宋_GB2312" w:eastAsia="仿宋_GB2312"/>
                      <w:sz w:val="21"/>
                    </w:rPr>
                    <w:t>未在</w:t>
                  </w:r>
                  <w:r>
                    <w:rPr>
                      <w:rFonts w:ascii="仿宋_GB2312" w:hAnsi="仿宋_GB2312" w:cs="仿宋_GB2312" w:eastAsia="仿宋_GB2312"/>
                      <w:sz w:val="21"/>
                    </w:rPr>
                    <w:t>2</w:t>
                  </w:r>
                  <w:r>
                    <w:rPr>
                      <w:rFonts w:ascii="仿宋_GB2312" w:hAnsi="仿宋_GB2312" w:cs="仿宋_GB2312" w:eastAsia="仿宋_GB2312"/>
                      <w:sz w:val="21"/>
                    </w:rPr>
                    <w:t>小时内响应，</w:t>
                  </w:r>
                  <w:r>
                    <w:rPr>
                      <w:rFonts w:ascii="仿宋_GB2312" w:hAnsi="仿宋_GB2312" w:cs="仿宋_GB2312" w:eastAsia="仿宋_GB2312"/>
                      <w:sz w:val="21"/>
                    </w:rPr>
                    <w:t>2周内完成转运。（</w:t>
                  </w:r>
                  <w:r>
                    <w:rPr>
                      <w:rFonts w:ascii="仿宋_GB2312" w:hAnsi="仿宋_GB2312" w:cs="仿宋_GB2312" w:eastAsia="仿宋_GB2312"/>
                      <w:sz w:val="21"/>
                    </w:rPr>
                    <w:t>违反一次</w:t>
                  </w:r>
                  <w:r>
                    <w:rPr>
                      <w:rFonts w:ascii="仿宋_GB2312" w:hAnsi="仿宋_GB2312" w:cs="仿宋_GB2312" w:eastAsia="仿宋_GB2312"/>
                      <w:sz w:val="21"/>
                    </w:rPr>
                    <w:t>每次扣</w:t>
                  </w:r>
                  <w:r>
                    <w:rPr>
                      <w:rFonts w:ascii="仿宋_GB2312" w:hAnsi="仿宋_GB2312" w:cs="仿宋_GB2312" w:eastAsia="仿宋_GB2312"/>
                      <w:sz w:val="21"/>
                    </w:rPr>
                    <w:t>1000元）</w:t>
                  </w:r>
                </w:p>
              </w:tc>
              <w:tc>
                <w:tcPr>
                  <w:tcW w:type="dxa" w:w="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9</w:t>
                  </w:r>
                </w:p>
              </w:tc>
              <w:tc>
                <w:tcPr>
                  <w:tcW w:type="dxa" w:w="44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转运完成后的地面卫生</w:t>
                  </w:r>
                  <w:r>
                    <w:rPr>
                      <w:rFonts w:ascii="仿宋_GB2312" w:hAnsi="仿宋_GB2312" w:cs="仿宋_GB2312" w:eastAsia="仿宋_GB2312"/>
                      <w:sz w:val="21"/>
                    </w:rPr>
                    <w:t>，供应商</w:t>
                  </w:r>
                  <w:r>
                    <w:rPr>
                      <w:rFonts w:ascii="仿宋_GB2312" w:hAnsi="仿宋_GB2312" w:cs="仿宋_GB2312" w:eastAsia="仿宋_GB2312"/>
                      <w:sz w:val="21"/>
                    </w:rPr>
                    <w:t>未完成</w:t>
                  </w:r>
                  <w:r>
                    <w:rPr>
                      <w:rFonts w:ascii="仿宋_GB2312" w:hAnsi="仿宋_GB2312" w:cs="仿宋_GB2312" w:eastAsia="仿宋_GB2312"/>
                      <w:sz w:val="21"/>
                    </w:rPr>
                    <w:t>清洁打扫（</w:t>
                  </w:r>
                  <w:r>
                    <w:rPr>
                      <w:rFonts w:ascii="仿宋_GB2312" w:hAnsi="仿宋_GB2312" w:cs="仿宋_GB2312" w:eastAsia="仿宋_GB2312"/>
                      <w:sz w:val="21"/>
                    </w:rPr>
                    <w:t>违反一次</w:t>
                  </w:r>
                  <w:r>
                    <w:rPr>
                      <w:rFonts w:ascii="仿宋_GB2312" w:hAnsi="仿宋_GB2312" w:cs="仿宋_GB2312" w:eastAsia="仿宋_GB2312"/>
                      <w:sz w:val="21"/>
                    </w:rPr>
                    <w:t>，每次扣</w:t>
                  </w:r>
                  <w:r>
                    <w:rPr>
                      <w:rFonts w:ascii="仿宋_GB2312" w:hAnsi="仿宋_GB2312" w:cs="仿宋_GB2312" w:eastAsia="仿宋_GB2312"/>
                      <w:sz w:val="21"/>
                    </w:rPr>
                    <w:t>100元）</w:t>
                  </w:r>
                </w:p>
              </w:tc>
              <w:tc>
                <w:tcPr>
                  <w:tcW w:type="dxa" w:w="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10</w:t>
                  </w:r>
                </w:p>
              </w:tc>
              <w:tc>
                <w:tcPr>
                  <w:tcW w:type="dxa" w:w="44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采购人本项目各类危险</w:t>
                  </w:r>
                  <w:r>
                    <w:rPr>
                      <w:rFonts w:ascii="仿宋_GB2312" w:hAnsi="仿宋_GB2312" w:cs="仿宋_GB2312" w:eastAsia="仿宋_GB2312"/>
                      <w:sz w:val="21"/>
                    </w:rPr>
                    <w:t>废物密封转运，</w:t>
                  </w:r>
                  <w:r>
                    <w:rPr>
                      <w:rFonts w:ascii="仿宋_GB2312" w:hAnsi="仿宋_GB2312" w:cs="仿宋_GB2312" w:eastAsia="仿宋_GB2312"/>
                      <w:sz w:val="21"/>
                    </w:rPr>
                    <w:t>危险</w:t>
                  </w:r>
                  <w:r>
                    <w:rPr>
                      <w:rFonts w:ascii="仿宋_GB2312" w:hAnsi="仿宋_GB2312" w:cs="仿宋_GB2312" w:eastAsia="仿宋_GB2312"/>
                      <w:sz w:val="21"/>
                    </w:rPr>
                    <w:t>废物若洒落地面</w:t>
                  </w:r>
                  <w:r>
                    <w:rPr>
                      <w:rFonts w:ascii="仿宋_GB2312" w:hAnsi="仿宋_GB2312" w:cs="仿宋_GB2312" w:eastAsia="仿宋_GB2312"/>
                      <w:sz w:val="21"/>
                    </w:rPr>
                    <w:t>未在</w:t>
                  </w:r>
                  <w:r>
                    <w:rPr>
                      <w:rFonts w:ascii="仿宋_GB2312" w:hAnsi="仿宋_GB2312" w:cs="仿宋_GB2312" w:eastAsia="仿宋_GB2312"/>
                      <w:sz w:val="21"/>
                    </w:rPr>
                    <w:t>20分钟内清</w:t>
                  </w:r>
                  <w:r>
                    <w:rPr>
                      <w:rFonts w:ascii="仿宋_GB2312" w:hAnsi="仿宋_GB2312" w:cs="仿宋_GB2312" w:eastAsia="仿宋_GB2312"/>
                      <w:sz w:val="21"/>
                    </w:rPr>
                    <w:t>洁并按规范进行处理。因泄露的危险废物造成</w:t>
                  </w:r>
                  <w:r>
                    <w:rPr>
                      <w:rFonts w:ascii="仿宋_GB2312" w:hAnsi="仿宋_GB2312" w:cs="仿宋_GB2312" w:eastAsia="仿宋_GB2312"/>
                      <w:sz w:val="21"/>
                    </w:rPr>
                    <w:t>环境污染或人身损害（或伤亡）以及转运车辆发生交通事故等，</w:t>
                  </w:r>
                  <w:r>
                    <w:rPr>
                      <w:rFonts w:ascii="仿宋_GB2312" w:hAnsi="仿宋_GB2312" w:cs="仿宋_GB2312" w:eastAsia="仿宋_GB2312"/>
                      <w:sz w:val="21"/>
                    </w:rPr>
                    <w:t>由供应商承担全部责任。（</w:t>
                  </w:r>
                  <w:r>
                    <w:rPr>
                      <w:rFonts w:ascii="仿宋_GB2312" w:hAnsi="仿宋_GB2312" w:cs="仿宋_GB2312" w:eastAsia="仿宋_GB2312"/>
                      <w:sz w:val="21"/>
                    </w:rPr>
                    <w:t>违反一次</w:t>
                  </w:r>
                  <w:r>
                    <w:rPr>
                      <w:rFonts w:ascii="仿宋_GB2312" w:hAnsi="仿宋_GB2312" w:cs="仿宋_GB2312" w:eastAsia="仿宋_GB2312"/>
                      <w:sz w:val="21"/>
                    </w:rPr>
                    <w:t>，每次扣</w:t>
                  </w:r>
                  <w:r>
                    <w:rPr>
                      <w:rFonts w:ascii="仿宋_GB2312" w:hAnsi="仿宋_GB2312" w:cs="仿宋_GB2312" w:eastAsia="仿宋_GB2312"/>
                      <w:sz w:val="21"/>
                    </w:rPr>
                    <w:t>100元，由此产生的经济损失和法律责任等一切责任，全部由供应商承担）</w:t>
                  </w:r>
                </w:p>
              </w:tc>
              <w:tc>
                <w:tcPr>
                  <w:tcW w:type="dxa" w:w="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11</w:t>
                  </w:r>
                </w:p>
              </w:tc>
              <w:tc>
                <w:tcPr>
                  <w:tcW w:type="dxa" w:w="44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转运出</w:t>
                  </w:r>
                  <w:r>
                    <w:rPr>
                      <w:rFonts w:ascii="仿宋_GB2312" w:hAnsi="仿宋_GB2312" w:cs="仿宋_GB2312" w:eastAsia="仿宋_GB2312"/>
                      <w:sz w:val="21"/>
                    </w:rPr>
                    <w:t>采购人区域范围内</w:t>
                  </w:r>
                  <w:r>
                    <w:rPr>
                      <w:rFonts w:ascii="仿宋_GB2312" w:hAnsi="仿宋_GB2312" w:cs="仿宋_GB2312" w:eastAsia="仿宋_GB2312"/>
                      <w:sz w:val="21"/>
                    </w:rPr>
                    <w:t>的</w:t>
                  </w:r>
                  <w:r>
                    <w:rPr>
                      <w:rFonts w:ascii="仿宋_GB2312" w:hAnsi="仿宋_GB2312" w:cs="仿宋_GB2312" w:eastAsia="仿宋_GB2312"/>
                      <w:sz w:val="21"/>
                    </w:rPr>
                    <w:t>危险</w:t>
                  </w:r>
                  <w:r>
                    <w:rPr>
                      <w:rFonts w:ascii="仿宋_GB2312" w:hAnsi="仿宋_GB2312" w:cs="仿宋_GB2312" w:eastAsia="仿宋_GB2312"/>
                      <w:sz w:val="21"/>
                    </w:rPr>
                    <w:t>废物</w:t>
                  </w:r>
                  <w:r>
                    <w:rPr>
                      <w:rFonts w:ascii="仿宋_GB2312" w:hAnsi="仿宋_GB2312" w:cs="仿宋_GB2312" w:eastAsia="仿宋_GB2312"/>
                      <w:sz w:val="21"/>
                    </w:rPr>
                    <w:t>，</w:t>
                  </w:r>
                  <w:r>
                    <w:rPr>
                      <w:rFonts w:ascii="仿宋_GB2312" w:hAnsi="仿宋_GB2312" w:cs="仿宋_GB2312" w:eastAsia="仿宋_GB2312"/>
                      <w:sz w:val="21"/>
                    </w:rPr>
                    <w:t>供应商</w:t>
                  </w:r>
                  <w:r>
                    <w:rPr>
                      <w:rFonts w:ascii="仿宋_GB2312" w:hAnsi="仿宋_GB2312" w:cs="仿宋_GB2312" w:eastAsia="仿宋_GB2312"/>
                      <w:sz w:val="21"/>
                    </w:rPr>
                    <w:t>未</w:t>
                  </w:r>
                  <w:r>
                    <w:rPr>
                      <w:rFonts w:ascii="仿宋_GB2312" w:hAnsi="仿宋_GB2312" w:cs="仿宋_GB2312" w:eastAsia="仿宋_GB2312"/>
                      <w:sz w:val="21"/>
                    </w:rPr>
                    <w:t>按照</w:t>
                  </w:r>
                  <w:r>
                    <w:rPr>
                      <w:rFonts w:ascii="仿宋_GB2312" w:hAnsi="仿宋_GB2312" w:cs="仿宋_GB2312" w:eastAsia="仿宋_GB2312"/>
                      <w:sz w:val="21"/>
                    </w:rPr>
                    <w:t>本项目所述的法律法规及行业规范等有关要求</w:t>
                  </w:r>
                  <w:r>
                    <w:rPr>
                      <w:rFonts w:ascii="仿宋_GB2312" w:hAnsi="仿宋_GB2312" w:cs="仿宋_GB2312" w:eastAsia="仿宋_GB2312"/>
                      <w:sz w:val="21"/>
                    </w:rPr>
                    <w:t>的方式进行</w:t>
                  </w:r>
                  <w:r>
                    <w:rPr>
                      <w:rFonts w:ascii="仿宋_GB2312" w:hAnsi="仿宋_GB2312" w:cs="仿宋_GB2312" w:eastAsia="仿宋_GB2312"/>
                      <w:sz w:val="21"/>
                    </w:rPr>
                    <w:t>转运</w:t>
                  </w:r>
                  <w:r>
                    <w:rPr>
                      <w:rFonts w:ascii="仿宋_GB2312" w:hAnsi="仿宋_GB2312" w:cs="仿宋_GB2312" w:eastAsia="仿宋_GB2312"/>
                      <w:sz w:val="21"/>
                    </w:rPr>
                    <w:t>处置。（</w:t>
                  </w:r>
                  <w:r>
                    <w:rPr>
                      <w:rFonts w:ascii="仿宋_GB2312" w:hAnsi="仿宋_GB2312" w:cs="仿宋_GB2312" w:eastAsia="仿宋_GB2312"/>
                      <w:sz w:val="21"/>
                    </w:rPr>
                    <w:t>违反一次</w:t>
                  </w:r>
                  <w:r>
                    <w:rPr>
                      <w:rFonts w:ascii="仿宋_GB2312" w:hAnsi="仿宋_GB2312" w:cs="仿宋_GB2312" w:eastAsia="仿宋_GB2312"/>
                      <w:sz w:val="21"/>
                    </w:rPr>
                    <w:t>，每次扣</w:t>
                  </w:r>
                  <w:r>
                    <w:rPr>
                      <w:rFonts w:ascii="仿宋_GB2312" w:hAnsi="仿宋_GB2312" w:cs="仿宋_GB2312" w:eastAsia="仿宋_GB2312"/>
                      <w:sz w:val="21"/>
                    </w:rPr>
                    <w:t>5</w:t>
                  </w:r>
                  <w:r>
                    <w:rPr>
                      <w:rFonts w:ascii="仿宋_GB2312" w:hAnsi="仿宋_GB2312" w:cs="仿宋_GB2312" w:eastAsia="仿宋_GB2312"/>
                      <w:sz w:val="21"/>
                    </w:rPr>
                    <w:t>00元）</w:t>
                  </w:r>
                </w:p>
              </w:tc>
              <w:tc>
                <w:tcPr>
                  <w:tcW w:type="dxa" w:w="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12</w:t>
                  </w:r>
                </w:p>
              </w:tc>
              <w:tc>
                <w:tcPr>
                  <w:tcW w:type="dxa" w:w="44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周末及</w:t>
                  </w:r>
                  <w:r>
                    <w:rPr>
                      <w:rFonts w:ascii="仿宋_GB2312" w:hAnsi="仿宋_GB2312" w:cs="仿宋_GB2312" w:eastAsia="仿宋_GB2312"/>
                      <w:sz w:val="21"/>
                    </w:rPr>
                    <w:t>法定节假日</w:t>
                  </w:r>
                  <w:r>
                    <w:rPr>
                      <w:rFonts w:ascii="仿宋_GB2312" w:hAnsi="仿宋_GB2312" w:cs="仿宋_GB2312" w:eastAsia="仿宋_GB2312"/>
                      <w:sz w:val="21"/>
                    </w:rPr>
                    <w:t>未</w:t>
                  </w:r>
                  <w:r>
                    <w:rPr>
                      <w:rFonts w:ascii="仿宋_GB2312" w:hAnsi="仿宋_GB2312" w:cs="仿宋_GB2312" w:eastAsia="仿宋_GB2312"/>
                      <w:sz w:val="21"/>
                    </w:rPr>
                    <w:t>能保证</w:t>
                  </w:r>
                  <w:r>
                    <w:rPr>
                      <w:rFonts w:ascii="仿宋_GB2312" w:hAnsi="仿宋_GB2312" w:cs="仿宋_GB2312" w:eastAsia="仿宋_GB2312"/>
                      <w:sz w:val="21"/>
                    </w:rPr>
                    <w:t>本项目各项</w:t>
                  </w:r>
                  <w:r>
                    <w:rPr>
                      <w:rFonts w:ascii="仿宋_GB2312" w:hAnsi="仿宋_GB2312" w:cs="仿宋_GB2312" w:eastAsia="仿宋_GB2312"/>
                      <w:sz w:val="21"/>
                    </w:rPr>
                    <w:t>服务正常进行。（</w:t>
                  </w:r>
                  <w:r>
                    <w:rPr>
                      <w:rFonts w:ascii="仿宋_GB2312" w:hAnsi="仿宋_GB2312" w:cs="仿宋_GB2312" w:eastAsia="仿宋_GB2312"/>
                      <w:sz w:val="21"/>
                    </w:rPr>
                    <w:t>违反一次</w:t>
                  </w:r>
                  <w:r>
                    <w:rPr>
                      <w:rFonts w:ascii="仿宋_GB2312" w:hAnsi="仿宋_GB2312" w:cs="仿宋_GB2312" w:eastAsia="仿宋_GB2312"/>
                      <w:sz w:val="21"/>
                    </w:rPr>
                    <w:t>，每次扣</w:t>
                  </w:r>
                  <w:r>
                    <w:rPr>
                      <w:rFonts w:ascii="仿宋_GB2312" w:hAnsi="仿宋_GB2312" w:cs="仿宋_GB2312" w:eastAsia="仿宋_GB2312"/>
                      <w:sz w:val="21"/>
                    </w:rPr>
                    <w:t>5</w:t>
                  </w:r>
                  <w:r>
                    <w:rPr>
                      <w:rFonts w:ascii="仿宋_GB2312" w:hAnsi="仿宋_GB2312" w:cs="仿宋_GB2312" w:eastAsia="仿宋_GB2312"/>
                      <w:sz w:val="21"/>
                    </w:rPr>
                    <w:t>00元）</w:t>
                  </w:r>
                </w:p>
              </w:tc>
              <w:tc>
                <w:tcPr>
                  <w:tcW w:type="dxa" w:w="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5595"/>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rPr>
                    <w:t>考核者签名：</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 （说明：因系统固化原因，3.3.2商务要求中“付款进度安排”不适用本项目。“付款进度安排”以此为准）</w:t>
            </w:r>
          </w:p>
        </w:tc>
        <w:tc>
          <w:tcPr>
            <w:tcW w:type="dxa" w:w="5814"/>
          </w:tcPr>
          <w:p>
            <w:pPr>
              <w:pStyle w:val="null3"/>
              <w:jc w:val="both"/>
            </w:pPr>
            <w:r>
              <w:rPr>
                <w:rFonts w:ascii="仿宋_GB2312" w:hAnsi="仿宋_GB2312" w:cs="仿宋_GB2312" w:eastAsia="仿宋_GB2312"/>
                <w:sz w:val="24"/>
                <w:color w:val="000000"/>
              </w:rPr>
              <w:t>按次结算。每次转移处置工作完成后十个工作日内向采购人提交相关报销资料（如：请款单、危险废物转移联单、供应商服务考核表、相应金额增值税普通发票等），经采购人审核确认无误后</w:t>
            </w:r>
            <w:r>
              <w:rPr>
                <w:rFonts w:ascii="仿宋_GB2312" w:hAnsi="仿宋_GB2312" w:cs="仿宋_GB2312" w:eastAsia="仿宋_GB2312"/>
                <w:sz w:val="24"/>
                <w:color w:val="000000"/>
              </w:rPr>
              <w:t>十个工作</w:t>
            </w:r>
            <w:r>
              <w:rPr>
                <w:rFonts w:ascii="仿宋_GB2312" w:hAnsi="仿宋_GB2312" w:cs="仿宋_GB2312" w:eastAsia="仿宋_GB2312"/>
                <w:sz w:val="24"/>
                <w:color w:val="000000"/>
              </w:rPr>
              <w:t>日内以银行对公转账方式进行支付。</w:t>
            </w:r>
          </w:p>
          <w:p>
            <w:pPr>
              <w:pStyle w:val="null3"/>
              <w:jc w:val="both"/>
            </w:pPr>
            <w:r>
              <w:rPr>
                <w:rFonts w:ascii="仿宋_GB2312" w:hAnsi="仿宋_GB2312" w:cs="仿宋_GB2312" w:eastAsia="仿宋_GB2312"/>
                <w:sz w:val="24"/>
                <w:color w:val="000000"/>
              </w:rPr>
              <w:t>每次服务费结算计算方式：每次结算金额</w:t>
            </w:r>
            <w:r>
              <w:rPr>
                <w:rFonts w:ascii="仿宋_GB2312" w:hAnsi="仿宋_GB2312" w:cs="仿宋_GB2312" w:eastAsia="仿宋_GB2312"/>
                <w:sz w:val="24"/>
                <w:color w:val="000000"/>
              </w:rPr>
              <w:t>=每次实际发生数量×单价最高限价×中标百分比-考核违约金</w:t>
            </w:r>
            <w:r>
              <w:rPr>
                <w:rFonts w:ascii="仿宋_GB2312" w:hAnsi="仿宋_GB2312" w:cs="仿宋_GB2312" w:eastAsia="仿宋_GB2312"/>
                <w:sz w:val="24"/>
                <w:color w:val="000000"/>
              </w:rPr>
              <w:t>。</w:t>
            </w:r>
          </w:p>
          <w:p>
            <w:pPr>
              <w:pStyle w:val="null3"/>
              <w:jc w:val="both"/>
            </w:pP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履约验收时间（说明：因系统固化原因，2.6.6.履约验收方案中“履约验收时间”不适用本项目。“履约验收时间 ”以此为准）</w:t>
            </w:r>
          </w:p>
        </w:tc>
        <w:tc>
          <w:tcPr>
            <w:tcW w:type="dxa" w:w="5814"/>
          </w:tcPr>
          <w:p>
            <w:pPr>
              <w:pStyle w:val="null3"/>
              <w:jc w:val="left"/>
            </w:pPr>
            <w:r>
              <w:rPr>
                <w:rFonts w:ascii="仿宋_GB2312" w:hAnsi="仿宋_GB2312" w:cs="仿宋_GB2312" w:eastAsia="仿宋_GB2312"/>
                <w:sz w:val="21"/>
              </w:rPr>
              <w:t>验收条件说明：</w:t>
            </w:r>
            <w:r>
              <w:rPr>
                <w:rFonts w:ascii="仿宋_GB2312" w:hAnsi="仿宋_GB2312" w:cs="仿宋_GB2312" w:eastAsia="仿宋_GB2312"/>
                <w:sz w:val="21"/>
              </w:rPr>
              <w:t>供应商提出验收申请之日起 10 日内组织验收，验收每批次金额的 100%</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与评审因素相对应的相关要求</w:t>
            </w:r>
          </w:p>
        </w:tc>
        <w:tc>
          <w:tcPr>
            <w:tcW w:type="dxa" w:w="5814"/>
          </w:tcPr>
          <w:p>
            <w:pPr>
              <w:pStyle w:val="null3"/>
              <w:ind w:firstLine="480"/>
              <w:jc w:val="left"/>
            </w:pPr>
            <w:r>
              <w:rPr>
                <w:rFonts w:ascii="仿宋_GB2312" w:hAnsi="仿宋_GB2312" w:cs="仿宋_GB2312" w:eastAsia="仿宋_GB2312"/>
                <w:sz w:val="24"/>
                <w:color w:val="333333"/>
              </w:rPr>
              <w:t>1、根据供应商提供的服务方案进行评审，包括三大部分：（1）污泥清掏方案包含①清掏作业岗位设置及设备设施配置管理方案；②清掏作业效率保障措施；③清掏作业安全管理方案；④清掏作业环境保护措施。（2）危险废物处置方案：包含①项目处置岗位设置及设备设施配置管理方案；②项目处置效率保障措施；③项目处置工艺（除污泥和浮渣以外的危险废物处置工艺）④项目处置质量管理措施。⑤项目处置安全保证措施。（3）转运方案：包含①转运及押运人员、转运车辆配置管理方案；②危险废物转运流程；③危险废物立产立清服务方案；④转运包装材料配备管理方案。⑤转运安全保证措施。</w:t>
            </w:r>
          </w:p>
          <w:p>
            <w:pPr>
              <w:pStyle w:val="null3"/>
              <w:ind w:firstLine="480"/>
              <w:jc w:val="both"/>
            </w:pPr>
            <w:r>
              <w:rPr>
                <w:rFonts w:ascii="仿宋_GB2312" w:hAnsi="仿宋_GB2312" w:cs="仿宋_GB2312" w:eastAsia="仿宋_GB2312"/>
                <w:sz w:val="24"/>
                <w:color w:val="333333"/>
              </w:rPr>
              <w:t>2、安全保障应急预案：根据供应商提供的安全保障应急预案进行评审,包括：①有限空间作业应急预案；②其他作业（有限空间作业除外）安全事故应急预案；③危险废物污染应急预案；④危险废物泄漏应急预案；⑤危险废物运输应急预案；⑥危险废物事故善后应急预案。</w:t>
            </w:r>
          </w:p>
          <w:p>
            <w:pPr>
              <w:pStyle w:val="null3"/>
              <w:ind w:firstLine="480"/>
              <w:jc w:val="both"/>
            </w:pPr>
            <w:r>
              <w:rPr>
                <w:rFonts w:ascii="仿宋_GB2312" w:hAnsi="仿宋_GB2312" w:cs="仿宋_GB2312" w:eastAsia="仿宋_GB2312"/>
                <w:sz w:val="24"/>
                <w:color w:val="333333"/>
              </w:rPr>
              <w:t>3、专业人员配置：（1）项目经理具有污水处理类或环保类中级或以上职称；（2）为本项目配置专职安全员，持有有效期内的行政主管部门颁发的《安全生产知识和管理能力考核合格证》。</w:t>
            </w:r>
          </w:p>
          <w:p>
            <w:pPr>
              <w:pStyle w:val="null3"/>
              <w:ind w:firstLine="480"/>
              <w:jc w:val="both"/>
            </w:pPr>
            <w:r>
              <w:rPr>
                <w:rFonts w:ascii="仿宋_GB2312" w:hAnsi="仿宋_GB2312" w:cs="仿宋_GB2312" w:eastAsia="仿宋_GB2312"/>
                <w:sz w:val="24"/>
                <w:color w:val="333333"/>
              </w:rPr>
              <w:t xml:space="preserve"> 4、业绩：供应商提供2023年1月1日(含1日)(以合同签订时间为准)至提交投标文件截止日以来的类似项目业绩，以合同为准。</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自合同生效之日起三年，合同一年一签（每年度项目履约验收合格后续签下一年度）。</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1、四川省骨科医院武侯院区：成都市武侯区一环路西一段132号； 2、四川省骨科医院天府院区：成都市新津区普兴街道龙蟠路509号。</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详见第二章“履约验收方案”（以供应商提供的《投标（响应）函》中“我单位完全接受和理解本项目采购文件规定的实质性要求”即视为响应）</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分期付款，按次结算。每次转运处置工作完成后十个工作日内向采购人提交相关报销资料（如：请款单、危险废物转移联单、服务考核表、相应金额增值税普通发票等），经采购人审核确认无误后以银行对公转账方式进行支付，达到付款条件起14日内，据实结算说明为本项目采用据实结算的方式进行支付，据实结算说明为：每次服务费结算计算方式：每次结算金额=每次实际发生数量×单价最高限价×中标百分比-考核违约金。</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（以下内容中“甲方”指采购人，“乙方”指成交供应商） 1、违约责任： （1）甲乙双方必须遵守合同并执行合同中的各项规定，保证合同的正常履行。 （2）如因乙方工作人员在履行职务过程中的疏忽、失职、过错等故意或者过失原因给甲方造成损失或侵害，包括但不限于甲方本身的财产损失、由此而导致的甲方对任何第三方的法律责任等，乙方对此均应承担全部的赔偿责任。 造成甲方代为承担的，甲方应向乙方追偿。 （3）乙方在服务期限内因维护不及时造成甲方院内排污管网系统堵塞、污物渗出地面等情形的，乙方支付1000.00元/次的违约金，且仍需在甲方规定时间内完成相应的服务工作。若乙方不能在规定时间内完成该项服务工作，甲方另行聘请他人进行维护，产生的费用甲方直接从未付价款中双倍扣除，同时乙方应赔偿因服务不及时给甲方造成的相应损失。 (4）乙方应按时向甲方提交相关报销资料，逾期未提交应向甲方支付500.00元/次的违约金；逾期三十日未提交或提交资料不符合约定的，甲方有权拒绝付款，因此导致迟延付款及造成的损失由乙方承担，且乙方不得因此拒绝履行其合同义务，否则应承担违约责任。 （5）在合同执行过程中，如发生下列情形之一的，甲方可单方面解除合同，乙方应向甲方支付合同金额10%的违约金，并赔偿给甲方造成的损失：①乙方擅自解除合同的。②乙方服务过程中，未按有关法律法规、行业规范等相关要求提供服务，导致出现事故造成重大损失的。③乙方提供服务过程中，安全措施不到位，或推卸责任不顾大局，发生人员安全事故、设施设备损毁或财产损失的，产生的所有费用均由乙方承担。④因履行合同产生的纠纷，采取包括阻挠、破坏采购人正常办公（或医疗）秩序、拒不搬离或不交接等方式的。⑤其他违约行为导致合同目的无法实现。 （6）任何一方如需改变收款账户等银行信息，应提前三十日以书面形式通知另一方。如一方未按合同规定通知而遭受损失的自行承担，若使另一方遭受损失的，应赔偿相应损失并承担当期应付款金额20%的违约金。 2、解决争议的方法： （1）在执行合同中发生的或与合同有关的争端，双方应通过友好协商解决。 （2）经协商不能达成协议的，提交合同签订所在地具有管辖权人民法院主张其权利。</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说明1：“★注：投标人响应产品应当明确品牌和规格型号并指向唯一产品，不能指向唯一产品的，应通过报价表唯一产品说明栏补充说明。”不适用于本项目。】说明2（本说明无需供应商进行响应）：投标人需明确规格型号，若不能明确规格型号，通过报价表进行说明】 【说明3（本说明无需供应商进行响应）：评分标准中所涉及的响应内容，供应商编制于对应的“关联格式”中。若编制投标文件过程中，涉及提供证明材料或单独提供承诺函等，供应商将前述材料编制于第六章响应文件格式-《其他资料》中】 【说明4（本说明无需供应商进行响应）：因系统原因，无法调整格式，招标文件第二章“提交投标文件的截止之日起不少于90天。投标文件未明确投标有效期或者少于前述规定天数的，其投标文件按无效处理。”不适用于本项目，不作为评审依据。评审依据以此为准：“提交投标文件的截止之日起不少于90天”】 【说明5（本说明无需供应商进行响应）：因系统原因，无法调整格式，招标文件第二章“2.4.6.投标文件的编制、签章和加密”中第一项不适用于本项目，不作为评审依据】【说明6（本说明无需供应商进行响应）：因系统原因，无法调整格式，招标文件第五章符合性审查中第一项，不适用于本项目，不作为评审依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投标人根据自身情况选择提供其中任意一项：（1）可提供2023或2024年度或2025年度经审计的财务报告（包含审计报告和审计报告中所涉及的财务报表和报表附注）； （2）也可提供投标人内部的2023或2024年度或2025年度财务报表（至少包含资产负债表）（3）也可提供截至提交投标文件截止日一年内银行出具的资信证明；（4）投标人注册时间截至提交投标文件截止日不足一年的，也可提供工商管理部门备案的公司章程；（5）投标人为个体工商户或自然人时，可提供承诺函。</w:t>
            </w:r>
          </w:p>
        </w:tc>
        <w:tc>
          <w:tcPr>
            <w:tcW w:type="dxa" w:w="1661"/>
          </w:tcPr>
          <w:p>
            <w:pPr>
              <w:pStyle w:val="null3"/>
              <w:jc w:val="left"/>
            </w:pPr>
            <w:r>
              <w:rPr>
                <w:rFonts w:ascii="仿宋_GB2312" w:hAnsi="仿宋_GB2312" w:cs="仿宋_GB2312" w:eastAsia="仿宋_GB2312"/>
              </w:rPr>
              <w:t>资格审查证明材料.docx,投标（响应）函.docx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投标人合同分包的，分包意向协议中分包意向投标人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1、供应商具有有效期内的《危险废物经营许可证》且核准经营的危险废物类别涵盖HW01(医疗废物)中的841-001-01、841-004-01，HW49其他废物中的900-039-49、900-041-49、900-047-49，HW29含汞废物中的900-023-29； 2、供应商须提供有效期内的《道路运输经营许可证》，且许可范围含有“危险货物运输（6类2项）”或“医疗废物”；若供应商进行分包的，须提供第三方分包供应商有效的《道路运输经营许可证》，且许可范围含有“危险货物运输（6类2项）”或“医疗废物”（供应商进行分包的，须提供分包意向协议）</w:t>
            </w:r>
          </w:p>
        </w:tc>
        <w:tc>
          <w:tcPr>
            <w:tcW w:type="dxa" w:w="3322"/>
          </w:tcPr>
          <w:p>
            <w:pPr>
              <w:pStyle w:val="null3"/>
              <w:jc w:val="left"/>
            </w:pPr>
            <w:r>
              <w:rPr>
                <w:rFonts w:ascii="仿宋_GB2312" w:hAnsi="仿宋_GB2312" w:cs="仿宋_GB2312" w:eastAsia="仿宋_GB2312"/>
              </w:rPr>
              <w:t>1、供应商具有有效期内的《危险废物经营许可证》且核准经营的危险废物类别涵盖HW01(医疗废物)中的841-001-01、841-004-01，HW49其他废物中的900-039-49、900-041-49、900-047-49，HW29含汞废物中的900-023-29； 2、供应商须提供有效期内的《道路运输经营许可证》，且许可范围含有“危险货物运输（6类2项）”或“医疗废物”；若供应商进行分包的，须提供第三方分包供应商有效的《道路运输经营许可证》，且许可范围含有“危险货物运输（6类2项）”或“医疗废物”（供应商进行分包的，须提供分包意向协议）</w:t>
            </w:r>
          </w:p>
        </w:tc>
        <w:tc>
          <w:tcPr>
            <w:tcW w:type="dxa" w:w="1661"/>
          </w:tcPr>
          <w:p>
            <w:pPr>
              <w:pStyle w:val="null3"/>
              <w:jc w:val="left"/>
            </w:pPr>
            <w:r>
              <w:rPr>
                <w:rFonts w:ascii="仿宋_GB2312" w:hAnsi="仿宋_GB2312" w:cs="仿宋_GB2312" w:eastAsia="仿宋_GB2312"/>
              </w:rPr>
              <w:t>分包意向协议.docx,资格审查证明材料.docx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需要投标人进行承诺的实质性要求（因系统固化原因，序号1以此为准）。</w:t>
            </w:r>
          </w:p>
        </w:tc>
        <w:tc>
          <w:tcPr>
            <w:tcW w:type="dxa" w:w="3322"/>
          </w:tcPr>
          <w:p>
            <w:pPr>
              <w:pStyle w:val="null3"/>
              <w:jc w:val="left"/>
            </w:pPr>
            <w:r>
              <w:rPr>
                <w:rFonts w:ascii="仿宋_GB2312" w:hAnsi="仿宋_GB2312" w:cs="仿宋_GB2312" w:eastAsia="仿宋_GB2312"/>
              </w:rPr>
              <w:t>招标文件中明确要求单独提供承诺函的，投标人按照招标文件要求上传承诺函；无明确要求的，只需投标人按照投标（响应）函中承诺严格遵守并履行的相关实质性要求。</w:t>
            </w:r>
          </w:p>
        </w:tc>
        <w:tc>
          <w:tcPr>
            <w:tcW w:type="dxa" w:w="1661"/>
          </w:tcPr>
          <w:p>
            <w:pPr>
              <w:pStyle w:val="null3"/>
              <w:jc w:val="left"/>
            </w:pPr>
            <w:r>
              <w:rPr>
                <w:rFonts w:ascii="仿宋_GB2312" w:hAnsi="仿宋_GB2312" w:cs="仿宋_GB2312" w:eastAsia="仿宋_GB2312"/>
              </w:rPr>
              <w:t>服务内容要求、商务要求应答表.docx,分包意向协议.docx,资格审查证明材料.docx,其他资料.docx,技术要求应答表.docx,投标（响应）函.docx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投标人应满足招标文件所有实质性要求，不存在采购文件规定的无效情形</w:t>
            </w:r>
          </w:p>
        </w:tc>
        <w:tc>
          <w:tcPr>
            <w:tcW w:type="dxa" w:w="3322"/>
          </w:tcPr>
          <w:p>
            <w:pPr>
              <w:pStyle w:val="null3"/>
              <w:jc w:val="left"/>
            </w:pPr>
            <w:r>
              <w:rPr>
                <w:rFonts w:ascii="仿宋_GB2312" w:hAnsi="仿宋_GB2312" w:cs="仿宋_GB2312" w:eastAsia="仿宋_GB2312"/>
              </w:rPr>
              <w:t>投标人按照采购文件要求上传相应材料，且不存在采购文件规定的无效情形。</w:t>
            </w:r>
          </w:p>
        </w:tc>
        <w:tc>
          <w:tcPr>
            <w:tcW w:type="dxa" w:w="1661"/>
          </w:tcPr>
          <w:p>
            <w:pPr>
              <w:pStyle w:val="null3"/>
              <w:jc w:val="left"/>
            </w:pPr>
            <w:r>
              <w:rPr>
                <w:rFonts w:ascii="仿宋_GB2312" w:hAnsi="仿宋_GB2312" w:cs="仿宋_GB2312" w:eastAsia="仿宋_GB2312"/>
              </w:rPr>
              <w:t>服务内容要求、商务要求应答表.docx,分包意向协议.docx,资格审查证明材料.docx,其他资料.docx,技术要求应答表.docx,投标（响应）函.docx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根据供应商提供的服务方案进行评审，包括以下三大部分： （1）污泥清掏方案（12分）： 包含①清掏作业岗位设置及设备设施配置管理方案；②清掏作业效率保障措施；③清掏作业安全管理方案；④清掏作业环境保护措施。 上述4项内容齐全且无缺陷（缺陷是指：内容涉及的规范或标准错误、内容表述错误、内容与本项目无关、内容不利于项目实施的任意一种情形）得12分，每缺少一项内容扣3分，扣完为止；单项内容每存在一处缺陷扣1.5分，单项内容分扣完为止。 （2）危险废物处置方案（15分）： 包含①项目处置岗位设置及设备设施配置管理方案；②项目处置效率保障措施；③项目处置工艺（除污泥和浮渣以外的危险废物处置工艺）④项目处置质量管理措施。⑤项目处置安全保证措施。 上述5项内容齐全且无缺陷（缺陷是指：内容涉及的规范或标准错误、内容表述错误、内容与本项目无关、内容不利于项目实施的任意一种情形）得15分，每缺少一项内容扣3分，扣完为止；单项内容每存在一处缺陷扣1.5分，单项内容分扣完为止。 （3）转运方案（15分）： 包含①转运及押运人员、转运车辆配置管理方案；②危险废物转运流程；③危险废物立产立清服务方案；④转运包装材料配备管理方案。⑤转运安全保证措施。 上述5项内容齐全且无缺陷（缺陷是指：内容涉及的规范或标准错误、内容表述错误、内容与本项目无关、内容不利于项目实施的任意一种情形）得15分，每缺少一项内容扣3分，扣完为止；单项内容每存在一处缺陷扣1.5分，单项内容分扣完为止。</w:t>
            </w:r>
          </w:p>
        </w:tc>
        <w:tc>
          <w:tcPr>
            <w:tcW w:type="dxa" w:w="831"/>
          </w:tcPr>
          <w:p>
            <w:pPr>
              <w:pStyle w:val="null3"/>
              <w:jc w:val="center"/>
            </w:pPr>
            <w:r>
              <w:rPr>
                <w:rFonts w:ascii="仿宋_GB2312" w:hAnsi="仿宋_GB2312" w:cs="仿宋_GB2312" w:eastAsia="仿宋_GB2312"/>
              </w:rPr>
              <w:t>42.0000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其他资料.docx</w:t>
            </w:r>
          </w:p>
        </w:tc>
      </w:tr>
      <w:tr>
        <w:tc>
          <w:tcPr>
            <w:tcW w:type="dxa" w:w="831"/>
            <w:vMerge/>
          </w:tcPr>
          <w:p/>
        </w:tc>
        <w:tc>
          <w:tcPr>
            <w:tcW w:type="dxa" w:w="1661"/>
          </w:tcPr>
          <w:p>
            <w:pPr>
              <w:pStyle w:val="null3"/>
              <w:jc w:val="left"/>
            </w:pPr>
            <w:r>
              <w:rPr>
                <w:rFonts w:ascii="仿宋_GB2312" w:hAnsi="仿宋_GB2312" w:cs="仿宋_GB2312" w:eastAsia="仿宋_GB2312"/>
              </w:rPr>
              <w:t>安全保障应急预案</w:t>
            </w:r>
          </w:p>
        </w:tc>
        <w:tc>
          <w:tcPr>
            <w:tcW w:type="dxa" w:w="2575"/>
          </w:tcPr>
          <w:p>
            <w:pPr>
              <w:pStyle w:val="null3"/>
              <w:jc w:val="left"/>
            </w:pPr>
            <w:r>
              <w:rPr>
                <w:rFonts w:ascii="仿宋_GB2312" w:hAnsi="仿宋_GB2312" w:cs="仿宋_GB2312" w:eastAsia="仿宋_GB2312"/>
              </w:rPr>
              <w:t>根据供应商提供的安全保障应急预案进行评审,包括： ①有限空间作业应急预案； ②其他作业（有限空间作业除外）安全事故应急预案； ③危险废物污染应急预案； ④危险废物泄漏应急预案； ⑤危险废物运输应急预案； ⑥危险废物事故善后应急预案。 上述6项内容齐全且无缺陷（缺陷是指：内容涉及的规范或标准错误、内容表述错误、内容与本项目无关、内容不利于项目实施的任意一种情形）得18分，每缺少一项内容扣3分，扣完为止；单项内容每存在一处缺陷扣1.5分，单项内容分扣完为止。</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其他资料.docx</w:t>
            </w:r>
          </w:p>
        </w:tc>
      </w:tr>
      <w:tr>
        <w:tc>
          <w:tcPr>
            <w:tcW w:type="dxa" w:w="831"/>
            <w:vMerge/>
          </w:tcPr>
          <w:p/>
        </w:tc>
        <w:tc>
          <w:tcPr>
            <w:tcW w:type="dxa" w:w="1661"/>
          </w:tcPr>
          <w:p>
            <w:pPr>
              <w:pStyle w:val="null3"/>
              <w:jc w:val="left"/>
            </w:pPr>
            <w:r>
              <w:rPr>
                <w:rFonts w:ascii="仿宋_GB2312" w:hAnsi="仿宋_GB2312" w:cs="仿宋_GB2312" w:eastAsia="仿宋_GB2312"/>
              </w:rPr>
              <w:t>专业人员配置</w:t>
            </w:r>
          </w:p>
        </w:tc>
        <w:tc>
          <w:tcPr>
            <w:tcW w:type="dxa" w:w="2575"/>
          </w:tcPr>
          <w:p>
            <w:pPr>
              <w:pStyle w:val="null3"/>
              <w:jc w:val="left"/>
            </w:pPr>
            <w:r>
              <w:rPr>
                <w:rFonts w:ascii="仿宋_GB2312" w:hAnsi="仿宋_GB2312" w:cs="仿宋_GB2312" w:eastAsia="仿宋_GB2312"/>
              </w:rPr>
              <w:t>供应商为本项目人员配置： 1.项目经理具有污水处理类或环保类中级或以上职称得3分，不提供不得分，最多得3分； 2.为本项目配置的专职安全员，每有一人持有有效期内的行政主管部门颁发的《安全生产知识和管理能力考核合格证》得2分，不提供不得分，本项最多得4分。 注：以上人员不重复计分，须提供相关证书复印件（或扫描件）并加盖供应商公章。</w:t>
            </w:r>
          </w:p>
        </w:tc>
        <w:tc>
          <w:tcPr>
            <w:tcW w:type="dxa" w:w="831"/>
          </w:tcPr>
          <w:p>
            <w:pPr>
              <w:pStyle w:val="null3"/>
              <w:jc w:val="center"/>
            </w:pPr>
            <w:r>
              <w:rPr>
                <w:rFonts w:ascii="仿宋_GB2312" w:hAnsi="仿宋_GB2312" w:cs="仿宋_GB2312" w:eastAsia="仿宋_GB2312"/>
              </w:rPr>
              <w:t>7.0000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其他资料.docx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供应商提供2023年1月1日(含1日)(以合同签订时间为准)至提交投标文件截止日以来的类似项目业绩，以合同为准。每提供1个得1分，最多得3分。 注：供应商须提供合同关键页扫描件（合同扫描件至少包含合同首页、合同主要内容、合同金额、合同签字页），能体现供应商的类似项目业绩，并加盖供应商公章。否则作无效业绩处理。</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其他资料.docx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（1）满足招标文件要求且投标价格最低的投标报价为评标基准价，其价格分为满分； （2）其他投标人的价格分统一按照下列公式计算： 投标报价得分=（评标基准价／投标报价）*30 注：1.评分取值按四舍五入法，保留小数点后两位。</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详见附件：服务内容要求、商务要求应答表.docx</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详见附件：其他资料.docx</w:t>
      </w:r>
    </w:p>
    <w:p>
      <w:pPr>
        <w:pStyle w:val="null3"/>
        <w:ind w:firstLine="960"/>
        <w:jc w:val="left"/>
      </w:pPr>
      <w:r>
        <w:rPr>
          <w:rFonts w:ascii="仿宋_GB2312" w:hAnsi="仿宋_GB2312" w:cs="仿宋_GB2312" w:eastAsia="仿宋_GB2312"/>
        </w:rPr>
        <w:t>详见附件：投标（响应）函.docx</w:t>
      </w:r>
    </w:p>
    <w:p>
      <w:pPr>
        <w:pStyle w:val="null3"/>
        <w:ind w:firstLine="960"/>
        <w:jc w:val="left"/>
      </w:pPr>
      <w:r>
        <w:rPr>
          <w:rFonts w:ascii="仿宋_GB2312" w:hAnsi="仿宋_GB2312" w:cs="仿宋_GB2312" w:eastAsia="仿宋_GB2312"/>
        </w:rPr>
        <w:t>详见附件：资格审查证明材料.docx</w:t>
      </w:r>
    </w:p>
    <w:p>
      <w:pPr>
        <w:pStyle w:val="null3"/>
        <w:ind w:firstLine="960"/>
        <w:jc w:val="left"/>
      </w:pPr>
      <w:r>
        <w:rPr>
          <w:rFonts w:ascii="仿宋_GB2312" w:hAnsi="仿宋_GB2312" w:cs="仿宋_GB2312" w:eastAsia="仿宋_GB2312"/>
        </w:rPr>
        <w:t>详见附件：分包意向协议.docx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