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7DA24">
      <w:pPr>
        <w:pStyle w:val="6"/>
        <w:jc w:val="center"/>
        <w:outlineLvl w:val="1"/>
      </w:pPr>
      <w:bookmarkStart w:id="4" w:name="_GoBack"/>
      <w:bookmarkEnd w:id="4"/>
      <w:r>
        <w:rPr>
          <w:rFonts w:ascii="仿宋_GB2312" w:hAnsi="仿宋_GB2312" w:eastAsia="仿宋_GB2312" w:cs="仿宋_GB2312"/>
          <w:b/>
          <w:sz w:val="36"/>
        </w:rPr>
        <w:t xml:space="preserve"> 拟签订合同文本</w:t>
      </w:r>
    </w:p>
    <w:p w14:paraId="1459B0C0">
      <w:pPr>
        <w:pStyle w:val="6"/>
        <w:jc w:val="center"/>
        <w:outlineLvl w:val="0"/>
        <w:rPr>
          <w:rFonts w:hint="default"/>
          <w:color w:val="auto"/>
          <w:highlight w:val="none"/>
        </w:rPr>
      </w:pPr>
      <w:r>
        <w:rPr>
          <w:b/>
          <w:color w:val="auto"/>
          <w:sz w:val="48"/>
          <w:highlight w:val="none"/>
          <w:lang w:eastAsia="zh-CN"/>
        </w:rPr>
        <w:t>***</w:t>
      </w:r>
      <w:r>
        <w:rPr>
          <w:b/>
          <w:color w:val="auto"/>
          <w:sz w:val="48"/>
          <w:highlight w:val="none"/>
        </w:rPr>
        <w:t>采购项目-合同包</w:t>
      </w:r>
      <w:r>
        <w:rPr>
          <w:b/>
          <w:color w:val="auto"/>
          <w:sz w:val="48"/>
          <w:highlight w:val="none"/>
          <w:lang w:eastAsia="zh-CN"/>
        </w:rPr>
        <w:t>X</w:t>
      </w:r>
      <w:r>
        <w:rPr>
          <w:b/>
          <w:color w:val="auto"/>
          <w:sz w:val="48"/>
          <w:highlight w:val="none"/>
        </w:rPr>
        <w:t>（第</w:t>
      </w:r>
      <w:r>
        <w:rPr>
          <w:b/>
          <w:color w:val="auto"/>
          <w:sz w:val="48"/>
          <w:highlight w:val="none"/>
          <w:lang w:eastAsia="zh-CN"/>
        </w:rPr>
        <w:t>X</w:t>
      </w:r>
      <w:r>
        <w:rPr>
          <w:b/>
          <w:color w:val="auto"/>
          <w:sz w:val="48"/>
          <w:highlight w:val="none"/>
        </w:rPr>
        <w:t>包）</w:t>
      </w:r>
    </w:p>
    <w:p w14:paraId="7B0FA77F">
      <w:pPr>
        <w:pStyle w:val="6"/>
        <w:jc w:val="center"/>
        <w:outlineLvl w:val="0"/>
        <w:rPr>
          <w:rFonts w:hint="default"/>
          <w:color w:val="auto"/>
          <w:highlight w:val="none"/>
        </w:rPr>
      </w:pPr>
      <w:r>
        <w:rPr>
          <w:b/>
          <w:color w:val="auto"/>
          <w:sz w:val="48"/>
          <w:highlight w:val="none"/>
        </w:rPr>
        <w:t>政府采购合同</w:t>
      </w:r>
    </w:p>
    <w:p w14:paraId="3E8943F7">
      <w:pPr>
        <w:pStyle w:val="6"/>
        <w:rPr>
          <w:rFonts w:hint="default"/>
          <w:b/>
          <w:color w:val="auto"/>
          <w:sz w:val="31"/>
          <w:highlight w:val="none"/>
          <w:lang w:eastAsia="zh-CN"/>
        </w:rPr>
      </w:pPr>
      <w:r>
        <w:rPr>
          <w:b/>
          <w:color w:val="auto"/>
          <w:sz w:val="31"/>
          <w:highlight w:val="none"/>
        </w:rPr>
        <w:t>合同编号：</w:t>
      </w:r>
      <w:r>
        <w:rPr>
          <w:b/>
          <w:color w:val="auto"/>
          <w:sz w:val="31"/>
          <w:highlight w:val="none"/>
          <w:lang w:eastAsia="zh-CN"/>
        </w:rPr>
        <w:t>***</w:t>
      </w:r>
    </w:p>
    <w:p w14:paraId="4F640A7F">
      <w:pPr>
        <w:pStyle w:val="6"/>
        <w:rPr>
          <w:rFonts w:hint="default"/>
          <w:color w:val="auto"/>
          <w:highlight w:val="none"/>
        </w:rPr>
      </w:pPr>
      <w:r>
        <w:rPr>
          <w:b/>
          <w:color w:val="auto"/>
          <w:sz w:val="31"/>
          <w:highlight w:val="none"/>
        </w:rPr>
        <w:t>采购人（甲方）：四川省人民医院</w:t>
      </w:r>
    </w:p>
    <w:p w14:paraId="665BF12A">
      <w:pPr>
        <w:pStyle w:val="6"/>
        <w:rPr>
          <w:rFonts w:hint="default"/>
          <w:color w:val="auto"/>
          <w:highlight w:val="none"/>
        </w:rPr>
      </w:pPr>
      <w:r>
        <w:rPr>
          <w:b/>
          <w:color w:val="auto"/>
          <w:sz w:val="31"/>
          <w:highlight w:val="none"/>
        </w:rPr>
        <w:t>供应商（乙方）：</w:t>
      </w:r>
      <w:r>
        <w:rPr>
          <w:b/>
          <w:color w:val="auto"/>
          <w:sz w:val="31"/>
          <w:highlight w:val="none"/>
          <w:lang w:eastAsia="zh-CN"/>
        </w:rPr>
        <w:t>***</w:t>
      </w:r>
    </w:p>
    <w:p w14:paraId="7E419366">
      <w:pPr>
        <w:pStyle w:val="6"/>
        <w:rPr>
          <w:rFonts w:hint="default"/>
          <w:color w:val="auto"/>
          <w:highlight w:val="none"/>
          <w:lang w:eastAsia="zh-CN"/>
        </w:rPr>
      </w:pPr>
      <w:r>
        <w:rPr>
          <w:b/>
          <w:color w:val="auto"/>
          <w:sz w:val="31"/>
          <w:highlight w:val="none"/>
        </w:rPr>
        <w:t>签订地点：</w:t>
      </w:r>
      <w:r>
        <w:rPr>
          <w:b/>
          <w:color w:val="auto"/>
          <w:sz w:val="31"/>
          <w:highlight w:val="none"/>
          <w:lang w:eastAsia="zh-CN"/>
        </w:rPr>
        <w:t>***</w:t>
      </w:r>
    </w:p>
    <w:p w14:paraId="496DB473">
      <w:pPr>
        <w:pStyle w:val="6"/>
        <w:rPr>
          <w:rFonts w:hint="default"/>
          <w:color w:val="auto"/>
          <w:highlight w:val="none"/>
        </w:rPr>
      </w:pPr>
      <w:r>
        <w:rPr>
          <w:b/>
          <w:color w:val="auto"/>
          <w:sz w:val="31"/>
          <w:highlight w:val="none"/>
        </w:rPr>
        <w:t>签订时间：</w:t>
      </w:r>
      <w:r>
        <w:rPr>
          <w:b/>
          <w:color w:val="auto"/>
          <w:sz w:val="31"/>
          <w:highlight w:val="none"/>
          <w:lang w:eastAsia="zh-CN"/>
        </w:rPr>
        <w:t>***</w:t>
      </w:r>
    </w:p>
    <w:p w14:paraId="17DFEBFC">
      <w:pPr>
        <w:pStyle w:val="6"/>
        <w:spacing w:before="270"/>
        <w:ind w:left="525" w:firstLine="420"/>
        <w:rPr>
          <w:rFonts w:hint="default"/>
          <w:color w:val="auto"/>
          <w:highlight w:val="none"/>
        </w:rPr>
      </w:pPr>
      <w:r>
        <w:rPr>
          <w:color w:val="auto"/>
          <w:sz w:val="6"/>
          <w:highlight w:val="none"/>
        </w:rPr>
        <w:t xml:space="preserve"> signTimePostilSign</w:t>
      </w:r>
    </w:p>
    <w:p w14:paraId="3A07865D">
      <w:pPr>
        <w:pStyle w:val="6"/>
        <w:rPr>
          <w:rFonts w:hint="default"/>
          <w:color w:val="auto"/>
          <w:highlight w:val="none"/>
        </w:rPr>
      </w:pPr>
      <w:r>
        <w:rPr>
          <w:color w:val="auto"/>
          <w:highlight w:val="none"/>
        </w:rPr>
        <w:t xml:space="preserve"> </w:t>
      </w:r>
    </w:p>
    <w:p w14:paraId="09D8AB82">
      <w:pPr>
        <w:pStyle w:val="6"/>
        <w:jc w:val="center"/>
        <w:outlineLvl w:val="9"/>
        <w:rPr>
          <w:rFonts w:hint="default"/>
          <w:color w:val="auto"/>
          <w:highlight w:val="none"/>
        </w:rPr>
      </w:pPr>
    </w:p>
    <w:p w14:paraId="33FE0FB1">
      <w:pPr>
        <w:rPr>
          <w:b/>
          <w:color w:val="auto"/>
          <w:sz w:val="24"/>
          <w:highlight w:val="none"/>
        </w:rPr>
      </w:pPr>
      <w:r>
        <w:rPr>
          <w:b/>
          <w:color w:val="auto"/>
          <w:sz w:val="24"/>
          <w:highlight w:val="none"/>
        </w:rPr>
        <w:br w:type="page"/>
      </w:r>
    </w:p>
    <w:p w14:paraId="54261358">
      <w:pPr>
        <w:pStyle w:val="6"/>
        <w:outlineLvl w:val="3"/>
        <w:rPr>
          <w:rFonts w:hint="default"/>
          <w:color w:val="auto"/>
          <w:highlight w:val="none"/>
        </w:rPr>
      </w:pPr>
      <w:r>
        <w:rPr>
          <w:b/>
          <w:color w:val="auto"/>
          <w:sz w:val="24"/>
          <w:highlight w:val="none"/>
        </w:rPr>
        <w:t>根据《中华人民共和国民法典》《中华人民共和国政府采购法》等法律法规，以及本采购项目的采购文件、乙方的《投标（响应）文件》及《中标（成交）通知书》，甲乙双方同意签订本合同，共同遵守如下条款：</w:t>
      </w:r>
    </w:p>
    <w:p w14:paraId="07E846CB">
      <w:pPr>
        <w:pStyle w:val="6"/>
        <w:outlineLvl w:val="2"/>
        <w:rPr>
          <w:rFonts w:hint="default"/>
          <w:color w:val="auto"/>
          <w:highlight w:val="none"/>
        </w:rPr>
      </w:pPr>
      <w:r>
        <w:rPr>
          <w:b/>
          <w:color w:val="auto"/>
          <w:sz w:val="28"/>
          <w:highlight w:val="none"/>
        </w:rPr>
        <w:t>一、项目信息</w:t>
      </w:r>
    </w:p>
    <w:p w14:paraId="6C6961A3">
      <w:pPr>
        <w:pStyle w:val="6"/>
        <w:rPr>
          <w:rFonts w:hint="default"/>
          <w:color w:val="auto"/>
          <w:highlight w:val="none"/>
          <w:lang w:eastAsia="zh-CN"/>
        </w:rPr>
      </w:pPr>
      <w:r>
        <w:rPr>
          <w:color w:val="auto"/>
          <w:highlight w:val="none"/>
        </w:rPr>
        <w:t>1.1.采购项目名称：</w:t>
      </w:r>
      <w:r>
        <w:rPr>
          <w:color w:val="auto"/>
          <w:highlight w:val="none"/>
          <w:lang w:eastAsia="zh-CN"/>
        </w:rPr>
        <w:t>***</w:t>
      </w:r>
    </w:p>
    <w:p w14:paraId="4E4BDD9D">
      <w:pPr>
        <w:pStyle w:val="6"/>
        <w:rPr>
          <w:rFonts w:hint="default"/>
          <w:color w:val="auto"/>
          <w:highlight w:val="none"/>
        </w:rPr>
      </w:pPr>
      <w:r>
        <w:rPr>
          <w:color w:val="auto"/>
          <w:highlight w:val="none"/>
        </w:rPr>
        <w:t>1.2.采购项目编号：</w:t>
      </w:r>
      <w:r>
        <w:rPr>
          <w:color w:val="auto"/>
          <w:highlight w:val="none"/>
          <w:lang w:eastAsia="zh-CN"/>
        </w:rPr>
        <w:t>***</w:t>
      </w:r>
    </w:p>
    <w:p w14:paraId="6E634F4A">
      <w:pPr>
        <w:pStyle w:val="6"/>
        <w:rPr>
          <w:rFonts w:hint="default"/>
          <w:color w:val="auto"/>
          <w:highlight w:val="none"/>
        </w:rPr>
      </w:pPr>
      <w:r>
        <w:rPr>
          <w:color w:val="auto"/>
          <w:highlight w:val="none"/>
        </w:rPr>
        <w:t>1.3.采购计划编号：</w:t>
      </w:r>
      <w:r>
        <w:rPr>
          <w:color w:val="auto"/>
          <w:highlight w:val="none"/>
          <w:lang w:eastAsia="zh-CN"/>
        </w:rPr>
        <w:t>***</w:t>
      </w:r>
    </w:p>
    <w:p w14:paraId="2CAD4111">
      <w:pPr>
        <w:pStyle w:val="6"/>
        <w:rPr>
          <w:rFonts w:hint="default"/>
          <w:color w:val="auto"/>
          <w:highlight w:val="none"/>
        </w:rPr>
      </w:pPr>
      <w:r>
        <w:rPr>
          <w:color w:val="auto"/>
          <w:highlight w:val="none"/>
        </w:rPr>
        <w:t>1.4.政府采购组织形式：分散采购</w:t>
      </w:r>
    </w:p>
    <w:p w14:paraId="3366DA05">
      <w:pPr>
        <w:pStyle w:val="6"/>
        <w:rPr>
          <w:rFonts w:hint="default"/>
          <w:color w:val="auto"/>
          <w:highlight w:val="none"/>
        </w:rPr>
      </w:pPr>
      <w:r>
        <w:rPr>
          <w:color w:val="auto"/>
          <w:highlight w:val="none"/>
        </w:rPr>
        <w:t>1.5.政府采购方式：</w:t>
      </w:r>
      <w:r>
        <w:rPr>
          <w:color w:val="auto"/>
          <w:highlight w:val="none"/>
          <w:lang w:eastAsia="zh-CN"/>
        </w:rPr>
        <w:t>***</w:t>
      </w:r>
    </w:p>
    <w:p w14:paraId="66424631">
      <w:pPr>
        <w:pStyle w:val="6"/>
        <w:rPr>
          <w:rFonts w:hint="default"/>
          <w:color w:val="auto"/>
          <w:highlight w:val="none"/>
        </w:rPr>
      </w:pPr>
      <w:r>
        <w:rPr>
          <w:color w:val="auto"/>
          <w:highlight w:val="none"/>
        </w:rPr>
        <w:t>1.6.落实政府采购政策情况：</w:t>
      </w:r>
    </w:p>
    <w:p w14:paraId="765AFF9C">
      <w:pPr>
        <w:pStyle w:val="6"/>
        <w:rPr>
          <w:rFonts w:hint="default"/>
          <w:color w:val="auto"/>
          <w:highlight w:val="none"/>
        </w:rPr>
      </w:pPr>
      <w:r>
        <w:rPr>
          <w:color w:val="auto"/>
          <w:highlight w:val="none"/>
        </w:rPr>
        <w:t>1.6.1.中标（成交）采购标的制造商是否为中小企业： 是否</w:t>
      </w:r>
    </w:p>
    <w:p w14:paraId="57B916C0">
      <w:pPr>
        <w:pStyle w:val="6"/>
        <w:spacing w:line="300" w:lineRule="auto"/>
        <w:rPr>
          <w:rFonts w:hint="default"/>
          <w:color w:val="auto"/>
          <w:highlight w:val="none"/>
        </w:rPr>
      </w:pPr>
      <w:r>
        <w:rPr>
          <w:color w:val="auto"/>
          <w:highlight w:val="none"/>
        </w:rPr>
        <w:t>1.6.2.本合同是否为专门面向中小企业的采购合同（中小企业预留合同）： 是否</w:t>
      </w:r>
    </w:p>
    <w:p w14:paraId="05EC1C53">
      <w:pPr>
        <w:pStyle w:val="6"/>
        <w:spacing w:line="300" w:lineRule="auto"/>
        <w:rPr>
          <w:rFonts w:hint="default"/>
          <w:color w:val="auto"/>
          <w:highlight w:val="none"/>
        </w:rPr>
      </w:pPr>
      <w:r>
        <w:rPr>
          <w:color w:val="auto"/>
          <w:highlight w:val="none"/>
        </w:rPr>
        <w:t>1.6.3.若本项目不专门面向中小企业采购，是否给予小微企业评审优惠： 是否</w:t>
      </w:r>
    </w:p>
    <w:p w14:paraId="6CC78E0F">
      <w:pPr>
        <w:pStyle w:val="6"/>
        <w:spacing w:line="300" w:lineRule="auto"/>
        <w:rPr>
          <w:rFonts w:hint="default"/>
          <w:color w:val="auto"/>
          <w:highlight w:val="none"/>
        </w:rPr>
      </w:pPr>
      <w:r>
        <w:rPr>
          <w:color w:val="auto"/>
          <w:highlight w:val="none"/>
        </w:rPr>
        <w:t>1.6.4.中标（成交）采购标的制造商是否为残疾人福利性单位： 是否</w:t>
      </w:r>
    </w:p>
    <w:p w14:paraId="4D3EA447">
      <w:pPr>
        <w:pStyle w:val="6"/>
        <w:spacing w:line="300" w:lineRule="auto"/>
        <w:rPr>
          <w:rFonts w:hint="default"/>
          <w:color w:val="auto"/>
          <w:highlight w:val="none"/>
        </w:rPr>
      </w:pPr>
      <w:r>
        <w:rPr>
          <w:color w:val="auto"/>
          <w:highlight w:val="none"/>
        </w:rPr>
        <w:t>1.6.5.中标（成交）采购标的制造商是否为监狱企业： 是否</w:t>
      </w:r>
    </w:p>
    <w:p w14:paraId="6E0BC3AC">
      <w:pPr>
        <w:pStyle w:val="6"/>
        <w:rPr>
          <w:rFonts w:hint="default"/>
          <w:color w:val="auto"/>
          <w:highlight w:val="none"/>
        </w:rPr>
      </w:pPr>
      <w:r>
        <w:rPr>
          <w:color w:val="auto"/>
          <w:highlight w:val="none"/>
        </w:rPr>
        <w:t>1.7中标（成交）供应商是否为外商投资企业：  是  否</w:t>
      </w:r>
    </w:p>
    <w:p w14:paraId="17907135">
      <w:pPr>
        <w:pStyle w:val="6"/>
        <w:rPr>
          <w:rFonts w:hint="default"/>
          <w:color w:val="auto"/>
          <w:highlight w:val="none"/>
        </w:rPr>
      </w:pPr>
      <w:r>
        <w:rPr>
          <w:color w:val="auto"/>
          <w:highlight w:val="none"/>
        </w:rPr>
        <w:t>1.8.项目内容：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25B58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519F01DA">
            <w:pPr>
              <w:pStyle w:val="6"/>
              <w:jc w:val="center"/>
              <w:rPr>
                <w:rFonts w:hint="default"/>
                <w:color w:val="auto"/>
                <w:highlight w:val="none"/>
              </w:rPr>
            </w:pPr>
            <w:r>
              <w:rPr>
                <w:color w:val="auto"/>
                <w:highlight w:val="none"/>
              </w:rPr>
              <w:t>序号</w:t>
            </w:r>
          </w:p>
        </w:tc>
        <w:tc>
          <w:tcPr>
            <w:tcW w:w="1038" w:type="dxa"/>
          </w:tcPr>
          <w:p w14:paraId="178C62C0">
            <w:pPr>
              <w:pStyle w:val="6"/>
              <w:rPr>
                <w:rFonts w:hint="default"/>
                <w:color w:val="auto"/>
                <w:highlight w:val="none"/>
              </w:rPr>
            </w:pPr>
            <w:r>
              <w:rPr>
                <w:color w:val="auto"/>
                <w:highlight w:val="none"/>
              </w:rPr>
              <w:t>标的名称</w:t>
            </w:r>
          </w:p>
        </w:tc>
        <w:tc>
          <w:tcPr>
            <w:tcW w:w="1038" w:type="dxa"/>
          </w:tcPr>
          <w:p w14:paraId="02CB37D2">
            <w:pPr>
              <w:pStyle w:val="6"/>
              <w:rPr>
                <w:rFonts w:hint="default"/>
                <w:color w:val="auto"/>
                <w:highlight w:val="none"/>
              </w:rPr>
            </w:pPr>
            <w:r>
              <w:rPr>
                <w:color w:val="auto"/>
                <w:highlight w:val="none"/>
              </w:rPr>
              <w:t>单价</w:t>
            </w:r>
          </w:p>
        </w:tc>
        <w:tc>
          <w:tcPr>
            <w:tcW w:w="1038" w:type="dxa"/>
          </w:tcPr>
          <w:p w14:paraId="6054D50C">
            <w:pPr>
              <w:pStyle w:val="6"/>
              <w:rPr>
                <w:rFonts w:hint="default"/>
                <w:color w:val="auto"/>
                <w:highlight w:val="none"/>
              </w:rPr>
            </w:pPr>
            <w:r>
              <w:rPr>
                <w:color w:val="auto"/>
                <w:highlight w:val="none"/>
              </w:rPr>
              <w:t>数量</w:t>
            </w:r>
          </w:p>
        </w:tc>
        <w:tc>
          <w:tcPr>
            <w:tcW w:w="1038" w:type="dxa"/>
          </w:tcPr>
          <w:p w14:paraId="37407F21">
            <w:pPr>
              <w:rPr>
                <w:color w:val="auto"/>
                <w:highlight w:val="none"/>
              </w:rPr>
            </w:pPr>
            <w:r>
              <w:rPr>
                <w:rFonts w:hint="eastAsia"/>
                <w:color w:val="auto"/>
                <w:highlight w:val="none"/>
              </w:rPr>
              <w:t>***</w:t>
            </w:r>
          </w:p>
        </w:tc>
        <w:tc>
          <w:tcPr>
            <w:tcW w:w="1038" w:type="dxa"/>
          </w:tcPr>
          <w:p w14:paraId="124B537F">
            <w:pPr>
              <w:pStyle w:val="6"/>
              <w:rPr>
                <w:rFonts w:hint="default"/>
                <w:color w:val="auto"/>
                <w:highlight w:val="none"/>
              </w:rPr>
            </w:pPr>
            <w:r>
              <w:rPr>
                <w:color w:val="auto"/>
                <w:highlight w:val="none"/>
              </w:rPr>
              <w:t>计量单位</w:t>
            </w:r>
          </w:p>
        </w:tc>
        <w:tc>
          <w:tcPr>
            <w:tcW w:w="1038" w:type="dxa"/>
          </w:tcPr>
          <w:p w14:paraId="19B4B400">
            <w:pPr>
              <w:pStyle w:val="6"/>
              <w:rPr>
                <w:rFonts w:hint="default"/>
                <w:color w:val="auto"/>
                <w:highlight w:val="none"/>
              </w:rPr>
            </w:pPr>
            <w:r>
              <w:rPr>
                <w:color w:val="auto"/>
                <w:highlight w:val="none"/>
              </w:rPr>
              <w:t>品牌</w:t>
            </w:r>
          </w:p>
        </w:tc>
        <w:tc>
          <w:tcPr>
            <w:tcW w:w="1038" w:type="dxa"/>
          </w:tcPr>
          <w:p w14:paraId="7048E6C5">
            <w:pPr>
              <w:pStyle w:val="6"/>
              <w:rPr>
                <w:rFonts w:hint="default"/>
                <w:color w:val="auto"/>
                <w:highlight w:val="none"/>
              </w:rPr>
            </w:pPr>
            <w:r>
              <w:rPr>
                <w:color w:val="auto"/>
                <w:highlight w:val="none"/>
              </w:rPr>
              <w:t>规格型号</w:t>
            </w:r>
          </w:p>
        </w:tc>
      </w:tr>
      <w:tr w14:paraId="5401D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7D6CEC1">
            <w:pPr>
              <w:pStyle w:val="6"/>
              <w:jc w:val="center"/>
              <w:rPr>
                <w:rFonts w:hint="default"/>
                <w:color w:val="auto"/>
                <w:highlight w:val="none"/>
              </w:rPr>
            </w:pPr>
            <w:r>
              <w:rPr>
                <w:color w:val="auto"/>
                <w:highlight w:val="none"/>
              </w:rPr>
              <w:t>1</w:t>
            </w:r>
          </w:p>
        </w:tc>
        <w:tc>
          <w:tcPr>
            <w:tcW w:w="1038" w:type="dxa"/>
          </w:tcPr>
          <w:p w14:paraId="088F08C5">
            <w:pPr>
              <w:pStyle w:val="6"/>
              <w:rPr>
                <w:rFonts w:hint="default"/>
                <w:color w:val="auto"/>
                <w:highlight w:val="none"/>
              </w:rPr>
            </w:pPr>
            <w:r>
              <w:rPr>
                <w:color w:val="auto"/>
                <w:highlight w:val="none"/>
                <w:lang w:eastAsia="zh-CN"/>
              </w:rPr>
              <w:t>***</w:t>
            </w:r>
          </w:p>
        </w:tc>
        <w:tc>
          <w:tcPr>
            <w:tcW w:w="1038" w:type="dxa"/>
          </w:tcPr>
          <w:p w14:paraId="1A3D569E">
            <w:pPr>
              <w:pStyle w:val="6"/>
              <w:rPr>
                <w:rFonts w:hint="default"/>
                <w:color w:val="auto"/>
                <w:highlight w:val="none"/>
              </w:rPr>
            </w:pPr>
            <w:r>
              <w:rPr>
                <w:color w:val="auto"/>
                <w:highlight w:val="none"/>
                <w:lang w:eastAsia="zh-CN"/>
              </w:rPr>
              <w:t>***</w:t>
            </w:r>
          </w:p>
        </w:tc>
        <w:tc>
          <w:tcPr>
            <w:tcW w:w="1038" w:type="dxa"/>
          </w:tcPr>
          <w:p w14:paraId="2F7C2B76">
            <w:pPr>
              <w:pStyle w:val="6"/>
              <w:rPr>
                <w:rFonts w:hint="default"/>
                <w:color w:val="auto"/>
                <w:highlight w:val="none"/>
              </w:rPr>
            </w:pPr>
            <w:r>
              <w:rPr>
                <w:color w:val="auto"/>
                <w:highlight w:val="none"/>
                <w:lang w:eastAsia="zh-CN"/>
              </w:rPr>
              <w:t>***</w:t>
            </w:r>
          </w:p>
        </w:tc>
        <w:tc>
          <w:tcPr>
            <w:tcW w:w="1038" w:type="dxa"/>
          </w:tcPr>
          <w:p w14:paraId="6C57D11B">
            <w:pPr>
              <w:rPr>
                <w:color w:val="auto"/>
                <w:highlight w:val="none"/>
              </w:rPr>
            </w:pPr>
            <w:r>
              <w:rPr>
                <w:rFonts w:hint="eastAsia"/>
                <w:color w:val="auto"/>
                <w:highlight w:val="none"/>
              </w:rPr>
              <w:t>***</w:t>
            </w:r>
          </w:p>
        </w:tc>
        <w:tc>
          <w:tcPr>
            <w:tcW w:w="1038" w:type="dxa"/>
          </w:tcPr>
          <w:p w14:paraId="49513D58">
            <w:pPr>
              <w:pStyle w:val="6"/>
              <w:rPr>
                <w:rFonts w:hint="default"/>
                <w:color w:val="auto"/>
                <w:highlight w:val="none"/>
              </w:rPr>
            </w:pPr>
            <w:r>
              <w:rPr>
                <w:color w:val="auto"/>
                <w:highlight w:val="none"/>
                <w:lang w:eastAsia="zh-CN"/>
              </w:rPr>
              <w:t>***</w:t>
            </w:r>
          </w:p>
        </w:tc>
        <w:tc>
          <w:tcPr>
            <w:tcW w:w="1038" w:type="dxa"/>
          </w:tcPr>
          <w:p w14:paraId="6697F5C2">
            <w:pPr>
              <w:pStyle w:val="6"/>
              <w:rPr>
                <w:rFonts w:hint="default"/>
                <w:color w:val="auto"/>
                <w:highlight w:val="none"/>
              </w:rPr>
            </w:pPr>
            <w:r>
              <w:rPr>
                <w:color w:val="auto"/>
                <w:highlight w:val="none"/>
                <w:lang w:eastAsia="zh-CN"/>
              </w:rPr>
              <w:t>***</w:t>
            </w:r>
          </w:p>
        </w:tc>
        <w:tc>
          <w:tcPr>
            <w:tcW w:w="1038" w:type="dxa"/>
          </w:tcPr>
          <w:p w14:paraId="5EE63AFE">
            <w:pPr>
              <w:pStyle w:val="6"/>
              <w:rPr>
                <w:rFonts w:hint="default"/>
                <w:color w:val="auto"/>
                <w:highlight w:val="none"/>
              </w:rPr>
            </w:pPr>
            <w:r>
              <w:rPr>
                <w:color w:val="auto"/>
                <w:highlight w:val="none"/>
                <w:lang w:eastAsia="zh-CN"/>
              </w:rPr>
              <w:t>***</w:t>
            </w:r>
          </w:p>
        </w:tc>
      </w:tr>
    </w:tbl>
    <w:p w14:paraId="45E303E1">
      <w:pPr>
        <w:pStyle w:val="6"/>
        <w:outlineLvl w:val="2"/>
        <w:rPr>
          <w:rFonts w:hint="default"/>
          <w:color w:val="auto"/>
          <w:highlight w:val="none"/>
        </w:rPr>
      </w:pPr>
      <w:r>
        <w:rPr>
          <w:b/>
          <w:color w:val="auto"/>
          <w:sz w:val="28"/>
          <w:highlight w:val="none"/>
        </w:rPr>
        <w:t>二、货物要求</w:t>
      </w:r>
    </w:p>
    <w:p w14:paraId="0F705823">
      <w:pPr>
        <w:pStyle w:val="6"/>
        <w:rPr>
          <w:rFonts w:hint="default"/>
          <w:color w:val="auto"/>
          <w:highlight w:val="none"/>
        </w:rPr>
      </w:pPr>
      <w:r>
        <w:rPr>
          <w:color w:val="auto"/>
          <w:highlight w:val="none"/>
        </w:rPr>
        <w:t>2.1.质量要求</w:t>
      </w:r>
    </w:p>
    <w:p w14:paraId="4CE912F2">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1.</w:t>
      </w:r>
      <w:r>
        <w:rPr>
          <w:rFonts w:ascii="Times New Roman" w:hAnsi="Times New Roman" w:eastAsia="宋体" w:cs="Times New Roman"/>
          <w:color w:val="auto"/>
          <w:highlight w:val="none"/>
        </w:rPr>
        <w:t>乙方须保证向甲方提供的设备（含零部件、配件等）是完整、全新的，并在性能、质量和设计方面满足安全、可靠和高效运行与方便维护的全部要求。</w:t>
      </w:r>
    </w:p>
    <w:p w14:paraId="3AD8772D">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2.</w:t>
      </w:r>
      <w:r>
        <w:rPr>
          <w:rFonts w:ascii="Times New Roman" w:hAnsi="Times New Roman" w:eastAsia="宋体" w:cs="Times New Roman"/>
          <w:color w:val="auto"/>
          <w:highlight w:val="none"/>
        </w:rPr>
        <w:t>设备必须符合或优于国家（行业）标准，以及本项目采购文件的质量要求和技术指标与出厂标准。</w:t>
      </w:r>
    </w:p>
    <w:p w14:paraId="5D9982D3">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3.</w:t>
      </w:r>
      <w:r>
        <w:rPr>
          <w:rFonts w:ascii="Times New Roman" w:hAnsi="Times New Roman" w:eastAsia="宋体" w:cs="Times New Roman"/>
          <w:color w:val="auto"/>
          <w:highlight w:val="none"/>
        </w:rPr>
        <w:t>设备制造质量出现问题，乙方应负责按照第十条承担责任，费用由乙方负担。</w:t>
      </w:r>
    </w:p>
    <w:p w14:paraId="5CC0499D">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4.</w:t>
      </w:r>
      <w:r>
        <w:rPr>
          <w:rFonts w:ascii="Times New Roman" w:hAnsi="Times New Roman" w:eastAsia="宋体" w:cs="Times New Roman"/>
          <w:color w:val="auto"/>
          <w:highlight w:val="none"/>
        </w:rPr>
        <w:t>如因设备质量问题导致甲方无法正常使用或影响使用效果，由此与患者发生纠纷而导致甲方赔偿，乙方对此承担全部责任。</w:t>
      </w:r>
    </w:p>
    <w:p w14:paraId="3C9AD378">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5.</w:t>
      </w:r>
      <w:r>
        <w:rPr>
          <w:rFonts w:ascii="Times New Roman" w:hAnsi="Times New Roman" w:eastAsia="宋体" w:cs="Times New Roman"/>
          <w:color w:val="auto"/>
          <w:highlight w:val="none"/>
        </w:rPr>
        <w:t>甲方人员参与合同设备开箱、调试等行为均不免除乙方及厂家对合同设备质量所应负责任。</w:t>
      </w:r>
    </w:p>
    <w:p w14:paraId="03A3BB70">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2.1.</w:t>
      </w:r>
      <w:r>
        <w:rPr>
          <w:rFonts w:ascii="Times New Roman" w:hAnsi="Times New Roman" w:eastAsia="宋体" w:cs="Times New Roman"/>
          <w:color w:val="auto"/>
          <w:szCs w:val="21"/>
          <w:highlight w:val="none"/>
          <w:u w:color="000000"/>
        </w:rPr>
        <w:t>6.</w:t>
      </w:r>
      <w:r>
        <w:rPr>
          <w:rFonts w:ascii="Times New Roman" w:hAnsi="Times New Roman" w:eastAsia="宋体" w:cs="Times New Roman"/>
          <w:color w:val="auto"/>
          <w:highlight w:val="none"/>
        </w:rPr>
        <w:t>本合同采购的设备涉及成品软件的，乙方应保证以下内容（本合同另有约定除外）：</w:t>
      </w:r>
    </w:p>
    <w:p w14:paraId="179EFE0A">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本合同中提供给甲方的软件产品是其产品原厂发布的最新版本。</w:t>
      </w:r>
    </w:p>
    <w:p w14:paraId="2152C5EC">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负责软件功能的升级、维护和文档更新，不再收取任何费用。</w:t>
      </w:r>
    </w:p>
    <w:p w14:paraId="1F065C42">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本合同中提供给甲方的软件产品不存在定期密码输入等使用和功能上的限制。</w:t>
      </w:r>
    </w:p>
    <w:p w14:paraId="55DF3C01">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本合同中提供给甲方的软件产品不得隐含任何恶意功能，包括但不限于病毒、蠕虫和特洛伊木马等程序；在未获甲方授权的情况下，不得通过软件收集和扩散任何甲方及其相关联单位的信息。</w:t>
      </w:r>
    </w:p>
    <w:p w14:paraId="31356DBD">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本合同中提供给甲方的软件产品需要严格遵守相关网络信息安全规定。</w:t>
      </w:r>
    </w:p>
    <w:p w14:paraId="16594485">
      <w:pPr>
        <w:pStyle w:val="7"/>
        <w:numPr>
          <w:ilvl w:val="0"/>
          <w:numId w:val="1"/>
        </w:numPr>
        <w:snapToGrid w:val="0"/>
        <w:ind w:left="525" w:hanging="525" w:hangingChars="250"/>
        <w:rPr>
          <w:rFonts w:ascii="Times New Roman" w:hAnsi="Times New Roman" w:eastAsia="宋体" w:cs="Times New Roman"/>
          <w:color w:val="auto"/>
          <w:highlight w:val="none"/>
        </w:rPr>
      </w:pPr>
      <w:r>
        <w:rPr>
          <w:rFonts w:ascii="Times New Roman" w:hAnsi="Times New Roman" w:eastAsia="宋体" w:cs="Times New Roman"/>
          <w:color w:val="auto"/>
          <w:highlight w:val="none"/>
        </w:rPr>
        <w:t>若因乙方操作不当导致本合同中提供给甲方的软件产品及相关系统出现故障或数据遗失等情况，乙方应负责调试软件至正常使用状态并恢复数据，因此造成甲方损失的，乙方须承担相应的赔偿责任。</w:t>
      </w:r>
    </w:p>
    <w:p w14:paraId="000FACC6">
      <w:pPr>
        <w:pStyle w:val="6"/>
        <w:rPr>
          <w:rFonts w:hint="default"/>
          <w:color w:val="auto"/>
          <w:highlight w:val="none"/>
        </w:rPr>
      </w:pPr>
      <w:r>
        <w:rPr>
          <w:color w:val="auto"/>
          <w:highlight w:val="none"/>
        </w:rPr>
        <w:t>2.2.包装方式及运输方式</w:t>
      </w:r>
    </w:p>
    <w:p w14:paraId="2D45410A">
      <w:pPr>
        <w:pStyle w:val="6"/>
        <w:rPr>
          <w:rFonts w:hint="default"/>
          <w:color w:val="auto"/>
          <w:highlight w:val="none"/>
        </w:rPr>
      </w:pPr>
      <w:r>
        <w:rPr>
          <w:color w:val="auto"/>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07BAA231">
      <w:pPr>
        <w:pStyle w:val="6"/>
        <w:rPr>
          <w:rFonts w:hint="default" w:ascii="Times New Roman" w:hAnsi="Times New Roman" w:eastAsia="宋体" w:cs="Times New Roman"/>
          <w:color w:val="auto"/>
          <w:kern w:val="2"/>
          <w:sz w:val="21"/>
          <w:szCs w:val="21"/>
          <w:highlight w:val="none"/>
          <w:u w:color="000000"/>
          <w:lang w:eastAsia="zh-CN"/>
        </w:rPr>
      </w:pPr>
      <w:r>
        <w:rPr>
          <w:color w:val="auto"/>
          <w:highlight w:val="none"/>
        </w:rPr>
        <w:t>2.3.质量保修范围和保修期</w:t>
      </w:r>
    </w:p>
    <w:p w14:paraId="0D09AD96">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2.3.2.</w:t>
      </w:r>
      <w:r>
        <w:rPr>
          <w:rFonts w:ascii="Times New Roman" w:hAnsi="Times New Roman" w:eastAsia="宋体" w:cs="Times New Roman"/>
          <w:color w:val="auto"/>
          <w:highlight w:val="none"/>
        </w:rPr>
        <w:t xml:space="preserve">质保期为验收合格后 </w:t>
      </w:r>
      <w:r>
        <w:rPr>
          <w:rFonts w:ascii="Times New Roman" w:hAnsi="Times New Roman" w:eastAsia="宋体" w:cs="Times New Roman"/>
          <w:color w:val="auto"/>
          <w:highlight w:val="none"/>
          <w:u w:val="single"/>
        </w:rPr>
        <w:t>***</w:t>
      </w:r>
      <w:r>
        <w:rPr>
          <w:rFonts w:ascii="Times New Roman" w:hAnsi="Times New Roman" w:eastAsia="宋体" w:cs="Times New Roman"/>
          <w:color w:val="auto"/>
          <w:highlight w:val="none"/>
        </w:rPr>
        <w:t xml:space="preserve"> 年。质保范围：整机含所有部件（质保期内涉及维修,产品更换,人工费用等一切费用包含在本合同总价中）。</w:t>
      </w:r>
    </w:p>
    <w:p w14:paraId="05D86279">
      <w:pPr>
        <w:pStyle w:val="6"/>
        <w:rPr>
          <w:rFonts w:hint="default"/>
          <w:color w:val="auto"/>
          <w:highlight w:val="none"/>
        </w:rPr>
      </w:pPr>
      <w:r>
        <w:rPr>
          <w:color w:val="auto"/>
          <w:highlight w:val="none"/>
        </w:rPr>
        <w:t>2.4.其他要求</w:t>
      </w:r>
    </w:p>
    <w:p w14:paraId="577D88DA">
      <w:pPr>
        <w:pStyle w:val="6"/>
        <w:rPr>
          <w:rFonts w:hint="default"/>
          <w:color w:val="auto"/>
          <w:highlight w:val="none"/>
        </w:rPr>
      </w:pPr>
      <w:r>
        <w:rPr>
          <w:color w:val="auto"/>
          <w:highlight w:val="none"/>
        </w:rPr>
        <w:t>详见采购文件和中标(成交)供应商投标(响应)文件。</w:t>
      </w:r>
    </w:p>
    <w:p w14:paraId="462DCCDC">
      <w:pPr>
        <w:pStyle w:val="6"/>
        <w:outlineLvl w:val="2"/>
        <w:rPr>
          <w:rFonts w:hint="default"/>
          <w:color w:val="auto"/>
          <w:highlight w:val="none"/>
        </w:rPr>
      </w:pPr>
      <w:r>
        <w:rPr>
          <w:b/>
          <w:color w:val="auto"/>
          <w:sz w:val="28"/>
          <w:highlight w:val="none"/>
        </w:rPr>
        <w:t>三、合同价款、支付方式和付款进度安排</w:t>
      </w:r>
    </w:p>
    <w:p w14:paraId="6E741EFB">
      <w:pPr>
        <w:pStyle w:val="6"/>
        <w:rPr>
          <w:rFonts w:hint="default"/>
          <w:color w:val="auto"/>
          <w:highlight w:val="none"/>
        </w:rPr>
      </w:pPr>
      <w:r>
        <w:rPr>
          <w:color w:val="auto"/>
          <w:highlight w:val="none"/>
        </w:rPr>
        <w:t>3.1.合同价款</w:t>
      </w:r>
    </w:p>
    <w:p w14:paraId="79EC6536">
      <w:pPr>
        <w:pStyle w:val="6"/>
        <w:rPr>
          <w:rFonts w:hint="default"/>
          <w:color w:val="auto"/>
          <w:highlight w:val="none"/>
        </w:rPr>
      </w:pPr>
      <w:r>
        <w:rPr>
          <w:color w:val="auto"/>
          <w:highlight w:val="none"/>
        </w:rPr>
        <w:t>本合同总金额为¥</w:t>
      </w:r>
      <w:r>
        <w:rPr>
          <w:color w:val="auto"/>
          <w:highlight w:val="none"/>
          <w:lang w:eastAsia="zh-CN"/>
        </w:rPr>
        <w:t>***</w:t>
      </w:r>
      <w:r>
        <w:rPr>
          <w:color w:val="auto"/>
          <w:highlight w:val="none"/>
        </w:rPr>
        <w:t>元（大写：</w:t>
      </w:r>
      <w:r>
        <w:rPr>
          <w:color w:val="auto"/>
          <w:highlight w:val="none"/>
          <w:lang w:eastAsia="zh-CN"/>
        </w:rPr>
        <w:t>***</w:t>
      </w:r>
      <w:r>
        <w:rPr>
          <w:color w:val="auto"/>
          <w:highlight w:val="none"/>
        </w:rPr>
        <w:t>元整）</w:t>
      </w:r>
    </w:p>
    <w:p w14:paraId="464CCAC2">
      <w:pPr>
        <w:pStyle w:val="6"/>
        <w:rPr>
          <w:rFonts w:hint="default"/>
          <w:color w:val="auto"/>
          <w:highlight w:val="none"/>
        </w:rPr>
      </w:pPr>
      <w:r>
        <w:rPr>
          <w:color w:val="auto"/>
          <w:highlight w:val="none"/>
        </w:rPr>
        <w:t>其他情况说明：</w:t>
      </w:r>
    </w:p>
    <w:p w14:paraId="4F3BAAFA">
      <w:pPr>
        <w:snapToGrid w:val="0"/>
        <w:contextualSpacing/>
        <w:rPr>
          <w:color w:val="auto"/>
          <w:sz w:val="20"/>
          <w:szCs w:val="20"/>
          <w:highlight w:val="none"/>
        </w:rPr>
      </w:pPr>
      <w:r>
        <w:rPr>
          <w:rFonts w:hint="eastAsia"/>
          <w:color w:val="auto"/>
          <w:sz w:val="20"/>
          <w:szCs w:val="20"/>
          <w:highlight w:val="none"/>
        </w:rPr>
        <w:t>3.1.1.</w:t>
      </w:r>
      <w:r>
        <w:rPr>
          <w:rFonts w:ascii="Times New Roman" w:hAnsi="Times New Roman" w:eastAsia="宋体" w:cs="Times New Roman"/>
          <w:color w:val="auto"/>
          <w:sz w:val="20"/>
          <w:szCs w:val="20"/>
          <w:highlight w:val="none"/>
        </w:rPr>
        <w:t>本合同总价（含税）为人民币 *** 元，大写人民币 *** 圆整；该合同总价已包括设备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01088222">
      <w:pPr>
        <w:pStyle w:val="6"/>
        <w:rPr>
          <w:rFonts w:hint="default"/>
          <w:color w:val="auto"/>
          <w:highlight w:val="none"/>
          <w:lang w:eastAsia="zh-CN"/>
        </w:rPr>
      </w:pPr>
      <w:r>
        <w:rPr>
          <w:color w:val="auto"/>
          <w:highlight w:val="none"/>
          <w:lang w:eastAsia="zh-CN"/>
        </w:rPr>
        <w:t>3.1.2【因系统字数限制，3.3中支付说明以此为准：*****】</w:t>
      </w:r>
    </w:p>
    <w:p w14:paraId="43954D2B">
      <w:pPr>
        <w:pStyle w:val="6"/>
        <w:rPr>
          <w:rFonts w:hint="default"/>
          <w:color w:val="auto"/>
          <w:highlight w:val="none"/>
        </w:rPr>
      </w:pPr>
      <w:r>
        <w:rPr>
          <w:color w:val="auto"/>
          <w:highlight w:val="none"/>
        </w:rPr>
        <w:t>3.2.支付方式</w:t>
      </w:r>
    </w:p>
    <w:p w14:paraId="52750BF3">
      <w:pPr>
        <w:pStyle w:val="6"/>
        <w:rPr>
          <w:rFonts w:hint="default"/>
          <w:color w:val="auto"/>
          <w:highlight w:val="none"/>
        </w:rPr>
      </w:pPr>
      <w:r>
        <w:rPr>
          <w:color w:val="auto"/>
          <w:highlight w:val="none"/>
        </w:rPr>
        <w:t>一次性支付分期付款</w:t>
      </w:r>
    </w:p>
    <w:p w14:paraId="7968908A">
      <w:pPr>
        <w:pStyle w:val="6"/>
        <w:rPr>
          <w:rFonts w:hint="default"/>
          <w:color w:val="auto"/>
          <w:highlight w:val="none"/>
        </w:rPr>
      </w:pPr>
      <w:r>
        <w:rPr>
          <w:color w:val="auto"/>
          <w:highlight w:val="none"/>
        </w:rPr>
        <w:t>3.3.付款进度安排</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11C7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725D574">
            <w:pPr>
              <w:pStyle w:val="6"/>
              <w:jc w:val="center"/>
              <w:rPr>
                <w:rFonts w:hint="default"/>
                <w:color w:val="auto"/>
                <w:highlight w:val="none"/>
              </w:rPr>
            </w:pPr>
            <w:r>
              <w:rPr>
                <w:color w:val="auto"/>
                <w:highlight w:val="none"/>
              </w:rPr>
              <w:t>期次</w:t>
            </w:r>
          </w:p>
        </w:tc>
        <w:tc>
          <w:tcPr>
            <w:tcW w:w="1384" w:type="dxa"/>
          </w:tcPr>
          <w:p w14:paraId="3E0CBB74">
            <w:pPr>
              <w:pStyle w:val="6"/>
              <w:jc w:val="right"/>
              <w:rPr>
                <w:rFonts w:hint="default"/>
                <w:color w:val="auto"/>
                <w:highlight w:val="none"/>
              </w:rPr>
            </w:pPr>
            <w:r>
              <w:rPr>
                <w:color w:val="auto"/>
                <w:highlight w:val="none"/>
              </w:rPr>
              <w:t>支付金额（元）</w:t>
            </w:r>
          </w:p>
        </w:tc>
        <w:tc>
          <w:tcPr>
            <w:tcW w:w="1384" w:type="dxa"/>
          </w:tcPr>
          <w:p w14:paraId="6F39EBCA">
            <w:pPr>
              <w:pStyle w:val="6"/>
              <w:rPr>
                <w:rFonts w:hint="default"/>
                <w:color w:val="auto"/>
                <w:highlight w:val="none"/>
              </w:rPr>
            </w:pPr>
            <w:r>
              <w:rPr>
                <w:color w:val="auto"/>
                <w:highlight w:val="none"/>
              </w:rPr>
              <w:t>计划支付日期</w:t>
            </w:r>
          </w:p>
        </w:tc>
        <w:tc>
          <w:tcPr>
            <w:tcW w:w="1384" w:type="dxa"/>
          </w:tcPr>
          <w:p w14:paraId="2DAFA8F6">
            <w:pPr>
              <w:pStyle w:val="6"/>
              <w:rPr>
                <w:rFonts w:hint="default"/>
                <w:color w:val="auto"/>
                <w:highlight w:val="none"/>
              </w:rPr>
            </w:pPr>
            <w:r>
              <w:rPr>
                <w:color w:val="auto"/>
                <w:highlight w:val="none"/>
              </w:rPr>
              <w:t>收款人</w:t>
            </w:r>
          </w:p>
        </w:tc>
        <w:tc>
          <w:tcPr>
            <w:tcW w:w="1384" w:type="dxa"/>
          </w:tcPr>
          <w:p w14:paraId="30534111">
            <w:pPr>
              <w:pStyle w:val="6"/>
              <w:rPr>
                <w:rFonts w:hint="default"/>
                <w:color w:val="auto"/>
                <w:highlight w:val="none"/>
              </w:rPr>
            </w:pPr>
            <w:r>
              <w:rPr>
                <w:color w:val="auto"/>
                <w:highlight w:val="none"/>
              </w:rPr>
              <w:t>支付说明</w:t>
            </w:r>
          </w:p>
        </w:tc>
        <w:tc>
          <w:tcPr>
            <w:tcW w:w="1384" w:type="dxa"/>
          </w:tcPr>
          <w:p w14:paraId="33648C77">
            <w:pPr>
              <w:pStyle w:val="6"/>
              <w:rPr>
                <w:rFonts w:hint="default"/>
                <w:color w:val="auto"/>
                <w:highlight w:val="none"/>
              </w:rPr>
            </w:pPr>
            <w:r>
              <w:rPr>
                <w:color w:val="auto"/>
                <w:highlight w:val="none"/>
              </w:rPr>
              <w:t>是否预付款</w:t>
            </w:r>
          </w:p>
        </w:tc>
      </w:tr>
      <w:tr w14:paraId="1204D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14AA54A">
            <w:pPr>
              <w:pStyle w:val="6"/>
              <w:jc w:val="center"/>
              <w:rPr>
                <w:rFonts w:hint="default"/>
                <w:color w:val="auto"/>
                <w:highlight w:val="none"/>
              </w:rPr>
            </w:pPr>
            <w:r>
              <w:rPr>
                <w:color w:val="auto"/>
                <w:highlight w:val="none"/>
              </w:rPr>
              <w:t>1</w:t>
            </w:r>
          </w:p>
        </w:tc>
        <w:tc>
          <w:tcPr>
            <w:tcW w:w="1384" w:type="dxa"/>
          </w:tcPr>
          <w:p w14:paraId="059763C1">
            <w:pPr>
              <w:pStyle w:val="6"/>
              <w:jc w:val="right"/>
              <w:rPr>
                <w:rFonts w:hint="default"/>
                <w:color w:val="auto"/>
                <w:highlight w:val="none"/>
                <w:lang w:eastAsia="zh-CN"/>
              </w:rPr>
            </w:pPr>
            <w:r>
              <w:rPr>
                <w:color w:val="auto"/>
                <w:highlight w:val="none"/>
                <w:lang w:eastAsia="zh-CN"/>
              </w:rPr>
              <w:t>***</w:t>
            </w:r>
          </w:p>
        </w:tc>
        <w:tc>
          <w:tcPr>
            <w:tcW w:w="1384" w:type="dxa"/>
          </w:tcPr>
          <w:p w14:paraId="07B390C1">
            <w:pPr>
              <w:pStyle w:val="6"/>
              <w:rPr>
                <w:rFonts w:hint="default"/>
                <w:color w:val="auto"/>
                <w:highlight w:val="none"/>
              </w:rPr>
            </w:pPr>
            <w:r>
              <w:rPr>
                <w:color w:val="auto"/>
                <w:highlight w:val="none"/>
                <w:lang w:eastAsia="zh-CN"/>
              </w:rPr>
              <w:t>***</w:t>
            </w:r>
          </w:p>
        </w:tc>
        <w:tc>
          <w:tcPr>
            <w:tcW w:w="1384" w:type="dxa"/>
          </w:tcPr>
          <w:p w14:paraId="6CAB47C1">
            <w:pPr>
              <w:pStyle w:val="6"/>
              <w:rPr>
                <w:rFonts w:hint="default"/>
                <w:color w:val="auto"/>
                <w:highlight w:val="none"/>
              </w:rPr>
            </w:pPr>
            <w:r>
              <w:rPr>
                <w:color w:val="auto"/>
                <w:highlight w:val="none"/>
                <w:lang w:eastAsia="zh-CN"/>
              </w:rPr>
              <w:t>***</w:t>
            </w:r>
          </w:p>
        </w:tc>
        <w:tc>
          <w:tcPr>
            <w:tcW w:w="1384" w:type="dxa"/>
          </w:tcPr>
          <w:p w14:paraId="2B3BB71C">
            <w:pPr>
              <w:pStyle w:val="6"/>
              <w:rPr>
                <w:rFonts w:hint="default"/>
                <w:color w:val="auto"/>
                <w:highlight w:val="none"/>
                <w:lang w:eastAsia="zh-CN"/>
              </w:rPr>
            </w:pPr>
            <w:r>
              <w:rPr>
                <w:color w:val="auto"/>
                <w:highlight w:val="none"/>
                <w:lang w:eastAsia="zh-CN"/>
              </w:rPr>
              <w:t>【因系统字数限制，此处以3.1.2中其他情况说明内容为准】</w:t>
            </w:r>
          </w:p>
        </w:tc>
        <w:tc>
          <w:tcPr>
            <w:tcW w:w="1384" w:type="dxa"/>
          </w:tcPr>
          <w:p w14:paraId="03245E36">
            <w:pPr>
              <w:pStyle w:val="6"/>
              <w:rPr>
                <w:rFonts w:hint="default"/>
                <w:color w:val="auto"/>
                <w:highlight w:val="none"/>
                <w:lang w:eastAsia="zh-CN"/>
              </w:rPr>
            </w:pPr>
            <w:r>
              <w:rPr>
                <w:color w:val="auto"/>
                <w:highlight w:val="none"/>
                <w:lang w:eastAsia="zh-CN"/>
              </w:rPr>
              <w:t>***</w:t>
            </w:r>
          </w:p>
        </w:tc>
      </w:tr>
    </w:tbl>
    <w:p w14:paraId="678B6567">
      <w:pPr>
        <w:pStyle w:val="6"/>
        <w:outlineLvl w:val="2"/>
        <w:rPr>
          <w:rFonts w:hint="default"/>
          <w:color w:val="auto"/>
          <w:highlight w:val="none"/>
        </w:rPr>
      </w:pPr>
      <w:r>
        <w:rPr>
          <w:b/>
          <w:color w:val="auto"/>
          <w:sz w:val="28"/>
          <w:highlight w:val="none"/>
        </w:rPr>
        <w:t>四、合同履行</w:t>
      </w:r>
    </w:p>
    <w:p w14:paraId="1DB1AD6B">
      <w:pPr>
        <w:pStyle w:val="6"/>
        <w:rPr>
          <w:rFonts w:hint="default"/>
          <w:color w:val="auto"/>
          <w:highlight w:val="none"/>
          <w:lang w:eastAsia="zh-CN"/>
        </w:rPr>
      </w:pPr>
      <w:r>
        <w:rPr>
          <w:color w:val="auto"/>
          <w:highlight w:val="none"/>
        </w:rPr>
        <w:t>4.1.交货时间：</w:t>
      </w:r>
      <w:r>
        <w:rPr>
          <w:rFonts w:ascii="Segoe UI" w:hAnsi="Segoe UI" w:eastAsia="Segoe UI" w:cs="Segoe UI"/>
          <w:color w:val="auto"/>
          <w:sz w:val="19"/>
          <w:szCs w:val="19"/>
          <w:highlight w:val="none"/>
          <w:shd w:val="clear" w:color="auto" w:fill="FFFFFF"/>
        </w:rPr>
        <w:t>本合同生效后***日内，供应商须将所有设备运抵交付地点，完成安装、调试及试运行后进行交付。隐蔽部件安装前须通知甲方到场清点。验收合格前，货物毁损灭失风险由乙方承担。</w:t>
      </w:r>
    </w:p>
    <w:p w14:paraId="764B10F2">
      <w:pPr>
        <w:pStyle w:val="6"/>
        <w:rPr>
          <w:rFonts w:hint="default"/>
          <w:color w:val="auto"/>
          <w:highlight w:val="none"/>
        </w:rPr>
      </w:pPr>
      <w:r>
        <w:rPr>
          <w:color w:val="auto"/>
          <w:highlight w:val="none"/>
        </w:rPr>
        <w:t>履约时间：{{未填写}}-{{未填写}}</w:t>
      </w:r>
    </w:p>
    <w:p w14:paraId="7EE5C49B">
      <w:pPr>
        <w:pStyle w:val="6"/>
        <w:rPr>
          <w:rFonts w:hint="default"/>
          <w:color w:val="auto"/>
          <w:highlight w:val="none"/>
        </w:rPr>
      </w:pPr>
      <w:r>
        <w:rPr>
          <w:color w:val="auto"/>
          <w:highlight w:val="none"/>
        </w:rPr>
        <w:t>4.2.交货地点：</w:t>
      </w:r>
      <w:r>
        <w:rPr>
          <w:color w:val="auto"/>
          <w:highlight w:val="none"/>
          <w:lang w:eastAsia="zh-CN"/>
        </w:rPr>
        <w:t>***</w:t>
      </w:r>
    </w:p>
    <w:p w14:paraId="6B3C7B1C">
      <w:pPr>
        <w:pStyle w:val="6"/>
        <w:rPr>
          <w:rFonts w:hint="default"/>
          <w:color w:val="auto"/>
          <w:highlight w:val="none"/>
          <w:lang w:eastAsia="zh-CN"/>
        </w:rPr>
      </w:pPr>
      <w:r>
        <w:rPr>
          <w:color w:val="auto"/>
          <w:highlight w:val="none"/>
        </w:rPr>
        <w:t>4.3.分期履行要求：</w:t>
      </w:r>
      <w:r>
        <w:rPr>
          <w:color w:val="auto"/>
          <w:highlight w:val="none"/>
          <w:lang w:eastAsia="zh-CN"/>
        </w:rPr>
        <w:t>***</w:t>
      </w:r>
    </w:p>
    <w:p w14:paraId="6A0265E3">
      <w:pPr>
        <w:pStyle w:val="6"/>
        <w:rPr>
          <w:rFonts w:hint="default"/>
          <w:color w:val="auto"/>
          <w:highlight w:val="none"/>
          <w:lang w:eastAsia="zh-CN"/>
        </w:rPr>
      </w:pPr>
      <w:r>
        <w:rPr>
          <w:color w:val="auto"/>
          <w:highlight w:val="none"/>
        </w:rPr>
        <w:t>4.4.风险处置措施和替代方案：</w:t>
      </w:r>
      <w:r>
        <w:rPr>
          <w:color w:val="auto"/>
          <w:highlight w:val="none"/>
          <w:lang w:eastAsia="zh-CN"/>
        </w:rPr>
        <w:t>【4.1中的履约时间内容不适用于本项目】</w:t>
      </w:r>
    </w:p>
    <w:p w14:paraId="46C94FB9">
      <w:pPr>
        <w:pStyle w:val="6"/>
        <w:outlineLvl w:val="2"/>
        <w:rPr>
          <w:rFonts w:hint="default"/>
          <w:color w:val="auto"/>
          <w:highlight w:val="none"/>
        </w:rPr>
      </w:pPr>
      <w:r>
        <w:rPr>
          <w:b/>
          <w:color w:val="auto"/>
          <w:sz w:val="28"/>
          <w:highlight w:val="none"/>
        </w:rPr>
        <w:t>五、验收、交付标准和方法</w:t>
      </w:r>
    </w:p>
    <w:p w14:paraId="271AC62A">
      <w:pPr>
        <w:pStyle w:val="7"/>
        <w:adjustRightInd w:val="0"/>
        <w:snapToGrid w:val="0"/>
        <w:ind w:left="0"/>
        <w:rPr>
          <w:rFonts w:ascii="Times New Roman" w:hAnsi="Times New Roman" w:eastAsia="宋体" w:cs="Times New Roman"/>
          <w:color w:val="auto"/>
          <w:sz w:val="20"/>
          <w:szCs w:val="20"/>
          <w:highlight w:val="none"/>
        </w:rPr>
      </w:pPr>
      <w:r>
        <w:rPr>
          <w:color w:val="auto"/>
          <w:highlight w:val="none"/>
        </w:rPr>
        <w:t>5.1.</w:t>
      </w:r>
      <w:r>
        <w:rPr>
          <w:rFonts w:ascii="Times New Roman" w:hAnsi="Times New Roman" w:eastAsia="宋体" w:cs="Times New Roman"/>
          <w:color w:val="auto"/>
          <w:sz w:val="20"/>
          <w:szCs w:val="20"/>
          <w:highlight w:val="none"/>
        </w:rPr>
        <w:t>甲、乙双方确定，按照本合同约定的验收方案对乙方交付的设备进行验收。</w:t>
      </w:r>
    </w:p>
    <w:p w14:paraId="4930FBA5">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u w:color="000000"/>
        </w:rPr>
        <w:t>5.1.1</w:t>
      </w:r>
      <w:r>
        <w:rPr>
          <w:rFonts w:ascii="Times New Roman" w:hAnsi="Times New Roman" w:eastAsia="宋体" w:cs="Times New Roman"/>
          <w:color w:val="auto"/>
          <w:sz w:val="20"/>
          <w:szCs w:val="20"/>
          <w:highlight w:val="none"/>
          <w:u w:color="000000"/>
        </w:rPr>
        <w:t>.</w:t>
      </w:r>
      <w:r>
        <w:rPr>
          <w:rFonts w:ascii="Times New Roman" w:hAnsi="Times New Roman" w:eastAsia="宋体" w:cs="Times New Roman"/>
          <w:color w:val="auto"/>
          <w:sz w:val="20"/>
          <w:szCs w:val="20"/>
          <w:highlight w:val="none"/>
        </w:rPr>
        <w:t>验收方案：</w:t>
      </w:r>
    </w:p>
    <w:p w14:paraId="3BCFB476">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（1）</w:t>
      </w:r>
      <w:r>
        <w:rPr>
          <w:rFonts w:ascii="Times New Roman" w:hAnsi="Times New Roman" w:eastAsia="宋体" w:cs="Times New Roman"/>
          <w:color w:val="auto"/>
          <w:sz w:val="20"/>
          <w:szCs w:val="20"/>
          <w:highlight w:val="none"/>
        </w:rPr>
        <w:t>验收主体：甲方</w:t>
      </w:r>
    </w:p>
    <w:p w14:paraId="13F1C0E4">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（2）</w:t>
      </w:r>
      <w:r>
        <w:rPr>
          <w:rFonts w:ascii="Times New Roman" w:hAnsi="Times New Roman" w:eastAsia="宋体" w:cs="Times New Roman"/>
          <w:color w:val="auto"/>
          <w:sz w:val="20"/>
          <w:szCs w:val="20"/>
          <w:highlight w:val="none"/>
        </w:rPr>
        <w:t>验收组织方式：自行验收</w:t>
      </w:r>
    </w:p>
    <w:p w14:paraId="6143B4BA">
      <w:pPr>
        <w:pStyle w:val="7"/>
        <w:numPr>
          <w:ilvl w:val="0"/>
          <w:numId w:val="0"/>
        </w:numPr>
        <w:adjustRightInd w:val="0"/>
        <w:snapToGrid w:val="0"/>
        <w:ind w:left="0" w:leftChars="0" w:firstLine="0" w:firstLineChars="0"/>
        <w:rPr>
          <w:rFonts w:ascii="Times New Roman" w:hAnsi="Times New Roman" w:eastAsia="宋体" w:cs="Times New Roman"/>
          <w:color w:val="auto"/>
          <w:kern w:val="0"/>
          <w:sz w:val="20"/>
          <w:szCs w:val="20"/>
          <w:highlight w:val="none"/>
          <w:shd w:val="clear" w:color="auto" w:fill="FFFFFF"/>
        </w:rPr>
      </w:pPr>
      <w:r>
        <w:rPr>
          <w:rFonts w:hint="default" w:ascii="Times New Roman" w:hAnsi="Times New Roman" w:eastAsia="宋体" w:cs="Times New Roman"/>
          <w:color w:val="auto"/>
          <w:kern w:val="0"/>
          <w:sz w:val="21"/>
          <w:szCs w:val="24"/>
          <w:highlight w:val="none"/>
          <w:shd w:val="clear" w:fill="FFFFFF"/>
          <w:lang w:val="en-US" w:eastAsia="zh-CN" w:bidi="ar-SA"/>
        </w:rPr>
        <w:t>（3）</w:t>
      </w:r>
      <w:r>
        <w:rPr>
          <w:rFonts w:ascii="Times New Roman" w:hAnsi="Times New Roman" w:eastAsia="宋体" w:cs="Times New Roman"/>
          <w:color w:val="auto"/>
          <w:sz w:val="20"/>
          <w:szCs w:val="20"/>
          <w:highlight w:val="none"/>
        </w:rPr>
        <w:t>验收程序：</w:t>
      </w:r>
      <w:r>
        <w:rPr>
          <w:color w:val="auto"/>
          <w:sz w:val="20"/>
          <w:szCs w:val="20"/>
          <w:highlight w:val="none"/>
        </w:rPr>
        <w:sym w:font="Wingdings 2" w:char="F052"/>
      </w:r>
      <w:r>
        <w:rPr>
          <w:rFonts w:ascii="Times New Roman" w:hAnsi="Times New Roman" w:eastAsia="宋体" w:cs="Times New Roman"/>
          <w:color w:val="auto"/>
          <w:kern w:val="0"/>
          <w:sz w:val="20"/>
          <w:szCs w:val="20"/>
          <w:highlight w:val="none"/>
          <w:shd w:val="clear" w:color="auto" w:fill="FFFFFF"/>
        </w:rPr>
        <w:t xml:space="preserve">一次性验收   </w:t>
      </w:r>
      <w:r>
        <w:rPr>
          <w:color w:val="auto"/>
          <w:sz w:val="20"/>
          <w:szCs w:val="20"/>
          <w:highlight w:val="none"/>
          <w:shd w:val="clear" w:color="auto" w:fill="FFFFFF"/>
        </w:rPr>
        <w:sym w:font="Wingdings" w:char="F0A8"/>
      </w:r>
      <w:r>
        <w:rPr>
          <w:rFonts w:ascii="Times New Roman" w:hAnsi="Times New Roman" w:eastAsia="宋体" w:cs="Times New Roman"/>
          <w:color w:val="auto"/>
          <w:kern w:val="0"/>
          <w:sz w:val="20"/>
          <w:szCs w:val="20"/>
          <w:highlight w:val="none"/>
          <w:shd w:val="clear" w:color="auto" w:fill="FFFFFF"/>
        </w:rPr>
        <w:t>分段/分期验收</w:t>
      </w:r>
      <w:r>
        <w:rPr>
          <w:rFonts w:ascii="Times New Roman" w:hAnsi="Times New Roman" w:eastAsia="宋体" w:cs="Times New Roman"/>
          <w:i/>
          <w:iCs/>
          <w:color w:val="auto"/>
          <w:sz w:val="20"/>
          <w:szCs w:val="20"/>
          <w:highlight w:val="none"/>
        </w:rPr>
        <w:t>&lt;可根据项目具体情况编制详细的验收方案并附附件&gt;</w:t>
      </w:r>
    </w:p>
    <w:p w14:paraId="13DD1DAF">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（4）</w:t>
      </w:r>
      <w:r>
        <w:rPr>
          <w:rFonts w:ascii="Times New Roman" w:hAnsi="Times New Roman" w:eastAsia="宋体" w:cs="Times New Roman"/>
          <w:color w:val="auto"/>
          <w:sz w:val="20"/>
          <w:szCs w:val="20"/>
          <w:highlight w:val="none"/>
        </w:rPr>
        <w:t>验收方式：现场整体验收</w:t>
      </w:r>
    </w:p>
    <w:p w14:paraId="0CF71317">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（5）</w:t>
      </w:r>
      <w:r>
        <w:rPr>
          <w:rFonts w:ascii="Times New Roman" w:hAnsi="Times New Roman" w:eastAsia="宋体" w:cs="Times New Roman"/>
          <w:color w:val="auto"/>
          <w:sz w:val="20"/>
          <w:szCs w:val="20"/>
          <w:highlight w:val="none"/>
        </w:rPr>
        <w:t>履约验收内容：按照基于本项目采购需求编制的采购文件要求及乙方投标文件或响应文件情况，由乙方向甲方交付的全部内容。</w:t>
      </w:r>
    </w:p>
    <w:p w14:paraId="7C5B139F">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（6）</w:t>
      </w:r>
      <w:r>
        <w:rPr>
          <w:rFonts w:ascii="Times New Roman" w:hAnsi="Times New Roman" w:eastAsia="宋体" w:cs="Times New Roman"/>
          <w:color w:val="auto"/>
          <w:sz w:val="20"/>
          <w:szCs w:val="20"/>
          <w:highlight w:val="none"/>
        </w:rPr>
        <w:t>履约验收时间：供应商完成本项目涉及的所有设备的安装、调试并具备验收条件后于5日内通知甲方验收，甲方接乙方通知后10日内组织验收。</w:t>
      </w:r>
    </w:p>
    <w:p w14:paraId="72494D01">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（7）</w:t>
      </w:r>
      <w:r>
        <w:rPr>
          <w:rFonts w:ascii="Times New Roman" w:hAnsi="Times New Roman" w:eastAsia="宋体" w:cs="Times New Roman"/>
          <w:color w:val="auto"/>
          <w:sz w:val="20"/>
          <w:szCs w:val="20"/>
          <w:highlight w:val="none"/>
        </w:rPr>
        <w:t xml:space="preserve">是否邀请本项目的其他供应商： </w:t>
      </w:r>
      <w:r>
        <w:rPr>
          <w:rFonts w:ascii="Times New Roman" w:hAnsi="Times New Roman" w:eastAsia="宋体" w:cs="Times New Roman"/>
          <w:color w:val="auto"/>
          <w:sz w:val="20"/>
          <w:szCs w:val="20"/>
          <w:highlight w:val="none"/>
        </w:rPr>
        <w:sym w:font="Wingdings" w:char="F0A8"/>
      </w:r>
      <w:r>
        <w:rPr>
          <w:rFonts w:ascii="Times New Roman" w:hAnsi="Times New Roman" w:eastAsia="宋体" w:cs="Times New Roman"/>
          <w:color w:val="auto"/>
          <w:sz w:val="20"/>
          <w:szCs w:val="20"/>
          <w:highlight w:val="none"/>
        </w:rPr>
        <w:t xml:space="preserve">是   </w:t>
      </w:r>
      <w:r>
        <w:rPr>
          <w:rFonts w:ascii="Times New Roman" w:hAnsi="Times New Roman" w:eastAsia="宋体" w:cs="Times New Roman"/>
          <w:color w:val="auto"/>
          <w:sz w:val="20"/>
          <w:szCs w:val="20"/>
          <w:highlight w:val="none"/>
        </w:rPr>
        <w:sym w:font="Wingdings 2" w:char="F052"/>
      </w:r>
      <w:r>
        <w:rPr>
          <w:rFonts w:ascii="Times New Roman" w:hAnsi="Times New Roman" w:eastAsia="宋体" w:cs="Times New Roman"/>
          <w:color w:val="auto"/>
          <w:sz w:val="20"/>
          <w:szCs w:val="20"/>
          <w:highlight w:val="none"/>
        </w:rPr>
        <w:t>否</w:t>
      </w:r>
    </w:p>
    <w:p w14:paraId="011C01AD">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（8）</w:t>
      </w:r>
      <w:r>
        <w:rPr>
          <w:rFonts w:ascii="Times New Roman" w:hAnsi="Times New Roman" w:eastAsia="宋体" w:cs="Times New Roman"/>
          <w:color w:val="auto"/>
          <w:sz w:val="20"/>
          <w:szCs w:val="20"/>
          <w:highlight w:val="none"/>
        </w:rPr>
        <w:t xml:space="preserve">是否邀请专家： </w:t>
      </w:r>
      <w:r>
        <w:rPr>
          <w:rFonts w:ascii="Times New Roman" w:hAnsi="Times New Roman" w:eastAsia="宋体" w:cs="Times New Roman"/>
          <w:color w:val="auto"/>
          <w:sz w:val="20"/>
          <w:szCs w:val="20"/>
          <w:highlight w:val="none"/>
        </w:rPr>
        <w:sym w:font="Wingdings" w:char="F0A8"/>
      </w:r>
      <w:r>
        <w:rPr>
          <w:rFonts w:ascii="Times New Roman" w:hAnsi="Times New Roman" w:eastAsia="宋体" w:cs="Times New Roman"/>
          <w:color w:val="auto"/>
          <w:sz w:val="20"/>
          <w:szCs w:val="20"/>
          <w:highlight w:val="none"/>
        </w:rPr>
        <w:t xml:space="preserve">是   </w:t>
      </w:r>
      <w:r>
        <w:rPr>
          <w:rFonts w:ascii="Times New Roman" w:hAnsi="Times New Roman" w:eastAsia="宋体" w:cs="Times New Roman"/>
          <w:color w:val="auto"/>
          <w:sz w:val="20"/>
          <w:szCs w:val="20"/>
          <w:highlight w:val="none"/>
        </w:rPr>
        <w:sym w:font="Wingdings 2" w:char="F052"/>
      </w:r>
      <w:r>
        <w:rPr>
          <w:rFonts w:ascii="Times New Roman" w:hAnsi="Times New Roman" w:eastAsia="宋体" w:cs="Times New Roman"/>
          <w:color w:val="auto"/>
          <w:sz w:val="20"/>
          <w:szCs w:val="20"/>
          <w:highlight w:val="none"/>
        </w:rPr>
        <w:t>否</w:t>
      </w:r>
    </w:p>
    <w:p w14:paraId="2A78EE7D">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（9）</w:t>
      </w:r>
      <w:r>
        <w:rPr>
          <w:rFonts w:ascii="Times New Roman" w:hAnsi="Times New Roman" w:eastAsia="宋体" w:cs="Times New Roman"/>
          <w:color w:val="auto"/>
          <w:sz w:val="20"/>
          <w:szCs w:val="20"/>
          <w:highlight w:val="none"/>
        </w:rPr>
        <w:t xml:space="preserve">是否邀请服务对象： </w:t>
      </w:r>
      <w:r>
        <w:rPr>
          <w:rFonts w:ascii="Times New Roman" w:hAnsi="Times New Roman" w:eastAsia="宋体" w:cs="Times New Roman"/>
          <w:color w:val="auto"/>
          <w:sz w:val="20"/>
          <w:szCs w:val="20"/>
          <w:highlight w:val="none"/>
        </w:rPr>
        <w:sym w:font="Wingdings" w:char="F0A8"/>
      </w:r>
      <w:r>
        <w:rPr>
          <w:rFonts w:ascii="Times New Roman" w:hAnsi="Times New Roman" w:eastAsia="宋体" w:cs="Times New Roman"/>
          <w:color w:val="auto"/>
          <w:sz w:val="20"/>
          <w:szCs w:val="20"/>
          <w:highlight w:val="none"/>
        </w:rPr>
        <w:t xml:space="preserve">是   </w:t>
      </w:r>
      <w:r>
        <w:rPr>
          <w:rFonts w:ascii="Times New Roman" w:hAnsi="Times New Roman" w:eastAsia="宋体" w:cs="Times New Roman"/>
          <w:color w:val="auto"/>
          <w:sz w:val="20"/>
          <w:szCs w:val="20"/>
          <w:highlight w:val="none"/>
        </w:rPr>
        <w:sym w:font="Wingdings 2" w:char="F052"/>
      </w:r>
      <w:r>
        <w:rPr>
          <w:rFonts w:ascii="Times New Roman" w:hAnsi="Times New Roman" w:eastAsia="宋体" w:cs="Times New Roman"/>
          <w:color w:val="auto"/>
          <w:sz w:val="20"/>
          <w:szCs w:val="20"/>
          <w:highlight w:val="none"/>
        </w:rPr>
        <w:t>否</w:t>
      </w:r>
    </w:p>
    <w:p w14:paraId="2D3C2877">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shd w:val="clear" w:color="auto" w:fill="FFFFFF"/>
        </w:rPr>
      </w:pPr>
      <w:r>
        <w:rPr>
          <w:rFonts w:hint="default" w:ascii="Times New Roman" w:hAnsi="Times New Roman" w:eastAsia="宋体" w:cs="Times New Roman"/>
          <w:color w:val="auto"/>
          <w:kern w:val="2"/>
          <w:sz w:val="21"/>
          <w:szCs w:val="24"/>
          <w:highlight w:val="none"/>
          <w:shd w:val="clear" w:fill="FFFFFF"/>
          <w:lang w:val="en-US" w:eastAsia="zh-CN" w:bidi="ar-SA"/>
        </w:rPr>
        <w:t>（10）</w:t>
      </w:r>
      <w:r>
        <w:rPr>
          <w:rFonts w:ascii="Times New Roman" w:hAnsi="Times New Roman" w:eastAsia="宋体" w:cs="Times New Roman"/>
          <w:color w:val="auto"/>
          <w:sz w:val="20"/>
          <w:szCs w:val="20"/>
          <w:highlight w:val="none"/>
        </w:rPr>
        <w:t>是否邀请第三方检测机构：</w:t>
      </w:r>
      <w:r>
        <w:rPr>
          <w:rFonts w:ascii="Times New Roman" w:hAnsi="Times New Roman" w:eastAsia="宋体" w:cs="Times New Roman"/>
          <w:color w:val="auto"/>
          <w:kern w:val="0"/>
          <w:sz w:val="20"/>
          <w:szCs w:val="20"/>
          <w:highlight w:val="none"/>
          <w:shd w:val="clear" w:color="auto" w:fill="FFFFFF"/>
        </w:rPr>
        <w:t xml:space="preserve"> </w:t>
      </w:r>
      <w:r>
        <w:rPr>
          <w:rFonts w:ascii="Times New Roman" w:hAnsi="Times New Roman" w:eastAsia="宋体" w:cs="Times New Roman"/>
          <w:color w:val="auto"/>
          <w:kern w:val="0"/>
          <w:sz w:val="20"/>
          <w:szCs w:val="20"/>
          <w:highlight w:val="none"/>
          <w:shd w:val="clear" w:color="auto" w:fill="FFFFFF"/>
        </w:rPr>
        <w:sym w:font="Wingdings" w:char="F0A8"/>
      </w:r>
      <w:r>
        <w:rPr>
          <w:rFonts w:ascii="Times New Roman" w:hAnsi="Times New Roman" w:eastAsia="宋体" w:cs="Times New Roman"/>
          <w:color w:val="auto"/>
          <w:sz w:val="20"/>
          <w:szCs w:val="20"/>
          <w:highlight w:val="none"/>
          <w:shd w:val="clear" w:color="auto" w:fill="FFFFFF"/>
        </w:rPr>
        <w:t xml:space="preserve">是   </w:t>
      </w:r>
      <w:r>
        <w:rPr>
          <w:rFonts w:ascii="Times New Roman" w:hAnsi="Times New Roman" w:eastAsia="宋体" w:cs="Times New Roman"/>
          <w:color w:val="auto"/>
          <w:kern w:val="0"/>
          <w:sz w:val="20"/>
          <w:szCs w:val="20"/>
          <w:highlight w:val="none"/>
        </w:rPr>
        <w:sym w:font="Wingdings 2" w:char="F052"/>
      </w:r>
      <w:r>
        <w:rPr>
          <w:rFonts w:ascii="Times New Roman" w:hAnsi="Times New Roman" w:eastAsia="宋体" w:cs="Times New Roman"/>
          <w:color w:val="auto"/>
          <w:sz w:val="20"/>
          <w:szCs w:val="20"/>
          <w:highlight w:val="none"/>
          <w:shd w:val="clear" w:color="auto" w:fill="FFFFFF"/>
        </w:rPr>
        <w:t>否</w:t>
      </w:r>
    </w:p>
    <w:p w14:paraId="4913CFD0">
      <w:pPr>
        <w:pStyle w:val="7"/>
        <w:numPr>
          <w:ilvl w:val="0"/>
          <w:numId w:val="0"/>
        </w:numPr>
        <w:adjustRightInd w:val="0"/>
        <w:snapToGrid w:val="0"/>
        <w:ind w:left="0" w:leftChars="0" w:firstLine="0" w:firstLineChars="0"/>
        <w:rPr>
          <w:rFonts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2"/>
          <w:sz w:val="21"/>
          <w:szCs w:val="24"/>
          <w:highlight w:val="none"/>
          <w:lang w:val="en-US" w:eastAsia="zh-CN" w:bidi="ar-SA"/>
        </w:rPr>
        <w:t>（11）</w:t>
      </w:r>
      <w:r>
        <w:rPr>
          <w:rFonts w:ascii="Times New Roman" w:hAnsi="Times New Roman" w:eastAsia="宋体" w:cs="Times New Roman"/>
          <w:color w:val="auto"/>
          <w:sz w:val="20"/>
          <w:szCs w:val="20"/>
          <w:highlight w:val="none"/>
        </w:rPr>
        <w:t>验收标准：</w:t>
      </w:r>
    </w:p>
    <w:p w14:paraId="18184D02">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bookmarkStart w:id="0" w:name="OLE_LINK4"/>
      <w:r>
        <w:rPr>
          <w:rFonts w:ascii="Times New Roman" w:hAnsi="Times New Roman" w:eastAsia="宋体" w:cs="Times New Roman"/>
          <w:color w:val="auto"/>
          <w:sz w:val="20"/>
          <w:highlight w:val="none"/>
          <w:shd w:val="clear" w:color="auto" w:fill="FFFFFF"/>
        </w:rPr>
        <w:t>国家相关法律法规、行业标准、技术规范。</w:t>
      </w:r>
    </w:p>
    <w:p w14:paraId="774F1586">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r>
        <w:rPr>
          <w:rFonts w:ascii="Times New Roman" w:hAnsi="Times New Roman" w:eastAsia="宋体" w:cs="Times New Roman"/>
          <w:color w:val="auto"/>
          <w:sz w:val="20"/>
          <w:highlight w:val="none"/>
        </w:rPr>
        <w:t>甲方采购文件相关技术、服务要求、乙方投标文件或响应文件相关响应内容。</w:t>
      </w:r>
    </w:p>
    <w:bookmarkEnd w:id="0"/>
    <w:p w14:paraId="2FF9A0AE">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r>
        <w:rPr>
          <w:rFonts w:ascii="Times New Roman" w:hAnsi="Times New Roman" w:eastAsia="宋体" w:cs="Times New Roman"/>
          <w:color w:val="auto"/>
          <w:sz w:val="20"/>
          <w:highlight w:val="none"/>
        </w:rPr>
        <w:t>成交产品生产厂家出具的产品说明书、技术白皮书、医疗器械注册证或备案凭证等技术资料（如涉及）。</w:t>
      </w:r>
    </w:p>
    <w:p w14:paraId="45CE7137">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r>
        <w:rPr>
          <w:rFonts w:ascii="Times New Roman" w:hAnsi="Times New Roman" w:eastAsia="宋体" w:cs="Times New Roman"/>
          <w:color w:val="auto"/>
          <w:sz w:val="20"/>
          <w:highlight w:val="none"/>
        </w:rPr>
        <w:t>如验收时，采购人与供应商认为本项目验收标准中的技术指标、质量要求等内容存在相互抵触或对其理解存在异议，应按照其中更严格的要求、标准等进行验收。</w:t>
      </w:r>
    </w:p>
    <w:p w14:paraId="1255B09F">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r>
        <w:rPr>
          <w:rFonts w:ascii="Times New Roman" w:hAnsi="Times New Roman" w:eastAsia="宋体" w:cs="Times New Roman"/>
          <w:color w:val="auto"/>
          <w:sz w:val="20"/>
          <w:highlight w:val="none"/>
        </w:rPr>
        <w:t>按照《财政部关于进一步加强政府采购需求和履约验收管理的指导意见》（财库〔2016〕205号）的要求进行验收。</w:t>
      </w:r>
    </w:p>
    <w:p w14:paraId="0ADA7FD3">
      <w:pPr>
        <w:pStyle w:val="3"/>
        <w:numPr>
          <w:ilvl w:val="0"/>
          <w:numId w:val="2"/>
        </w:numPr>
        <w:adjustRightInd w:val="0"/>
        <w:snapToGrid w:val="0"/>
        <w:spacing w:line="240" w:lineRule="auto"/>
        <w:ind w:left="0" w:firstLineChars="0"/>
        <w:contextualSpacing/>
        <w:rPr>
          <w:rFonts w:ascii="Times New Roman" w:hAnsi="Times New Roman" w:eastAsia="宋体" w:cs="Times New Roman"/>
          <w:color w:val="auto"/>
          <w:sz w:val="20"/>
          <w:highlight w:val="none"/>
        </w:rPr>
      </w:pPr>
      <w:r>
        <w:rPr>
          <w:rFonts w:ascii="Times New Roman" w:hAnsi="Times New Roman" w:eastAsia="宋体" w:cs="Times New Roman"/>
          <w:color w:val="auto"/>
          <w:sz w:val="20"/>
          <w:highlight w:val="none"/>
        </w:rPr>
        <w:t>其它标准：无。</w:t>
      </w:r>
    </w:p>
    <w:p w14:paraId="21AB58B6">
      <w:pPr>
        <w:pStyle w:val="7"/>
        <w:numPr>
          <w:ilvl w:val="0"/>
          <w:numId w:val="0"/>
        </w:numPr>
        <w:adjustRightInd w:val="0"/>
        <w:snapToGrid w:val="0"/>
        <w:ind w:left="0" w:leftChars="0" w:firstLine="0" w:firstLineChars="0"/>
        <w:rPr>
          <w:rFonts w:ascii="Times New Roman" w:hAnsi="Times New Roman" w:eastAsia="宋体" w:cs="Times New Roman"/>
          <w:color w:val="auto"/>
          <w:highlight w:val="none"/>
        </w:rPr>
      </w:pPr>
      <w:r>
        <w:rPr>
          <w:rFonts w:hint="default" w:ascii="Times New Roman" w:hAnsi="Times New Roman" w:eastAsia="宋体" w:cs="Times New Roman"/>
          <w:color w:val="auto"/>
          <w:kern w:val="2"/>
          <w:sz w:val="21"/>
          <w:szCs w:val="24"/>
          <w:highlight w:val="none"/>
          <w:lang w:val="en-US" w:eastAsia="zh-CN" w:bidi="ar-SA"/>
        </w:rPr>
        <w:t>（12）</w:t>
      </w:r>
      <w:r>
        <w:rPr>
          <w:rFonts w:ascii="Times New Roman" w:hAnsi="Times New Roman" w:eastAsia="宋体" w:cs="Times New Roman"/>
          <w:color w:val="auto"/>
          <w:sz w:val="20"/>
          <w:szCs w:val="20"/>
          <w:highlight w:val="none"/>
        </w:rPr>
        <w:t>履约验收其它事项：无。</w:t>
      </w:r>
      <w:r>
        <w:rPr>
          <w:rFonts w:ascii="Times New Roman" w:hAnsi="Times New Roman" w:eastAsia="宋体" w:cs="Times New Roman"/>
          <w:i/>
          <w:iCs/>
          <w:color w:val="auto"/>
          <w:sz w:val="20"/>
          <w:szCs w:val="20"/>
          <w:highlight w:val="none"/>
        </w:rPr>
        <w:t>&lt;如有请填写&gt;</w:t>
      </w:r>
    </w:p>
    <w:p w14:paraId="2251B374">
      <w:pPr>
        <w:pStyle w:val="6"/>
        <w:adjustRightInd w:val="0"/>
        <w:snapToGrid w:val="0"/>
        <w:rPr>
          <w:rFonts w:hint="default"/>
          <w:color w:val="auto"/>
          <w:highlight w:val="none"/>
        </w:rPr>
      </w:pPr>
      <w:r>
        <w:rPr>
          <w:rFonts w:ascii="Times New Roman" w:hAnsi="Times New Roman" w:eastAsia="宋体" w:cs="Times New Roman"/>
          <w:color w:val="auto"/>
          <w:kern w:val="2"/>
          <w:sz w:val="21"/>
          <w:szCs w:val="21"/>
          <w:highlight w:val="none"/>
          <w:u w:color="000000"/>
          <w:lang w:eastAsia="zh-CN"/>
        </w:rPr>
        <w:t>5.1.2</w:t>
      </w:r>
      <w:r>
        <w:rPr>
          <w:rFonts w:hint="default" w:ascii="Times New Roman" w:hAnsi="Times New Roman" w:eastAsia="宋体" w:cs="Times New Roman"/>
          <w:color w:val="auto"/>
          <w:kern w:val="2"/>
          <w:sz w:val="21"/>
          <w:szCs w:val="21"/>
          <w:highlight w:val="none"/>
          <w:u w:color="000000"/>
          <w:lang w:eastAsia="zh-CN"/>
        </w:rPr>
        <w:t>.</w:t>
      </w:r>
      <w:r>
        <w:rPr>
          <w:rFonts w:hint="default" w:ascii="Times New Roman" w:hAnsi="Times New Roman" w:eastAsia="宋体" w:cs="Times New Roman"/>
          <w:color w:val="auto"/>
          <w:highlight w:val="none"/>
        </w:rPr>
        <w:t>双方验收后，如验收内容符合本合同验收标准，采购人应于5个工作日内向供应商出具验收报告，并视为验收合格，验收合格的时间以出具报告的时间为准</w:t>
      </w:r>
      <w:r>
        <w:rPr>
          <w:rFonts w:ascii="Times New Roman" w:hAnsi="Times New Roman" w:eastAsia="宋体" w:cs="Times New Roman"/>
          <w:color w:val="auto"/>
          <w:highlight w:val="none"/>
        </w:rPr>
        <w:t>；</w:t>
      </w:r>
      <w:r>
        <w:rPr>
          <w:rFonts w:hint="default" w:ascii="Times New Roman" w:hAnsi="Times New Roman" w:eastAsia="宋体" w:cs="Times New Roman"/>
          <w:color w:val="auto"/>
          <w:highlight w:val="none"/>
        </w:rPr>
        <w:t>如验收不合格，甲方应进行详尽的现场记录，或由甲乙双方签署备忘录，此现场记录或备忘录可用作修改和更正相关问题的有效证据，由此产生的时间延误与经济损失由乙方承担，验收期限相应顺延，且甲方有权拒绝</w:t>
      </w:r>
      <w:r>
        <w:rPr>
          <w:rFonts w:ascii="Times New Roman" w:hAnsi="Times New Roman" w:eastAsia="宋体" w:cs="Times New Roman"/>
          <w:color w:val="auto"/>
          <w:highlight w:val="none"/>
        </w:rPr>
        <w:t>出具</w:t>
      </w:r>
      <w:r>
        <w:rPr>
          <w:rFonts w:hint="default" w:ascii="Times New Roman" w:hAnsi="Times New Roman" w:eastAsia="宋体" w:cs="Times New Roman"/>
          <w:color w:val="auto"/>
          <w:highlight w:val="none"/>
        </w:rPr>
        <w:t>验收报告，并要求乙方无条件修改和更正，而后进行再次验收，乙方应承担因此额外产生的全部费用。如果仍不合格，甲方有权终止本合同并视作乙方不能交付而须支付合同总价10%的违约金给甲方，违约金不能弥补甲方损失的，乙方应全额赔偿。</w:t>
      </w:r>
    </w:p>
    <w:p w14:paraId="5FF98B2A">
      <w:pPr>
        <w:pStyle w:val="6"/>
        <w:rPr>
          <w:rFonts w:hint="default"/>
          <w:color w:val="auto"/>
          <w:highlight w:val="none"/>
        </w:rPr>
      </w:pPr>
      <w:r>
        <w:rPr>
          <w:color w:val="auto"/>
          <w:highlight w:val="none"/>
        </w:rPr>
        <w:t>5.2.是否以采购活动中供应商提供的样品作为参考： 是否</w:t>
      </w:r>
    </w:p>
    <w:p w14:paraId="0FBF6781">
      <w:pPr>
        <w:pStyle w:val="6"/>
        <w:outlineLvl w:val="2"/>
        <w:rPr>
          <w:rFonts w:hint="default"/>
          <w:color w:val="auto"/>
          <w:highlight w:val="none"/>
        </w:rPr>
      </w:pPr>
      <w:r>
        <w:rPr>
          <w:b/>
          <w:color w:val="auto"/>
          <w:sz w:val="28"/>
          <w:highlight w:val="none"/>
        </w:rPr>
        <w:t>六、甲方的权利和义务</w:t>
      </w:r>
    </w:p>
    <w:p w14:paraId="01FBE48A">
      <w:pPr>
        <w:pStyle w:val="7"/>
        <w:snapToGrid w:val="0"/>
        <w:ind w:left="500" w:hanging="500" w:hangingChars="25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u w:color="000000"/>
        </w:rPr>
        <w:t>6.1.</w:t>
      </w:r>
      <w:r>
        <w:rPr>
          <w:rFonts w:ascii="Times New Roman" w:hAnsi="Times New Roman" w:eastAsia="宋体" w:cs="Times New Roman"/>
          <w:color w:val="auto"/>
          <w:sz w:val="20"/>
          <w:szCs w:val="20"/>
          <w:highlight w:val="none"/>
        </w:rPr>
        <w:t>甲方有权获得乙方所提供的设备、服务及相关知识产权。</w:t>
      </w:r>
    </w:p>
    <w:p w14:paraId="377B2700">
      <w:pPr>
        <w:pStyle w:val="7"/>
        <w:snapToGrid w:val="0"/>
        <w:ind w:left="500" w:hanging="500" w:hangingChars="25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u w:color="000000"/>
        </w:rPr>
        <w:t>6.2.</w:t>
      </w:r>
      <w:r>
        <w:rPr>
          <w:rFonts w:ascii="Times New Roman" w:hAnsi="Times New Roman" w:eastAsia="宋体" w:cs="Times New Roman"/>
          <w:color w:val="auto"/>
          <w:sz w:val="20"/>
          <w:szCs w:val="20"/>
          <w:highlight w:val="none"/>
        </w:rPr>
        <w:t>甲方有权及时了解和监督乙方备货的进展情况。</w:t>
      </w:r>
    </w:p>
    <w:p w14:paraId="0A93EC91">
      <w:pPr>
        <w:pStyle w:val="7"/>
        <w:snapToGrid w:val="0"/>
        <w:ind w:left="500" w:hanging="500" w:hangingChars="25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u w:color="000000"/>
        </w:rPr>
        <w:t>6.3.</w:t>
      </w:r>
      <w:r>
        <w:rPr>
          <w:rFonts w:ascii="Times New Roman" w:hAnsi="Times New Roman" w:eastAsia="宋体" w:cs="Times New Roman"/>
          <w:color w:val="auto"/>
          <w:sz w:val="20"/>
          <w:szCs w:val="20"/>
          <w:highlight w:val="none"/>
        </w:rPr>
        <w:t>甲方应向乙方提供完成设备安装、调试等所必需的资料和工作条件。</w:t>
      </w:r>
    </w:p>
    <w:p w14:paraId="67E73EAE">
      <w:pPr>
        <w:pStyle w:val="7"/>
        <w:snapToGrid w:val="0"/>
        <w:ind w:left="500" w:hanging="500" w:hangingChars="25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u w:color="000000"/>
        </w:rPr>
        <w:t>6.4.</w:t>
      </w:r>
      <w:r>
        <w:rPr>
          <w:rFonts w:ascii="Times New Roman" w:hAnsi="Times New Roman" w:eastAsia="宋体" w:cs="Times New Roman"/>
          <w:color w:val="auto"/>
          <w:sz w:val="20"/>
          <w:szCs w:val="20"/>
          <w:highlight w:val="none"/>
        </w:rPr>
        <w:t>甲方应按照合同约定向乙方支付合同价款。</w:t>
      </w:r>
    </w:p>
    <w:p w14:paraId="7B451B26">
      <w:pPr>
        <w:pStyle w:val="6"/>
        <w:outlineLvl w:val="2"/>
        <w:rPr>
          <w:rFonts w:hint="default"/>
          <w:color w:val="auto"/>
          <w:highlight w:val="none"/>
        </w:rPr>
      </w:pPr>
      <w:r>
        <w:rPr>
          <w:b/>
          <w:color w:val="auto"/>
          <w:sz w:val="28"/>
          <w:highlight w:val="none"/>
        </w:rPr>
        <w:t>七、乙方的权利和义务</w:t>
      </w:r>
    </w:p>
    <w:p w14:paraId="3E6AC9EA">
      <w:pPr>
        <w:pStyle w:val="6"/>
        <w:rPr>
          <w:rFonts w:hint="default"/>
          <w:color w:val="auto"/>
          <w:highlight w:val="none"/>
        </w:rPr>
      </w:pPr>
      <w:r>
        <w:rPr>
          <w:color w:val="auto"/>
          <w:highlight w:val="none"/>
        </w:rPr>
        <w:t>7.1.乙方承诺遵守《中华人民共和国劳动合同法》有关规定和《中华人民共和国妇女权益保障法》中关于“劳动和社会保障权益”的有关要求。</w:t>
      </w:r>
    </w:p>
    <w:p w14:paraId="51E9C689">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7.2.</w:t>
      </w:r>
      <w:r>
        <w:rPr>
          <w:rFonts w:ascii="Times New Roman" w:hAnsi="Times New Roman" w:eastAsia="宋体" w:cs="Times New Roman"/>
          <w:color w:val="auto"/>
          <w:sz w:val="20"/>
          <w:szCs w:val="20"/>
          <w:highlight w:val="none"/>
          <w:lang w:eastAsia="zh-Hans"/>
        </w:rPr>
        <w:t>乙方有权按照本合同约定收取合同价款。</w:t>
      </w:r>
    </w:p>
    <w:p w14:paraId="10725DEC">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7.3.</w:t>
      </w:r>
      <w:r>
        <w:rPr>
          <w:rFonts w:ascii="Times New Roman" w:hAnsi="Times New Roman" w:eastAsia="宋体" w:cs="Times New Roman"/>
          <w:color w:val="auto"/>
          <w:sz w:val="20"/>
          <w:szCs w:val="20"/>
          <w:highlight w:val="none"/>
          <w:lang w:eastAsia="zh-Hans"/>
        </w:rPr>
        <w:t>乙方有权要求甲方提供设备安装、调试所必需的资料和工作条件。</w:t>
      </w:r>
    </w:p>
    <w:p w14:paraId="0E89ECA5">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7.4.</w:t>
      </w:r>
      <w:r>
        <w:rPr>
          <w:rFonts w:ascii="Times New Roman" w:hAnsi="Times New Roman" w:eastAsia="宋体" w:cs="Times New Roman"/>
          <w:color w:val="auto"/>
          <w:sz w:val="20"/>
          <w:szCs w:val="20"/>
          <w:highlight w:val="none"/>
          <w:lang w:eastAsia="zh-Hans"/>
        </w:rPr>
        <w:t>乙方应派遣身体健康、有相关工作经验和相应技能的技术人员到甲方现场并提供安装、调试、测试、试运行、维护及培训等技术服务，该技术服务费用包括在本合同总价内。</w:t>
      </w:r>
    </w:p>
    <w:p w14:paraId="5C483B79">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7.5.</w:t>
      </w:r>
      <w:r>
        <w:rPr>
          <w:rFonts w:ascii="Times New Roman" w:hAnsi="Times New Roman" w:eastAsia="宋体" w:cs="Times New Roman"/>
          <w:color w:val="auto"/>
          <w:sz w:val="20"/>
          <w:szCs w:val="20"/>
          <w:highlight w:val="none"/>
          <w:lang w:eastAsia="zh-Hans"/>
        </w:rPr>
        <w:t>如果甲方发现乙方交付的设备有缺陷，或性能和质量不符甲方要求时，乙方应负责无偿地更换所交付的设备。因乙方交付的设备存在缺陷，或性能和质量不符合本合同约定而给甲方造成损失或者工作障碍的，乙方应承担相应的责任。</w:t>
      </w:r>
    </w:p>
    <w:p w14:paraId="5A1E8060">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7.6.</w:t>
      </w:r>
      <w:r>
        <w:rPr>
          <w:rFonts w:ascii="Times New Roman" w:hAnsi="Times New Roman" w:eastAsia="宋体" w:cs="Times New Roman"/>
          <w:color w:val="auto"/>
          <w:sz w:val="20"/>
          <w:szCs w:val="20"/>
          <w:highlight w:val="none"/>
          <w:lang w:eastAsia="zh-Hans"/>
        </w:rPr>
        <w:t>在售后服务期内，乙方应负责向甲方提供与设备使用相关的更新或改进的运行经验、技术指南和安全方面的所有资料及信息，且负责对设备包含的软件进行更新、升级，并提供相应的培训、维护服务，相关费用包含在本合同总价中。</w:t>
      </w:r>
    </w:p>
    <w:p w14:paraId="5F2FC089">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7.7.</w:t>
      </w:r>
      <w:r>
        <w:rPr>
          <w:rFonts w:ascii="Times New Roman" w:hAnsi="Times New Roman" w:eastAsia="宋体" w:cs="Times New Roman"/>
          <w:color w:val="auto"/>
          <w:sz w:val="20"/>
          <w:szCs w:val="20"/>
          <w:highlight w:val="none"/>
          <w:lang w:eastAsia="zh-Hans"/>
        </w:rPr>
        <w:t>乙方保证其所交付的设备不存在任何权利瑕疵，如任何第三方就乙方交付的设备向甲方提起侵权索赔，乙方应负责与第三方交涉，并承担由此引起的一切法律责任，相关费用由乙方承担。</w:t>
      </w:r>
    </w:p>
    <w:p w14:paraId="45FA238F">
      <w:pPr>
        <w:pStyle w:val="7"/>
        <w:adjustRightInd w:val="0"/>
        <w:snapToGrid w:val="0"/>
        <w:ind w:left="0"/>
        <w:rPr>
          <w:rFonts w:ascii="Times New Roman" w:hAnsi="Times New Roman" w:eastAsia="宋体" w:cs="Times New Roman"/>
          <w:color w:val="auto"/>
          <w:sz w:val="20"/>
          <w:szCs w:val="20"/>
          <w:highlight w:val="none"/>
          <w:lang w:eastAsia="zh-Hans"/>
        </w:rPr>
      </w:pPr>
      <w:r>
        <w:rPr>
          <w:rFonts w:hint="eastAsia" w:ascii="Times New Roman" w:hAnsi="Times New Roman" w:eastAsia="宋体" w:cs="Times New Roman"/>
          <w:color w:val="auto"/>
          <w:sz w:val="20"/>
          <w:szCs w:val="20"/>
          <w:highlight w:val="none"/>
        </w:rPr>
        <w:t>7.8.</w:t>
      </w:r>
      <w:r>
        <w:rPr>
          <w:rFonts w:ascii="Times New Roman" w:hAnsi="Times New Roman" w:eastAsia="宋体" w:cs="Times New Roman"/>
          <w:color w:val="auto"/>
          <w:sz w:val="20"/>
          <w:szCs w:val="20"/>
          <w:highlight w:val="none"/>
          <w:lang w:eastAsia="zh-Hans"/>
        </w:rPr>
        <w:t>乙方承诺所提供的设备不含有任何安全隐患，并在设备使用期间承担全部责任(包括但不限于消除安全隐患、退款、赔偿损失等)。发生任何由于设备使用安全引起的事故时，乙方应赔偿甲方及相关用户因此所发生的损失。</w:t>
      </w:r>
    </w:p>
    <w:p w14:paraId="367586DC">
      <w:pPr>
        <w:pStyle w:val="6"/>
        <w:outlineLvl w:val="2"/>
        <w:rPr>
          <w:rFonts w:hint="default"/>
          <w:color w:val="auto"/>
          <w:highlight w:val="none"/>
        </w:rPr>
      </w:pPr>
      <w:r>
        <w:rPr>
          <w:rFonts w:ascii="Times New Roman" w:hAnsi="Times New Roman" w:eastAsia="宋体" w:cs="Times New Roman"/>
          <w:color w:val="auto"/>
          <w:highlight w:val="none"/>
          <w:lang w:eastAsia="zh-CN"/>
        </w:rPr>
        <w:t>7.9.</w:t>
      </w:r>
      <w:r>
        <w:rPr>
          <w:rFonts w:hint="default" w:ascii="Times New Roman" w:hAnsi="Times New Roman" w:eastAsia="宋体" w:cs="Times New Roman"/>
          <w:color w:val="auto"/>
          <w:highlight w:val="none"/>
        </w:rPr>
        <w:t>乙方对依照本合同向甲方提供的设备在安装、调试、使用、维修、保养等过程中所获得的所有数据及甲方商业秘密或其它技术及经营信息均负有保密义务，不得向任何第三方透露或泄露。</w:t>
      </w:r>
      <w:r>
        <w:rPr>
          <w:b/>
          <w:color w:val="auto"/>
          <w:sz w:val="28"/>
          <w:highlight w:val="none"/>
        </w:rPr>
        <w:t>八、违约责任</w:t>
      </w:r>
    </w:p>
    <w:p w14:paraId="77A5E8EA">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8.</w:t>
      </w:r>
      <w:r>
        <w:rPr>
          <w:rFonts w:ascii="Times New Roman" w:hAnsi="Times New Roman" w:eastAsia="宋体" w:cs="Times New Roman"/>
          <w:color w:val="auto"/>
          <w:sz w:val="20"/>
          <w:szCs w:val="20"/>
          <w:highlight w:val="none"/>
        </w:rPr>
        <w:t>1.甲方违约责任：甲方无正当理由拒收设备的，甲方应偿付合同总金额的</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%作为违约金。</w:t>
      </w:r>
    </w:p>
    <w:p w14:paraId="32E562A7">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8.</w:t>
      </w:r>
      <w:r>
        <w:rPr>
          <w:rFonts w:ascii="Times New Roman" w:hAnsi="Times New Roman" w:eastAsia="宋体" w:cs="Times New Roman"/>
          <w:color w:val="auto"/>
          <w:sz w:val="20"/>
          <w:szCs w:val="20"/>
          <w:highlight w:val="none"/>
        </w:rPr>
        <w:t>2.乙方违约责任：</w:t>
      </w:r>
    </w:p>
    <w:p w14:paraId="25066E12">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乙方拒绝交付设备，或交付的设备无法达到本合同约定的验收标准，甲方有权单方面解除合同，乙方须向甲方支付合同总金额的</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%作为违约金，并承担其它相应的经济损失。</w:t>
      </w:r>
    </w:p>
    <w:p w14:paraId="02B9745F">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本合同设备在质保期内出现质量问题，因同一故障经乙方两次维修仍不能达到合同约定的功能要求和技术指标，甲方有权解除合同并要求退货，乙方按照合同总金额的</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%向甲方支付违约金。</w:t>
      </w:r>
    </w:p>
    <w:p w14:paraId="1FB20D19">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因乙方原因逾期交付，每逾期一天，须向甲方支付合同总金额的</w:t>
      </w:r>
      <w:bookmarkStart w:id="1" w:name="OLE_LINK2"/>
      <w:r>
        <w:rPr>
          <w:rFonts w:ascii="Times New Roman" w:hAnsi="Times New Roman" w:eastAsia="宋体" w:cs="Times New Roman"/>
          <w:color w:val="auto"/>
          <w:sz w:val="20"/>
          <w:szCs w:val="20"/>
          <w:highlight w:val="none"/>
          <w:u w:val="single"/>
        </w:rPr>
        <w:t>***</w:t>
      </w:r>
      <w:r>
        <w:rPr>
          <w:rFonts w:ascii="Times New Roman" w:hAnsi="Times New Roman" w:eastAsia="宋体" w:cs="Times New Roman"/>
          <w:color w:val="auto"/>
          <w:sz w:val="20"/>
          <w:szCs w:val="20"/>
          <w:highlight w:val="none"/>
        </w:rPr>
        <w:t>‰</w:t>
      </w:r>
      <w:bookmarkEnd w:id="1"/>
      <w:r>
        <w:rPr>
          <w:rFonts w:ascii="Times New Roman" w:hAnsi="Times New Roman" w:eastAsia="宋体" w:cs="Times New Roman"/>
          <w:color w:val="auto"/>
          <w:sz w:val="20"/>
          <w:szCs w:val="20"/>
          <w:highlight w:val="none"/>
        </w:rPr>
        <w:t>作为违约金。因乙方原因逾期交货超过</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天，甲方有权单方面解除合同，乙方须按合同总金额的</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%向甲方支付违约金。</w:t>
      </w:r>
    </w:p>
    <w:p w14:paraId="0CAD2E7C">
      <w:pPr>
        <w:pStyle w:val="7"/>
        <w:numPr>
          <w:ilvl w:val="0"/>
          <w:numId w:val="3"/>
        </w:numPr>
        <w:adjustRightInd w:val="0"/>
        <w:snapToGrid w:val="0"/>
        <w:rPr>
          <w:rFonts w:ascii="Times New Roman" w:hAnsi="Times New Roman" w:eastAsia="宋体" w:cs="Times New Roman"/>
          <w:color w:val="auto"/>
          <w:sz w:val="20"/>
          <w:szCs w:val="20"/>
          <w:highlight w:val="none"/>
        </w:rPr>
      </w:pPr>
      <w:bookmarkStart w:id="2" w:name="OLE_LINK17"/>
      <w:bookmarkStart w:id="3" w:name="OLE_LINK18"/>
      <w:r>
        <w:rPr>
          <w:rFonts w:ascii="Times New Roman" w:hAnsi="Times New Roman" w:eastAsia="宋体" w:cs="Times New Roman"/>
          <w:color w:val="auto"/>
          <w:sz w:val="20"/>
          <w:szCs w:val="20"/>
          <w:highlight w:val="none"/>
        </w:rPr>
        <w:t>乙方未按合同约定及时履行培训及维护义务时，每发生一次，乙方应按合同总金额的</w:t>
      </w:r>
      <w:r>
        <w:rPr>
          <w:rFonts w:ascii="Times New Roman" w:hAnsi="Times New Roman" w:eastAsia="宋体" w:cs="Times New Roman"/>
          <w:color w:val="auto"/>
          <w:sz w:val="20"/>
          <w:szCs w:val="20"/>
          <w:highlight w:val="none"/>
          <w:u w:val="single"/>
        </w:rPr>
        <w:t>***</w:t>
      </w:r>
      <w:r>
        <w:rPr>
          <w:rFonts w:ascii="Times New Roman" w:hAnsi="Times New Roman" w:eastAsia="宋体" w:cs="Times New Roman"/>
          <w:color w:val="auto"/>
          <w:sz w:val="20"/>
          <w:szCs w:val="20"/>
          <w:highlight w:val="none"/>
        </w:rPr>
        <w:t>‰向甲方支付违约金，乙方支付违约金的同时，仍有义务对甲方进行培训及对设备进行维护。</w:t>
      </w:r>
    </w:p>
    <w:p w14:paraId="6ADD1094">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乙方违反保密义务，甲方有权单方解除合同，乙方应按甲方实际损失向甲方进行赔偿并向甲方支付合同总金额的</w:t>
      </w:r>
      <w:r>
        <w:rPr>
          <w:rFonts w:ascii="Times New Roman" w:hAnsi="Times New Roman" w:eastAsia="宋体" w:cs="Times New Roman"/>
          <w:color w:val="auto"/>
          <w:sz w:val="20"/>
          <w:szCs w:val="20"/>
          <w:highlight w:val="none"/>
          <w:u w:val="single"/>
        </w:rPr>
        <w:t>10</w:t>
      </w:r>
      <w:r>
        <w:rPr>
          <w:rFonts w:ascii="Times New Roman" w:hAnsi="Times New Roman" w:eastAsia="宋体" w:cs="Times New Roman"/>
          <w:color w:val="auto"/>
          <w:sz w:val="20"/>
          <w:szCs w:val="20"/>
          <w:highlight w:val="none"/>
        </w:rPr>
        <w:t>%作为违约金。</w:t>
      </w:r>
    </w:p>
    <w:bookmarkEnd w:id="2"/>
    <w:bookmarkEnd w:id="3"/>
    <w:p w14:paraId="3DD1ED2F">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乙方偿付的违约金不足以弥补甲方损失的，还应按甲方损失尚未弥补的部分，向甲方支付赔偿金。</w:t>
      </w:r>
    </w:p>
    <w:p w14:paraId="398501CF">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乙方交付设备因质量问题导致甲方及第三方人身、财产损失的，乙方承担由此造成的全部法律责任。</w:t>
      </w:r>
    </w:p>
    <w:p w14:paraId="3EA344F5">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乙方未按照本合同约定的时限提供合法发票或提供发票瑕疵（包括但不限于发票种类有误、发票金额有误等），甲方付款时限相应顺延并不承担任何延期支付的违约责任。</w:t>
      </w:r>
    </w:p>
    <w:p w14:paraId="18992DEB">
      <w:pPr>
        <w:pStyle w:val="7"/>
        <w:numPr>
          <w:ilvl w:val="0"/>
          <w:numId w:val="3"/>
        </w:num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乙方在安装、调试及售后服务过程中，因未按规程操作、未采取必要的安全防范措施等原因直接或间接造成甲方及第三方人身、财产损失的，由乙方承担由此造成的全部法律责任。</w:t>
      </w:r>
    </w:p>
    <w:p w14:paraId="3F16B210">
      <w:pPr>
        <w:pStyle w:val="7"/>
        <w:numPr>
          <w:ilvl w:val="0"/>
          <w:numId w:val="3"/>
        </w:numPr>
        <w:adjustRightInd w:val="0"/>
        <w:snapToGrid w:val="0"/>
        <w:rPr>
          <w:rFonts w:ascii="Times New Roman" w:hAnsi="Times New Roman"/>
          <w:color w:val="auto"/>
          <w:sz w:val="20"/>
          <w:szCs w:val="20"/>
          <w:highlight w:val="none"/>
        </w:rPr>
      </w:pPr>
      <w:r>
        <w:rPr>
          <w:rFonts w:ascii="Times New Roman" w:hAnsi="Times New Roman"/>
          <w:color w:val="auto"/>
          <w:sz w:val="20"/>
          <w:szCs w:val="20"/>
          <w:highlight w:val="none"/>
        </w:rPr>
        <w:t>如本</w:t>
      </w:r>
      <w:r>
        <w:rPr>
          <w:rFonts w:ascii="宋体" w:hAnsi="宋体" w:eastAsia="宋体" w:cs="微软雅黑"/>
          <w:color w:val="auto"/>
          <w:sz w:val="20"/>
          <w:szCs w:val="20"/>
          <w:highlight w:val="none"/>
        </w:rPr>
        <w:t>合同</w:t>
      </w:r>
      <w:r>
        <w:rPr>
          <w:rFonts w:ascii="宋体" w:hAnsi="宋体" w:eastAsia="宋体"/>
          <w:color w:val="auto"/>
          <w:sz w:val="20"/>
          <w:szCs w:val="20"/>
          <w:highlight w:val="none"/>
        </w:rPr>
        <w:t>要</w:t>
      </w:r>
      <w:r>
        <w:rPr>
          <w:rFonts w:ascii="Times New Roman" w:hAnsi="Times New Roman"/>
          <w:color w:val="auto"/>
          <w:sz w:val="20"/>
          <w:szCs w:val="20"/>
          <w:highlight w:val="none"/>
        </w:rPr>
        <w:t>求乙方缴纳履约保证金，且因乙方严重违约从而导致甲乙双方无法继续履约，则乙方除向甲方支付相应违约金外，已缴纳的履约保证金不予退还；履约保证金未缴纳或已退还的，乙方应按照履约保证金的相同金额向甲方另行支付。</w:t>
      </w:r>
    </w:p>
    <w:p w14:paraId="47834BB7">
      <w:pPr>
        <w:adjustRightInd w:val="0"/>
        <w:snapToGrid w:val="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8.</w:t>
      </w:r>
      <w:r>
        <w:rPr>
          <w:rFonts w:ascii="Times New Roman" w:hAnsi="Times New Roman" w:eastAsia="宋体" w:cs="Times New Roman"/>
          <w:color w:val="auto"/>
          <w:sz w:val="20"/>
          <w:szCs w:val="20"/>
          <w:highlight w:val="none"/>
        </w:rPr>
        <w:t>3.本合同履行中如有任何一方违约，那么守约方为保障自己合法权益而产生的律师费、诉讼费、差旅费、公告费等，均由违约方承担。</w:t>
      </w:r>
    </w:p>
    <w:p w14:paraId="260F90F2">
      <w:pPr>
        <w:pStyle w:val="6"/>
        <w:outlineLvl w:val="2"/>
        <w:rPr>
          <w:rFonts w:hint="default"/>
          <w:color w:val="auto"/>
          <w:highlight w:val="none"/>
        </w:rPr>
      </w:pPr>
      <w:r>
        <w:rPr>
          <w:b/>
          <w:color w:val="auto"/>
          <w:sz w:val="28"/>
          <w:highlight w:val="none"/>
        </w:rPr>
        <w:t>九、争议解决方法</w:t>
      </w:r>
    </w:p>
    <w:p w14:paraId="33DEF256">
      <w:pPr>
        <w:pStyle w:val="7"/>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9.1.</w:t>
      </w:r>
      <w:r>
        <w:rPr>
          <w:rFonts w:ascii="Times New Roman" w:hAnsi="Times New Roman" w:eastAsia="宋体" w:cs="Times New Roman"/>
          <w:color w:val="auto"/>
          <w:sz w:val="20"/>
          <w:szCs w:val="20"/>
          <w:highlight w:val="none"/>
        </w:rPr>
        <w:t>因设备的质量问题发生争议，由质量技术监督部门或其指定的质量鉴定机构进行质量鉴定。设备符合标准的，鉴定费由甲方承担；设备不符合质量标准的，鉴定费由乙方承担。</w:t>
      </w:r>
    </w:p>
    <w:p w14:paraId="0B03A00B">
      <w:pPr>
        <w:pStyle w:val="7"/>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9.2.</w:t>
      </w:r>
      <w:r>
        <w:rPr>
          <w:rFonts w:ascii="Times New Roman" w:hAnsi="Times New Roman" w:eastAsia="宋体" w:cs="Times New Roman"/>
          <w:color w:val="auto"/>
          <w:sz w:val="20"/>
          <w:szCs w:val="20"/>
          <w:highlight w:val="none"/>
        </w:rPr>
        <w:t>合同履行期间,若双方发生争议，可协商或由有关部门调解解决，协商或调解不成的，任何一方均有权向甲方所在地具有管辖权的人民法院起诉。</w:t>
      </w:r>
    </w:p>
    <w:p w14:paraId="15F79354">
      <w:pPr>
        <w:pStyle w:val="7"/>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9.3送达</w:t>
      </w:r>
    </w:p>
    <w:p w14:paraId="41DD5BA4">
      <w:pPr>
        <w:pStyle w:val="8"/>
        <w:snapToGrid w:val="0"/>
        <w:rPr>
          <w:rFonts w:hAnsi="Times New Roman" w:eastAsia="宋体" w:cs="Times New Roman"/>
          <w:color w:val="auto"/>
          <w:highlight w:val="none"/>
        </w:rPr>
      </w:pPr>
      <w:r>
        <w:rPr>
          <w:rFonts w:hint="eastAsia" w:hAnsi="Times New Roman" w:eastAsia="宋体" w:cs="Times New Roman"/>
          <w:color w:val="auto"/>
          <w:highlight w:val="none"/>
        </w:rPr>
        <w:t>9.3.1.</w:t>
      </w:r>
      <w:r>
        <w:rPr>
          <w:rFonts w:hAnsi="Times New Roman" w:eastAsia="宋体" w:cs="Times New Roman"/>
          <w:color w:val="auto"/>
          <w:highlight w:val="none"/>
        </w:rPr>
        <w:t>甲方送达地址：四川省成都市青羊区一环路西二段32号。</w:t>
      </w:r>
    </w:p>
    <w:p w14:paraId="641173F3">
      <w:pPr>
        <w:pStyle w:val="8"/>
        <w:snapToGrid w:val="0"/>
        <w:rPr>
          <w:rFonts w:hAnsi="Times New Roman" w:eastAsia="宋体" w:cs="Times New Roman"/>
          <w:color w:val="auto"/>
          <w:highlight w:val="none"/>
        </w:rPr>
      </w:pPr>
      <w:r>
        <w:rPr>
          <w:rFonts w:hint="eastAsia" w:hAnsi="Times New Roman" w:eastAsia="宋体" w:cs="Times New Roman"/>
          <w:color w:val="auto"/>
          <w:highlight w:val="none"/>
        </w:rPr>
        <w:t>9.3.2.</w:t>
      </w:r>
      <w:r>
        <w:rPr>
          <w:rFonts w:hAnsi="Times New Roman" w:eastAsia="宋体" w:cs="Times New Roman"/>
          <w:color w:val="auto"/>
          <w:highlight w:val="none"/>
        </w:rPr>
        <w:t>乙方送达地址：***</w:t>
      </w:r>
    </w:p>
    <w:p w14:paraId="0C9A1529">
      <w:pPr>
        <w:pStyle w:val="8"/>
        <w:snapToGrid w:val="0"/>
        <w:rPr>
          <w:rFonts w:hAnsi="Times New Roman" w:eastAsia="宋体" w:cs="Times New Roman"/>
          <w:color w:val="auto"/>
          <w:highlight w:val="none"/>
        </w:rPr>
      </w:pPr>
      <w:r>
        <w:rPr>
          <w:rFonts w:hint="eastAsia" w:hAnsi="Times New Roman" w:eastAsia="宋体" w:cs="Times New Roman"/>
          <w:color w:val="auto"/>
          <w:highlight w:val="none"/>
        </w:rPr>
        <w:t>9.3.3.</w:t>
      </w:r>
      <w:r>
        <w:rPr>
          <w:rFonts w:hAnsi="Times New Roman" w:eastAsia="宋体" w:cs="Times New Roman"/>
          <w:color w:val="auto"/>
          <w:highlight w:val="none"/>
        </w:rPr>
        <w:t>甲乙双方关于本合同履行及相关事宜的通知，以及法院与国家机关因本合同争议发出的通知或司法文书（包括但不限于传票、判决书、裁定书、调解书等），应送达至甲乙双方在本合同中提供的地址或在此之后一方以书面形式通知另一方的其他地址。该等通知以专人递送在收到时视为正式送达、或以邮寄方式寄出3个工作日后视为正式送达，或以快递方式在交付后的第3个工作日视为正式送达。若一方地址发生变动，应及时书面通知另一方，否则仍以本合同载明的文书送达地址为准。</w:t>
      </w:r>
    </w:p>
    <w:p w14:paraId="3D8EE898">
      <w:pPr>
        <w:pStyle w:val="7"/>
        <w:snapToGrid w:val="0"/>
        <w:ind w:left="0"/>
        <w:rPr>
          <w:rFonts w:ascii="Times New Roman" w:hAnsi="Times New Roman" w:eastAsia="宋体" w:cs="Times New Roman"/>
          <w:color w:val="auto"/>
          <w:sz w:val="20"/>
          <w:szCs w:val="20"/>
          <w:highlight w:val="none"/>
        </w:rPr>
      </w:pPr>
    </w:p>
    <w:p w14:paraId="75539604">
      <w:pPr>
        <w:pStyle w:val="6"/>
        <w:outlineLvl w:val="2"/>
        <w:rPr>
          <w:rFonts w:hint="default"/>
          <w:color w:val="auto"/>
          <w:highlight w:val="none"/>
        </w:rPr>
      </w:pPr>
      <w:r>
        <w:rPr>
          <w:b/>
          <w:color w:val="auto"/>
          <w:sz w:val="28"/>
          <w:highlight w:val="none"/>
        </w:rPr>
        <w:t>十、组成合同的文件</w:t>
      </w:r>
    </w:p>
    <w:p w14:paraId="773BFB19">
      <w:pPr>
        <w:pStyle w:val="6"/>
        <w:rPr>
          <w:rFonts w:hint="default"/>
          <w:color w:val="auto"/>
          <w:highlight w:val="none"/>
        </w:rPr>
      </w:pPr>
      <w:r>
        <w:rPr>
          <w:color w:val="auto"/>
          <w:highlight w:val="none"/>
        </w:rPr>
        <w:t>本合同与下列文件一起构成合同文件，如下述文件之间有任何抵触、矛盾或歧义，应按以下顺序解释：</w:t>
      </w:r>
    </w:p>
    <w:p w14:paraId="1D59E001">
      <w:pPr>
        <w:pStyle w:val="6"/>
        <w:rPr>
          <w:rFonts w:hint="default"/>
          <w:color w:val="auto"/>
          <w:highlight w:val="none"/>
        </w:rPr>
      </w:pPr>
      <w:r>
        <w:rPr>
          <w:color w:val="auto"/>
          <w:highlight w:val="none"/>
        </w:rPr>
        <w:t>（1）政府采购合同及其变更、补充协议</w:t>
      </w:r>
    </w:p>
    <w:p w14:paraId="49AB5B8E">
      <w:pPr>
        <w:pStyle w:val="6"/>
        <w:rPr>
          <w:rFonts w:hint="default"/>
          <w:color w:val="auto"/>
          <w:highlight w:val="none"/>
        </w:rPr>
      </w:pPr>
      <w:r>
        <w:rPr>
          <w:color w:val="auto"/>
          <w:highlight w:val="none"/>
        </w:rPr>
        <w:t>（2）中标（成交）通知书</w:t>
      </w:r>
    </w:p>
    <w:p w14:paraId="2702B0DF">
      <w:pPr>
        <w:pStyle w:val="6"/>
        <w:rPr>
          <w:rFonts w:hint="default"/>
          <w:color w:val="auto"/>
          <w:highlight w:val="none"/>
        </w:rPr>
      </w:pPr>
      <w:r>
        <w:rPr>
          <w:color w:val="auto"/>
          <w:highlight w:val="none"/>
        </w:rPr>
        <w:t>（3）投标（响应）文件</w:t>
      </w:r>
    </w:p>
    <w:p w14:paraId="213261E5">
      <w:pPr>
        <w:pStyle w:val="6"/>
        <w:rPr>
          <w:rFonts w:hint="default"/>
          <w:color w:val="auto"/>
          <w:highlight w:val="none"/>
        </w:rPr>
      </w:pPr>
      <w:r>
        <w:rPr>
          <w:color w:val="auto"/>
          <w:highlight w:val="none"/>
        </w:rPr>
        <w:t>（4）采购文件</w:t>
      </w:r>
    </w:p>
    <w:p w14:paraId="52385490">
      <w:pPr>
        <w:pStyle w:val="6"/>
        <w:rPr>
          <w:rFonts w:hint="default"/>
          <w:color w:val="auto"/>
          <w:highlight w:val="none"/>
        </w:rPr>
      </w:pPr>
      <w:r>
        <w:rPr>
          <w:color w:val="auto"/>
          <w:highlight w:val="none"/>
        </w:rPr>
        <w:t>（5）有关技术文件，图纸</w:t>
      </w:r>
    </w:p>
    <w:p w14:paraId="16456601">
      <w:pPr>
        <w:pStyle w:val="6"/>
        <w:rPr>
          <w:rFonts w:hint="default"/>
          <w:color w:val="auto"/>
          <w:highlight w:val="none"/>
        </w:rPr>
      </w:pPr>
      <w:r>
        <w:rPr>
          <w:color w:val="auto"/>
          <w:highlight w:val="none"/>
        </w:rPr>
        <w:t>（6）国家法律、行政法规和规章制度规定或合同约定的作为合同组成部分的其他文件</w:t>
      </w:r>
    </w:p>
    <w:p w14:paraId="01741568">
      <w:pPr>
        <w:pStyle w:val="6"/>
        <w:outlineLvl w:val="2"/>
        <w:rPr>
          <w:rFonts w:hint="default"/>
          <w:color w:val="auto"/>
          <w:highlight w:val="none"/>
        </w:rPr>
      </w:pPr>
      <w:r>
        <w:rPr>
          <w:b/>
          <w:color w:val="auto"/>
          <w:sz w:val="28"/>
          <w:highlight w:val="none"/>
        </w:rPr>
        <w:t>十一、其他条款</w:t>
      </w:r>
    </w:p>
    <w:p w14:paraId="59F71876">
      <w:pPr>
        <w:pStyle w:val="6"/>
        <w:rPr>
          <w:rFonts w:hint="default"/>
          <w:color w:val="auto"/>
          <w:highlight w:val="none"/>
        </w:rPr>
      </w:pPr>
      <w:r>
        <w:rPr>
          <w:color w:val="auto"/>
          <w:highlight w:val="none"/>
        </w:rPr>
        <w:t>11.1.履约保证金</w:t>
      </w:r>
    </w:p>
    <w:p w14:paraId="1E2F9146">
      <w:pPr>
        <w:pStyle w:val="6"/>
        <w:rPr>
          <w:rFonts w:hint="default"/>
          <w:color w:val="auto"/>
          <w:highlight w:val="none"/>
        </w:rPr>
      </w:pPr>
      <w:r>
        <w:rPr>
          <w:color w:val="auto"/>
          <w:highlight w:val="none"/>
        </w:rPr>
        <w:t>是否收取履约保证金：是</w:t>
      </w:r>
    </w:p>
    <w:p w14:paraId="7C2155D1">
      <w:pPr>
        <w:pStyle w:val="6"/>
        <w:rPr>
          <w:rFonts w:hint="default"/>
          <w:color w:val="auto"/>
          <w:highlight w:val="none"/>
        </w:rPr>
      </w:pPr>
      <w:r>
        <w:rPr>
          <w:color w:val="auto"/>
          <w:highlight w:val="none"/>
        </w:rPr>
        <w:t>履约保证金收取比例：10.00%</w:t>
      </w:r>
    </w:p>
    <w:p w14:paraId="496A45BF">
      <w:pPr>
        <w:pStyle w:val="6"/>
        <w:rPr>
          <w:rFonts w:hint="default"/>
          <w:color w:val="auto"/>
          <w:highlight w:val="none"/>
        </w:rPr>
      </w:pPr>
      <w:r>
        <w:rPr>
          <w:color w:val="auto"/>
          <w:highlight w:val="none"/>
        </w:rPr>
        <w:t>履约保证金金额（元）：</w:t>
      </w:r>
    </w:p>
    <w:p w14:paraId="29DEBC58">
      <w:pPr>
        <w:pStyle w:val="6"/>
        <w:rPr>
          <w:rFonts w:hint="default"/>
          <w:color w:val="auto"/>
          <w:highlight w:val="none"/>
          <w:lang w:eastAsia="zh-CN"/>
        </w:rPr>
      </w:pPr>
      <w:r>
        <w:rPr>
          <w:color w:val="auto"/>
          <w:highlight w:val="none"/>
        </w:rPr>
        <w:t xml:space="preserve">履约保证金收取方式： </w:t>
      </w:r>
      <w:r>
        <w:rPr>
          <w:color w:val="auto"/>
          <w:highlight w:val="none"/>
          <w:lang w:eastAsia="zh-CN"/>
        </w:rPr>
        <w:t>银行转账【此次为选银行转账】</w:t>
      </w:r>
    </w:p>
    <w:p w14:paraId="476FEA3E">
      <w:pPr>
        <w:pStyle w:val="6"/>
        <w:rPr>
          <w:rFonts w:hint="default"/>
          <w:color w:val="auto"/>
          <w:highlight w:val="none"/>
          <w:lang w:eastAsia="zh-CN"/>
        </w:rPr>
      </w:pPr>
      <w:r>
        <w:rPr>
          <w:color w:val="auto"/>
          <w:highlight w:val="none"/>
          <w:lang w:eastAsia="zh-CN"/>
        </w:rPr>
        <w:t>履约保证金收取方式以乙方选择的复核招投标文件的实际方式为准。</w:t>
      </w:r>
    </w:p>
    <w:p w14:paraId="0A199E13">
      <w:pPr>
        <w:pStyle w:val="6"/>
        <w:rPr>
          <w:rFonts w:hint="default"/>
          <w:color w:val="auto"/>
          <w:highlight w:val="none"/>
        </w:rPr>
      </w:pPr>
      <w:r>
        <w:rPr>
          <w:color w:val="auto"/>
          <w:highlight w:val="none"/>
        </w:rPr>
        <w:t>收款单位：四川省人民医院</w:t>
      </w:r>
      <w:r>
        <w:rPr>
          <w:color w:val="auto"/>
          <w:highlight w:val="none"/>
        </w:rPr>
        <w:br w:type="textWrapping"/>
      </w:r>
      <w:r>
        <w:rPr>
          <w:color w:val="auto"/>
          <w:highlight w:val="none"/>
        </w:rPr>
        <w:t>开 户 行：建行成都青羊支行</w:t>
      </w:r>
      <w:r>
        <w:rPr>
          <w:color w:val="auto"/>
          <w:highlight w:val="none"/>
        </w:rPr>
        <w:br w:type="textWrapping"/>
      </w:r>
      <w:r>
        <w:rPr>
          <w:color w:val="auto"/>
          <w:highlight w:val="none"/>
        </w:rPr>
        <w:t>银行账号：51001446436050374282</w:t>
      </w:r>
      <w:r>
        <w:rPr>
          <w:color w:val="auto"/>
          <w:highlight w:val="none"/>
        </w:rPr>
        <w:br w:type="textWrapping"/>
      </w:r>
      <w:r>
        <w:rPr>
          <w:color w:val="auto"/>
          <w:highlight w:val="none"/>
        </w:rPr>
        <w:t>交款时间：</w:t>
      </w:r>
      <w:r>
        <w:rPr>
          <w:color w:val="auto"/>
          <w:highlight w:val="none"/>
          <w:lang w:eastAsia="zh-CN"/>
        </w:rPr>
        <w:t>***</w:t>
      </w:r>
      <w:r>
        <w:rPr>
          <w:color w:val="auto"/>
          <w:highlight w:val="none"/>
        </w:rPr>
        <w:br w:type="textWrapping"/>
      </w:r>
      <w:r>
        <w:rPr>
          <w:color w:val="auto"/>
          <w:highlight w:val="none"/>
        </w:rPr>
        <w:t>退还时间：</w:t>
      </w:r>
      <w:r>
        <w:rPr>
          <w:color w:val="auto"/>
          <w:highlight w:val="none"/>
          <w:lang w:eastAsia="zh-CN"/>
        </w:rPr>
        <w:t>***</w:t>
      </w:r>
      <w:r>
        <w:rPr>
          <w:color w:val="auto"/>
          <w:highlight w:val="none"/>
        </w:rPr>
        <w:br w:type="textWrapping"/>
      </w:r>
      <w:r>
        <w:rPr>
          <w:color w:val="auto"/>
          <w:highlight w:val="none"/>
        </w:rPr>
        <w:t>履约保证金不予退还情形：</w:t>
      </w:r>
      <w:r>
        <w:rPr>
          <w:color w:val="auto"/>
          <w:highlight w:val="none"/>
        </w:rPr>
        <w:br w:type="textWrapping"/>
      </w:r>
      <w:r>
        <w:rPr>
          <w:color w:val="auto"/>
          <w:highlight w:val="none"/>
        </w:rPr>
        <w:t>1.中标人拒绝履行与采购人订立的合同的。</w:t>
      </w:r>
      <w:r>
        <w:rPr>
          <w:color w:val="auto"/>
          <w:highlight w:val="none"/>
        </w:rPr>
        <w:br w:type="textWrapping"/>
      </w:r>
      <w:r>
        <w:rPr>
          <w:color w:val="auto"/>
          <w:highlight w:val="none"/>
        </w:rPr>
        <w:t>2.因中标人严重违约或其它违法违规行为等情形导致双方无法继续履约。</w:t>
      </w:r>
      <w:r>
        <w:rPr>
          <w:color w:val="auto"/>
          <w:highlight w:val="none"/>
        </w:rPr>
        <w:br w:type="textWrapping"/>
      </w:r>
      <w:r>
        <w:rPr>
          <w:color w:val="auto"/>
          <w:highlight w:val="none"/>
        </w:rPr>
        <w:t>投标人应当以支票、汇票、本票或者金融机构、担保机构出具的保函等非现金形式(包括网银转账电汇等方式)提交。</w:t>
      </w:r>
      <w:r>
        <w:rPr>
          <w:color w:val="auto"/>
          <w:highlight w:val="none"/>
        </w:rPr>
        <w:br w:type="textWrapping"/>
      </w:r>
      <w:r>
        <w:rPr>
          <w:color w:val="auto"/>
          <w:highlight w:val="none"/>
        </w:rPr>
        <w:t>履约保证金不予退还的将按照有关规定上缴国库。</w:t>
      </w:r>
    </w:p>
    <w:p w14:paraId="2811E407">
      <w:pPr>
        <w:pStyle w:val="6"/>
        <w:rPr>
          <w:rFonts w:hint="default"/>
          <w:color w:val="auto"/>
          <w:highlight w:val="none"/>
        </w:rPr>
      </w:pPr>
      <w:r>
        <w:rPr>
          <w:color w:val="auto"/>
          <w:highlight w:val="none"/>
        </w:rPr>
        <w:t>如果乙方未能按合同约定全面履行义务，甲方有权从履约保证金中取得补偿或赔偿，且不影响甲方要求乙方承担合同约定的超过履约保证金的违约责任的权利。</w:t>
      </w:r>
    </w:p>
    <w:p w14:paraId="5AA36BC6">
      <w:pPr>
        <w:pStyle w:val="6"/>
        <w:rPr>
          <w:rFonts w:hint="default"/>
          <w:color w:val="auto"/>
          <w:highlight w:val="none"/>
        </w:rPr>
      </w:pPr>
      <w:r>
        <w:rPr>
          <w:color w:val="auto"/>
          <w:highlight w:val="none"/>
        </w:rPr>
        <w:t>11.2.不可抗力事件处理</w:t>
      </w:r>
    </w:p>
    <w:p w14:paraId="7D16CDC6">
      <w:pPr>
        <w:pStyle w:val="6"/>
        <w:rPr>
          <w:rFonts w:hint="default"/>
          <w:color w:val="auto"/>
          <w:highlight w:val="none"/>
        </w:rPr>
      </w:pPr>
      <w:r>
        <w:rPr>
          <w:rFonts w:hint="default" w:ascii="Times New Roman" w:hAnsi="Times New Roman" w:eastAsia="宋体" w:cs="Times New Roman"/>
          <w:bCs/>
          <w:color w:val="auto"/>
          <w:highlight w:val="none"/>
        </w:rPr>
        <w:t>如果遇到自然灾害和灾难及其他不可抗力事件而影响合同履行时，乙方应在三个工作日内以书面形式通知甲方。若不可抗力原因影响本合同执行时间超过***</w:t>
      </w:r>
      <w:r>
        <w:rPr>
          <w:rFonts w:ascii="Times New Roman" w:hAnsi="Times New Roman" w:eastAsia="宋体" w:cs="Times New Roman"/>
          <w:bCs/>
          <w:color w:val="auto"/>
          <w:highlight w:val="none"/>
        </w:rPr>
        <w:t>日</w:t>
      </w:r>
      <w:r>
        <w:rPr>
          <w:rFonts w:hint="default" w:ascii="Times New Roman" w:hAnsi="Times New Roman" w:eastAsia="宋体" w:cs="Times New Roman"/>
          <w:bCs/>
          <w:color w:val="auto"/>
          <w:highlight w:val="none"/>
        </w:rPr>
        <w:t>，甲方有权解除合同，双方互不承担违约责任。</w:t>
      </w:r>
    </w:p>
    <w:p w14:paraId="4D2939CD">
      <w:pPr>
        <w:pStyle w:val="6"/>
        <w:rPr>
          <w:rFonts w:hint="default"/>
          <w:color w:val="auto"/>
          <w:highlight w:val="none"/>
        </w:rPr>
      </w:pPr>
      <w:r>
        <w:rPr>
          <w:color w:val="auto"/>
          <w:highlight w:val="none"/>
        </w:rPr>
        <w:t>11.3.权利瑕疵担保</w:t>
      </w:r>
    </w:p>
    <w:p w14:paraId="37660318">
      <w:pPr>
        <w:adjustRightInd w:val="0"/>
        <w:snapToGrid w:val="0"/>
        <w:rPr>
          <w:rFonts w:ascii="Times New Roman" w:hAnsi="Times New Roman" w:eastAsia="宋体" w:cs="Times New Roman"/>
          <w:color w:val="auto"/>
          <w:sz w:val="20"/>
          <w:szCs w:val="20"/>
          <w:highlight w:val="none"/>
        </w:rPr>
      </w:pPr>
      <w:r>
        <w:rPr>
          <w:rFonts w:ascii="Times New Roman" w:hAnsi="Times New Roman" w:eastAsia="宋体" w:cs="Times New Roman"/>
          <w:color w:val="auto"/>
          <w:sz w:val="20"/>
          <w:szCs w:val="20"/>
          <w:highlight w:val="none"/>
        </w:rPr>
        <w:t>乙方应保证其对所供设备拥有完全的所有权或已得到所有者充分的销售授权，并确保向甲方提供的所有资质文件真实有效。若发生授权资质产生变更、授权时限临近等影响供货的情况，应立即通知甲方并提供相应证明文件，双方协商解决后续事宜。</w:t>
      </w:r>
    </w:p>
    <w:p w14:paraId="5C3AF7CB">
      <w:pPr>
        <w:pStyle w:val="6"/>
        <w:rPr>
          <w:rFonts w:hint="default"/>
          <w:color w:val="auto"/>
          <w:highlight w:val="none"/>
          <w:lang w:eastAsia="zh-CN"/>
        </w:rPr>
      </w:pPr>
      <w:r>
        <w:rPr>
          <w:color w:val="auto"/>
          <w:highlight w:val="none"/>
        </w:rPr>
        <w:t>11.4.知识产权保护</w:t>
      </w:r>
    </w:p>
    <w:p w14:paraId="4CAAA15C">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11.4.1.</w:t>
      </w:r>
      <w:r>
        <w:rPr>
          <w:rFonts w:ascii="Times New Roman" w:hAnsi="Times New Roman" w:eastAsia="宋体" w:cs="Times New Roman"/>
          <w:color w:val="auto"/>
          <w:sz w:val="20"/>
          <w:szCs w:val="20"/>
          <w:highlight w:val="none"/>
        </w:rPr>
        <w:t>乙方必须保证，甲方在中华人民共和国境内使用设备或者设备的某一部分时，如有第三方向甲方提出侵犯其专利权、商标权或其他知识产权的主张，由此造成的一切责任由乙方承担。</w:t>
      </w:r>
    </w:p>
    <w:p w14:paraId="77551442">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11.4.2.</w:t>
      </w:r>
      <w:r>
        <w:rPr>
          <w:rFonts w:ascii="Times New Roman" w:hAnsi="Times New Roman" w:eastAsia="宋体" w:cs="Times New Roman"/>
          <w:color w:val="auto"/>
          <w:sz w:val="20"/>
          <w:szCs w:val="20"/>
          <w:highlight w:val="none"/>
        </w:rPr>
        <w:t>本合同费用包含向所有权人支付的专利权、商标权或其他知识产权的有关费用及税费。</w:t>
      </w:r>
    </w:p>
    <w:p w14:paraId="4D8984C4">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11.4.3.</w:t>
      </w:r>
      <w:r>
        <w:rPr>
          <w:rFonts w:ascii="Times New Roman" w:hAnsi="Times New Roman" w:eastAsia="宋体" w:cs="Times New Roman"/>
          <w:color w:val="auto"/>
          <w:sz w:val="20"/>
          <w:szCs w:val="20"/>
          <w:highlight w:val="none"/>
        </w:rPr>
        <w:t>乙方承诺向甲方提供的设备上安装的软件已获得软件厂商的正规授权。</w:t>
      </w:r>
    </w:p>
    <w:p w14:paraId="0DB47F81">
      <w:pPr>
        <w:pStyle w:val="7"/>
        <w:adjustRightInd w:val="0"/>
        <w:snapToGrid w:val="0"/>
        <w:ind w:left="0"/>
        <w:rPr>
          <w:rFonts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rPr>
        <w:t>11.4.4.</w:t>
      </w:r>
      <w:r>
        <w:rPr>
          <w:rFonts w:ascii="Times New Roman" w:hAnsi="Times New Roman" w:eastAsia="宋体" w:cs="Times New Roman"/>
          <w:color w:val="auto"/>
          <w:sz w:val="20"/>
          <w:szCs w:val="20"/>
          <w:highlight w:val="none"/>
        </w:rPr>
        <w:t>如涉及甲、乙双方共同研发的软件产品，知识产权归甲、乙双方共同拥有，软件所有数据归甲方所有。</w:t>
      </w:r>
    </w:p>
    <w:p w14:paraId="0BB9BCF3">
      <w:pPr>
        <w:pStyle w:val="7"/>
        <w:adjustRightInd w:val="0"/>
        <w:snapToGrid w:val="0"/>
        <w:ind w:left="0"/>
        <w:rPr>
          <w:color w:val="auto"/>
          <w:highlight w:val="none"/>
        </w:rPr>
      </w:pPr>
      <w:r>
        <w:rPr>
          <w:rFonts w:hint="eastAsia" w:ascii="Times New Roman" w:hAnsi="Times New Roman" w:eastAsia="宋体" w:cs="Times New Roman"/>
          <w:color w:val="auto"/>
          <w:sz w:val="20"/>
          <w:szCs w:val="20"/>
          <w:highlight w:val="none"/>
        </w:rPr>
        <w:t>11.4.5.</w:t>
      </w:r>
      <w:r>
        <w:rPr>
          <w:rFonts w:ascii="Times New Roman" w:hAnsi="Times New Roman" w:eastAsia="宋体" w:cs="Times New Roman"/>
          <w:color w:val="auto"/>
          <w:sz w:val="20"/>
          <w:szCs w:val="20"/>
          <w:highlight w:val="none"/>
        </w:rPr>
        <w:t>乙方必须对本合同履行过程中所获取的甲方的商业技术秘密、经营秘密、患者隐私数据等甲方未公开的信息负保密义务，保密期为永久，不得向任何第三方透露，不得用作除本合同约定以外的其他用途，否则乙方应赔偿甲方因此造成的经济损失，包括但不限于实际损失、可得利益损失及为此支付的律师代理费用、诉讼费、公告费、公证费、保全费等，损失无法计算的，按照合同总价金额的10倍计算违约金。</w:t>
      </w:r>
    </w:p>
    <w:p w14:paraId="55DC058E">
      <w:pPr>
        <w:pStyle w:val="6"/>
        <w:rPr>
          <w:rFonts w:hint="default"/>
          <w:color w:val="auto"/>
          <w:highlight w:val="none"/>
        </w:rPr>
      </w:pPr>
      <w:r>
        <w:rPr>
          <w:color w:val="auto"/>
          <w:highlight w:val="none"/>
        </w:rPr>
        <w:t>11.5.保密义务</w:t>
      </w:r>
    </w:p>
    <w:p w14:paraId="6B22617E">
      <w:pPr>
        <w:pStyle w:val="6"/>
        <w:rPr>
          <w:rFonts w:hint="default"/>
          <w:color w:val="auto"/>
          <w:highlight w:val="none"/>
        </w:rPr>
      </w:pPr>
      <w:r>
        <w:rPr>
          <w:color w:val="auto"/>
          <w:highlight w:val="none"/>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1AF70C4C">
      <w:pPr>
        <w:pStyle w:val="6"/>
        <w:rPr>
          <w:rFonts w:hint="default"/>
          <w:color w:val="auto"/>
          <w:highlight w:val="none"/>
        </w:rPr>
      </w:pPr>
      <w:r>
        <w:rPr>
          <w:color w:val="auto"/>
          <w:highlight w:val="none"/>
        </w:rPr>
        <w:t>11.6.售后服务</w:t>
      </w:r>
    </w:p>
    <w:p w14:paraId="334AC65B">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11.6.1.</w:t>
      </w:r>
      <w:r>
        <w:rPr>
          <w:rFonts w:ascii="Times New Roman" w:hAnsi="Times New Roman" w:eastAsia="宋体" w:cs="Times New Roman"/>
          <w:color w:val="auto"/>
          <w:highlight w:val="none"/>
        </w:rPr>
        <w:t>乙方应为甲方提供使用操作培训，保证受训人员能对设备进行熟练操作及日常维护；为甲方维修工程师提供技术培训，直至其具备保障设备正常运行和排除一般性故障的能力。如未达到上述要求，采购人有权延后支付本合同款项。</w:t>
      </w:r>
      <w:r>
        <w:rPr>
          <w:rFonts w:ascii="Times New Roman" w:hAnsi="Times New Roman" w:eastAsia="宋体" w:cs="Times New Roman"/>
          <w:i/>
          <w:iCs/>
          <w:color w:val="auto"/>
          <w:highlight w:val="none"/>
        </w:rPr>
        <w:t>&lt;具体培训内容可根据项目具体情况编制&gt;</w:t>
      </w:r>
    </w:p>
    <w:p w14:paraId="4FB8E3D1">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11.6.2.</w:t>
      </w:r>
      <w:r>
        <w:rPr>
          <w:rFonts w:ascii="Times New Roman" w:hAnsi="Times New Roman" w:eastAsia="宋体" w:cs="Times New Roman"/>
          <w:color w:val="auto"/>
          <w:highlight w:val="none"/>
        </w:rPr>
        <w:t>质保期内出现质量问题，乙方在接到甲方通知后2小时内响应，24小时内到场维修，并承担相关费用。</w:t>
      </w:r>
    </w:p>
    <w:p w14:paraId="0EE8DBA6">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11.6.3.</w:t>
      </w:r>
      <w:r>
        <w:rPr>
          <w:rFonts w:ascii="Times New Roman" w:hAnsi="Times New Roman" w:eastAsia="宋体" w:cs="Times New Roman"/>
          <w:color w:val="auto"/>
          <w:highlight w:val="none"/>
        </w:rPr>
        <w:t>如本合同设备在质保期内因同一故障经乙方两次维修仍不能达到本合同约定的技术要求及国家法律法规规定的质量标准，甲方有权采取要求乙方更换全新设备或退货，并追究乙方违约责任等。</w:t>
      </w:r>
    </w:p>
    <w:p w14:paraId="3BB2706E">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11.6.4.</w:t>
      </w:r>
      <w:r>
        <w:rPr>
          <w:rFonts w:ascii="Times New Roman" w:hAnsi="Times New Roman" w:eastAsia="宋体" w:cs="Times New Roman"/>
          <w:color w:val="auto"/>
          <w:highlight w:val="none"/>
        </w:rPr>
        <w:t>质保期内，如需更换零配件，乙方应保证所更换的零配件与原设备相同规格和品质。</w:t>
      </w:r>
    </w:p>
    <w:p w14:paraId="761520EF">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11.6.5.</w:t>
      </w:r>
      <w:r>
        <w:rPr>
          <w:rFonts w:ascii="Times New Roman" w:hAnsi="Times New Roman" w:eastAsia="宋体" w:cs="Times New Roman"/>
          <w:color w:val="auto"/>
          <w:highlight w:val="none"/>
        </w:rPr>
        <w:t>乙方须指派专人负责与甲方联系售后服务事宜，联系人：***，联系电话：***。</w:t>
      </w:r>
    </w:p>
    <w:p w14:paraId="5022A64B">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11.6.6.</w:t>
      </w:r>
      <w:r>
        <w:rPr>
          <w:rFonts w:ascii="Times New Roman" w:hAnsi="Times New Roman" w:eastAsia="Songti SC" w:cs="Times New Roman"/>
          <w:color w:val="auto"/>
          <w:highlight w:val="none"/>
        </w:rPr>
        <w:t>质保期内，设备因自身故障导致的停机率不应超过5%（一年按365天计算），否则乙方应就超出部分（乙方已提供备用机并保障甲方正常使用的时间，不计算为停机时间）按天数向甲方赔偿经济损失</w:t>
      </w:r>
      <w:r>
        <w:rPr>
          <w:rFonts w:ascii="Times New Roman" w:hAnsi="Times New Roman" w:eastAsia="宋体" w:cs="Times New Roman"/>
          <w:color w:val="auto"/>
          <w:highlight w:val="none"/>
        </w:rPr>
        <w:t>。</w:t>
      </w:r>
    </w:p>
    <w:p w14:paraId="232B8B2C">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11.6.7.</w:t>
      </w:r>
      <w:r>
        <w:rPr>
          <w:rFonts w:ascii="Times New Roman" w:hAnsi="Times New Roman" w:eastAsia="宋体" w:cs="Times New Roman"/>
          <w:color w:val="auto"/>
          <w:highlight w:val="none"/>
        </w:rPr>
        <w:t>若本合同设备涉及计算机软件系统的，乙方有义务为甲方此后对设备完全的使用（含维护）提供便利及支持，包括但不限于源代码、密码的提供，乙方不得拒绝或收取额外费用。</w:t>
      </w:r>
    </w:p>
    <w:p w14:paraId="59BB90B1">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11.6.8.</w:t>
      </w:r>
      <w:r>
        <w:rPr>
          <w:rFonts w:ascii="Times New Roman" w:hAnsi="Times New Roman" w:eastAsia="宋体" w:cs="Times New Roman"/>
          <w:color w:val="auto"/>
          <w:highlight w:val="none"/>
        </w:rPr>
        <w:t>质保期内，如设备因维修无法使用，乙方应根据甲方需要向甲方提供替用设备。</w:t>
      </w:r>
    </w:p>
    <w:p w14:paraId="5351B385">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11.6.9.</w:t>
      </w:r>
      <w:r>
        <w:rPr>
          <w:rFonts w:ascii="Times New Roman" w:hAnsi="Times New Roman" w:eastAsia="宋体" w:cs="Times New Roman"/>
          <w:color w:val="auto"/>
          <w:highlight w:val="none"/>
        </w:rPr>
        <w:t>设备验收前，乙方应事先申明设备专用耗材和易损件，并将专用耗材和易损件的品名、规格、使用寿命等相关技术资料移交甲方，未经事先申明的耗材和易损件将被纳入质保范围。</w:t>
      </w:r>
    </w:p>
    <w:p w14:paraId="526B100F">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11.6.10.</w:t>
      </w:r>
      <w:r>
        <w:rPr>
          <w:rFonts w:ascii="Times New Roman" w:hAnsi="Times New Roman" w:eastAsia="宋体" w:cs="Times New Roman"/>
          <w:color w:val="auto"/>
          <w:highlight w:val="none"/>
        </w:rPr>
        <w:t>售后服务涉及费用均包含在合同总价中。</w:t>
      </w:r>
    </w:p>
    <w:p w14:paraId="5EA7971F">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11.6.11.</w:t>
      </w:r>
      <w:r>
        <w:rPr>
          <w:rFonts w:ascii="Times New Roman" w:hAnsi="Times New Roman" w:eastAsia="宋体" w:cs="Times New Roman"/>
          <w:color w:val="auto"/>
          <w:highlight w:val="none"/>
        </w:rPr>
        <w:t>质保期外，若出现停机或不能使用等故障，乙方应按维修响应要求提供相应的技术支持提供，如乙方未能按上述约定及时履行维修义务，甲方有权按实际经济损失要求赔偿并追究相应的法律责任。</w:t>
      </w:r>
    </w:p>
    <w:p w14:paraId="5B65E73D">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u w:color="000000"/>
        </w:rPr>
        <w:t>11.6.12.</w:t>
      </w:r>
      <w:r>
        <w:rPr>
          <w:rFonts w:ascii="Times New Roman" w:hAnsi="Times New Roman" w:eastAsia="宋体" w:cs="Times New Roman"/>
          <w:color w:val="auto"/>
          <w:highlight w:val="none"/>
        </w:rPr>
        <w:tab/>
      </w:r>
      <w:r>
        <w:rPr>
          <w:rFonts w:ascii="Times New Roman" w:hAnsi="Times New Roman" w:eastAsia="宋体" w:cs="Times New Roman"/>
          <w:color w:val="auto"/>
          <w:highlight w:val="none"/>
        </w:rPr>
        <w:t>因乙方原因不能够达到上述设备质保及售后服务的约定，按甲方实际无法使用设备的天数自动延长其质保期,甲方有权延后履约保证金的退还时间，并追究乙方因此引发的相应的法律责任。</w:t>
      </w:r>
    </w:p>
    <w:p w14:paraId="6A3AB28A">
      <w:pPr>
        <w:pStyle w:val="6"/>
        <w:rPr>
          <w:rFonts w:hint="default"/>
          <w:color w:val="auto"/>
          <w:highlight w:val="none"/>
        </w:rPr>
      </w:pPr>
      <w:r>
        <w:rPr>
          <w:color w:val="auto"/>
          <w:highlight w:val="none"/>
        </w:rPr>
        <w:t>11.7.合同变更、中止与终止</w:t>
      </w:r>
    </w:p>
    <w:p w14:paraId="69ED7677">
      <w:pPr>
        <w:pStyle w:val="6"/>
        <w:rPr>
          <w:rFonts w:hint="default"/>
          <w:color w:val="auto"/>
          <w:highlight w:val="none"/>
        </w:rPr>
      </w:pPr>
      <w:r>
        <w:rPr>
          <w:color w:val="auto"/>
          <w:highlight w:val="none"/>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1FA7B0A3">
      <w:pPr>
        <w:pStyle w:val="6"/>
        <w:rPr>
          <w:rFonts w:hint="default"/>
          <w:color w:val="auto"/>
          <w:highlight w:val="none"/>
        </w:rPr>
      </w:pPr>
      <w:r>
        <w:rPr>
          <w:color w:val="auto"/>
          <w:highlight w:val="none"/>
        </w:rPr>
        <w:t>11.7.1.合同的变更</w:t>
      </w:r>
    </w:p>
    <w:p w14:paraId="2FFF9E7D">
      <w:pPr>
        <w:pStyle w:val="6"/>
        <w:rPr>
          <w:rFonts w:hint="default"/>
          <w:color w:val="auto"/>
          <w:highlight w:val="none"/>
        </w:rPr>
      </w:pPr>
      <w:r>
        <w:rPr>
          <w:color w:val="auto"/>
          <w:highlight w:val="none"/>
        </w:rPr>
        <w:t>政府采购合同履行中，在不改变合同其他条款的前提下，甲方可以在合同价款10%的范围内追加与合同标的相同的货物，并就此与乙方协商一致后签订补充协议。</w:t>
      </w:r>
    </w:p>
    <w:p w14:paraId="43416629">
      <w:pPr>
        <w:pStyle w:val="6"/>
        <w:rPr>
          <w:rFonts w:hint="default"/>
          <w:color w:val="auto"/>
          <w:highlight w:val="none"/>
        </w:rPr>
      </w:pPr>
      <w:r>
        <w:rPr>
          <w:color w:val="auto"/>
          <w:highlight w:val="none"/>
        </w:rPr>
        <w:t>11.7.2.合同的中止</w:t>
      </w:r>
    </w:p>
    <w:p w14:paraId="351EF830">
      <w:pPr>
        <w:pStyle w:val="6"/>
        <w:rPr>
          <w:rFonts w:hint="default"/>
          <w:color w:val="auto"/>
          <w:highlight w:val="none"/>
        </w:rPr>
      </w:pPr>
      <w:r>
        <w:rPr>
          <w:color w:val="auto"/>
          <w:highlight w:val="none"/>
        </w:rPr>
        <w:t>11.7.2.1.合同签订后，因询问、质疑可能影响成交结果的，甲方应当中止履行合同，因供应商就采购文件、采购过程或结果提起投诉的，甲方认为有必要的，可以中止合同的履行。</w:t>
      </w:r>
    </w:p>
    <w:p w14:paraId="154F00B2">
      <w:pPr>
        <w:pStyle w:val="6"/>
        <w:rPr>
          <w:rFonts w:hint="default"/>
          <w:color w:val="auto"/>
          <w:highlight w:val="none"/>
        </w:rPr>
      </w:pPr>
      <w:r>
        <w:rPr>
          <w:color w:val="auto"/>
          <w:highlight w:val="none"/>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438E918">
      <w:pPr>
        <w:pStyle w:val="6"/>
        <w:rPr>
          <w:rFonts w:hint="default"/>
          <w:color w:val="auto"/>
          <w:highlight w:val="none"/>
        </w:rPr>
      </w:pPr>
      <w:r>
        <w:rPr>
          <w:color w:val="auto"/>
          <w:highlight w:val="none"/>
        </w:rPr>
        <w:t>11.7.2.3.乙方分立、合并或者变更住所的，应当及时以书面形式告知甲方。乙方没有及时告知甲方，致使合同履行发生困难的，甲方可以中止合同履行并要求乙方承担由此给甲方造成的损失。</w:t>
      </w:r>
    </w:p>
    <w:p w14:paraId="2E0AFCAA">
      <w:pPr>
        <w:pStyle w:val="6"/>
        <w:rPr>
          <w:rFonts w:hint="default"/>
          <w:color w:val="auto"/>
          <w:highlight w:val="none"/>
        </w:rPr>
      </w:pPr>
      <w:r>
        <w:rPr>
          <w:color w:val="auto"/>
          <w:highlight w:val="none"/>
        </w:rPr>
        <w:t>11.7.2.4.甲方不得以行政区划调整、政府换届、机构或者职能调整以及相关责任人更替为由中止合同。</w:t>
      </w:r>
    </w:p>
    <w:p w14:paraId="703A4AC3">
      <w:pPr>
        <w:pStyle w:val="6"/>
        <w:rPr>
          <w:rFonts w:hint="default"/>
          <w:color w:val="auto"/>
          <w:highlight w:val="none"/>
        </w:rPr>
      </w:pPr>
      <w:r>
        <w:rPr>
          <w:color w:val="auto"/>
          <w:highlight w:val="none"/>
        </w:rPr>
        <w:t>11.7.3.合同的终止</w:t>
      </w:r>
    </w:p>
    <w:p w14:paraId="58A0AC58">
      <w:pPr>
        <w:pStyle w:val="6"/>
        <w:rPr>
          <w:rFonts w:hint="default"/>
          <w:color w:val="auto"/>
          <w:highlight w:val="none"/>
        </w:rPr>
      </w:pPr>
      <w:r>
        <w:rPr>
          <w:color w:val="auto"/>
          <w:highlight w:val="none"/>
        </w:rPr>
        <w:t>11.7.3.1.合同因有效期限届满而终止；</w:t>
      </w:r>
    </w:p>
    <w:p w14:paraId="7E9B03E6">
      <w:pPr>
        <w:pStyle w:val="7"/>
        <w:snapToGrid w:val="0"/>
        <w:ind w:left="0"/>
        <w:rPr>
          <w:color w:val="auto"/>
          <w:highlight w:val="none"/>
        </w:rPr>
      </w:pPr>
      <w:r>
        <w:rPr>
          <w:color w:val="auto"/>
          <w:highlight w:val="none"/>
        </w:rPr>
        <w:t>11.7.3.2.</w:t>
      </w:r>
      <w:r>
        <w:rPr>
          <w:rFonts w:ascii="Times New Roman" w:hAnsi="Times New Roman" w:eastAsia="宋体" w:cs="Times New Roman"/>
          <w:color w:val="auto"/>
          <w:highlight w:val="none"/>
        </w:rPr>
        <w:t>合同一方发现可能致使本合同无法按约定继续履行的情形时，应当及时通知另一方并采取适当措施减少损失；没有及时通知并采取适当措施，致使损失扩大的，应当就扩大的损失承担责任。</w:t>
      </w:r>
    </w:p>
    <w:p w14:paraId="1E1E79E7">
      <w:pPr>
        <w:pStyle w:val="7"/>
        <w:snapToGrid w:val="0"/>
        <w:ind w:left="0"/>
        <w:rPr>
          <w:color w:val="auto"/>
          <w:highlight w:val="none"/>
        </w:rPr>
      </w:pPr>
      <w:r>
        <w:rPr>
          <w:rFonts w:hint="eastAsia" w:eastAsia="宋体"/>
          <w:color w:val="auto"/>
          <w:highlight w:val="none"/>
        </w:rPr>
        <w:t>11.7.3.3</w:t>
      </w:r>
      <w:r>
        <w:rPr>
          <w:rFonts w:ascii="Times New Roman" w:hAnsi="Times New Roman" w:eastAsia="宋体" w:cs="Times New Roman"/>
          <w:color w:val="auto"/>
          <w:highlight w:val="none"/>
        </w:rPr>
        <w:t>在甲、乙任何一方有严重违约行为时，另一方有权单方解除合同。</w:t>
      </w:r>
    </w:p>
    <w:p w14:paraId="6E5B243D">
      <w:pPr>
        <w:pStyle w:val="6"/>
        <w:rPr>
          <w:rFonts w:hint="default"/>
          <w:color w:val="auto"/>
          <w:highlight w:val="none"/>
        </w:rPr>
      </w:pPr>
      <w:r>
        <w:rPr>
          <w:color w:val="auto"/>
          <w:highlight w:val="none"/>
        </w:rPr>
        <w:t>11.7.4.涉及国家利益、社会公共利益的情形</w:t>
      </w:r>
    </w:p>
    <w:p w14:paraId="57EE9A58">
      <w:pPr>
        <w:pStyle w:val="6"/>
        <w:rPr>
          <w:rFonts w:hint="default"/>
          <w:color w:val="auto"/>
          <w:highlight w:val="none"/>
        </w:rPr>
      </w:pPr>
      <w:r>
        <w:rPr>
          <w:color w:val="auto"/>
          <w:highlight w:val="none"/>
        </w:rPr>
        <w:t>政府采购合同继续履行将损害国家利益和社会公共利益的，双方当事人应当变更、中止或者终止合同。有过错的一方应当承担赔偿责任，双方都有过错的，各自承担相应的责任。</w:t>
      </w:r>
    </w:p>
    <w:p w14:paraId="1D06D494">
      <w:pPr>
        <w:pStyle w:val="6"/>
        <w:rPr>
          <w:rFonts w:hint="default"/>
          <w:color w:val="auto"/>
          <w:highlight w:val="none"/>
        </w:rPr>
      </w:pPr>
      <w:r>
        <w:rPr>
          <w:color w:val="auto"/>
          <w:highlight w:val="none"/>
        </w:rPr>
        <w:t>11.8.合同分包</w:t>
      </w:r>
    </w:p>
    <w:p w14:paraId="518C2FDC">
      <w:pPr>
        <w:pStyle w:val="6"/>
        <w:rPr>
          <w:rFonts w:hint="default"/>
          <w:color w:val="auto"/>
          <w:highlight w:val="none"/>
        </w:rPr>
      </w:pPr>
      <w:r>
        <w:rPr>
          <w:color w:val="auto"/>
          <w:highlight w:val="none"/>
        </w:rPr>
        <w:t>乙方不得将合同转包给其他供应商。涉及合同分包的，乙方应根据采购文件和投标（响应）文件规定进行合同分包。</w:t>
      </w:r>
    </w:p>
    <w:p w14:paraId="14AC794B">
      <w:pPr>
        <w:pStyle w:val="6"/>
        <w:rPr>
          <w:rFonts w:hint="default"/>
          <w:color w:val="auto"/>
          <w:highlight w:val="none"/>
        </w:rPr>
      </w:pPr>
      <w:r>
        <w:rPr>
          <w:color w:val="auto"/>
          <w:highlight w:val="none"/>
        </w:rPr>
        <w:t>乙方执行政府采购政策向中小企业依法分包的，乙方应当按采购文件和投标（响应）文件签订分包意向协议，分包意向协议属于本合同组成部分。</w:t>
      </w:r>
    </w:p>
    <w:p w14:paraId="7F81EE03">
      <w:pPr>
        <w:pStyle w:val="6"/>
        <w:rPr>
          <w:rFonts w:hint="default"/>
          <w:color w:val="auto"/>
          <w:highlight w:val="none"/>
        </w:rPr>
      </w:pPr>
      <w:r>
        <w:rPr>
          <w:color w:val="auto"/>
          <w:highlight w:val="none"/>
        </w:rPr>
        <w:t>11.9.法律适用</w:t>
      </w:r>
    </w:p>
    <w:p w14:paraId="30D0D4CC">
      <w:pPr>
        <w:pStyle w:val="6"/>
        <w:rPr>
          <w:rFonts w:hint="default"/>
          <w:color w:val="auto"/>
          <w:highlight w:val="none"/>
        </w:rPr>
      </w:pPr>
      <w:r>
        <w:rPr>
          <w:color w:val="auto"/>
          <w:highlight w:val="none"/>
        </w:rPr>
        <w:t>本合同的订立、生效、解释、履行及与本合同有关的争议解决，均适用法律、行政法规。</w:t>
      </w:r>
    </w:p>
    <w:p w14:paraId="23618D16">
      <w:pPr>
        <w:pStyle w:val="6"/>
        <w:rPr>
          <w:rFonts w:hint="default"/>
          <w:color w:val="auto"/>
          <w:highlight w:val="none"/>
        </w:rPr>
      </w:pPr>
      <w:r>
        <w:rPr>
          <w:color w:val="auto"/>
          <w:highlight w:val="none"/>
        </w:rPr>
        <w:t>本合同条款与法律、行政法规的强制性规定不一致的，双方当事人应按照法律、行政法规的强制性规定修改本合同的相关条款。</w:t>
      </w:r>
    </w:p>
    <w:p w14:paraId="30B40B71">
      <w:pPr>
        <w:pStyle w:val="6"/>
        <w:outlineLvl w:val="2"/>
        <w:rPr>
          <w:rFonts w:hint="default"/>
          <w:color w:val="auto"/>
          <w:highlight w:val="none"/>
        </w:rPr>
      </w:pPr>
      <w:r>
        <w:rPr>
          <w:b/>
          <w:color w:val="auto"/>
          <w:sz w:val="28"/>
          <w:highlight w:val="none"/>
        </w:rPr>
        <w:t>十二、合同生效及其他</w:t>
      </w:r>
    </w:p>
    <w:p w14:paraId="0F39DAC8">
      <w:pPr>
        <w:pStyle w:val="7"/>
        <w:snapToGrid w:val="0"/>
        <w:ind w:left="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12.1.</w:t>
      </w:r>
      <w:r>
        <w:rPr>
          <w:rFonts w:ascii="Times New Roman" w:hAnsi="Times New Roman" w:eastAsia="宋体" w:cs="Times New Roman"/>
          <w:color w:val="auto"/>
          <w:highlight w:val="none"/>
        </w:rPr>
        <w:t>如有未尽事宜，由双方依法订立补充合同。补充合同及本合同附件均为本合同的组成部分，与本合同具有同等法律效力。</w:t>
      </w:r>
    </w:p>
    <w:p w14:paraId="2E533E9D">
      <w:pPr>
        <w:pStyle w:val="7"/>
        <w:snapToGrid w:val="0"/>
        <w:ind w:left="0"/>
        <w:rPr>
          <w:rFonts w:ascii="Times New Roman" w:hAnsi="Times New Roman" w:eastAsia="宋体" w:cs="Times New Roman"/>
          <w:bCs/>
          <w:color w:val="auto"/>
          <w:highlight w:val="none"/>
        </w:rPr>
      </w:pPr>
      <w:r>
        <w:rPr>
          <w:rFonts w:hint="eastAsia" w:ascii="Times New Roman" w:hAnsi="Times New Roman" w:eastAsia="宋体" w:cs="Times New Roman"/>
          <w:bCs/>
          <w:color w:val="auto"/>
          <w:highlight w:val="none"/>
        </w:rPr>
        <w:t>12.2.</w:t>
      </w:r>
      <w:r>
        <w:rPr>
          <w:rFonts w:ascii="Times New Roman" w:hAnsi="Times New Roman" w:eastAsia="宋体" w:cs="Times New Roman"/>
          <w:bCs/>
          <w:color w:val="auto"/>
          <w:highlight w:val="none"/>
        </w:rPr>
        <w:t>双方需要说明的其他事项：***（如有）</w:t>
      </w:r>
    </w:p>
    <w:p w14:paraId="64317526">
      <w:pPr>
        <w:pStyle w:val="7"/>
        <w:snapToGrid w:val="0"/>
        <w:ind w:left="0"/>
        <w:rPr>
          <w:color w:val="auto"/>
          <w:highlight w:val="none"/>
        </w:rPr>
      </w:pPr>
      <w:r>
        <w:rPr>
          <w:rFonts w:hint="eastAsia"/>
          <w:color w:val="auto"/>
          <w:highlight w:val="none"/>
        </w:rPr>
        <w:t>12.3.</w:t>
      </w:r>
      <w:r>
        <w:rPr>
          <w:rFonts w:ascii="Times New Roman" w:hAnsi="Times New Roman" w:eastAsia="宋体" w:cs="Times New Roman"/>
          <w:color w:val="auto"/>
          <w:highlight w:val="none"/>
        </w:rPr>
        <w:t>本合同一式五份，自双方签字且盖章之日起生效。甲方三份，乙方</w:t>
      </w:r>
      <w:r>
        <w:rPr>
          <w:rFonts w:ascii="Times New Roman" w:hAnsi="Times New Roman" w:eastAsia="宋体" w:cs="Times New Roman"/>
          <w:color w:val="auto"/>
          <w:highlight w:val="none"/>
          <w:lang w:val="zh-CN"/>
        </w:rPr>
        <w:t>、采购代理机构各</w:t>
      </w:r>
      <w:r>
        <w:rPr>
          <w:rFonts w:ascii="Times New Roman" w:hAnsi="Times New Roman" w:eastAsia="宋体" w:cs="Times New Roman"/>
          <w:color w:val="auto"/>
          <w:highlight w:val="none"/>
        </w:rPr>
        <w:t>一份。</w:t>
      </w:r>
      <w:r>
        <w:rPr>
          <w:color w:val="auto"/>
          <w:highlight w:val="none"/>
        </w:rPr>
        <w:br w:type="textWrapping"/>
      </w:r>
      <w:r>
        <w:rPr>
          <w:color w:val="auto"/>
          <w:highlight w:val="none"/>
        </w:rPr>
        <w:br w:type="textWrapping"/>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C8D9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433C694D">
            <w:pPr>
              <w:pStyle w:val="6"/>
              <w:jc w:val="center"/>
              <w:rPr>
                <w:rFonts w:hint="default"/>
                <w:color w:val="auto"/>
                <w:highlight w:val="none"/>
              </w:rPr>
            </w:pPr>
            <w:r>
              <w:rPr>
                <w:color w:val="auto"/>
                <w:highlight w:val="none"/>
              </w:rPr>
              <w:t>甲方</w:t>
            </w:r>
          </w:p>
        </w:tc>
      </w:tr>
      <w:tr w14:paraId="65DB3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E294558">
            <w:pPr>
              <w:pStyle w:val="6"/>
              <w:jc w:val="center"/>
              <w:rPr>
                <w:rFonts w:hint="default"/>
                <w:color w:val="auto"/>
                <w:highlight w:val="none"/>
              </w:rPr>
            </w:pPr>
            <w:r>
              <w:rPr>
                <w:color w:val="auto"/>
                <w:highlight w:val="none"/>
              </w:rPr>
              <w:t>单位名称</w:t>
            </w:r>
          </w:p>
        </w:tc>
        <w:tc>
          <w:tcPr>
            <w:tcW w:w="4153" w:type="dxa"/>
          </w:tcPr>
          <w:p w14:paraId="718EA8EA">
            <w:pPr>
              <w:pStyle w:val="6"/>
              <w:rPr>
                <w:rFonts w:hint="default"/>
                <w:color w:val="auto"/>
                <w:highlight w:val="none"/>
              </w:rPr>
            </w:pPr>
            <w:r>
              <w:rPr>
                <w:color w:val="auto"/>
                <w:highlight w:val="none"/>
              </w:rPr>
              <w:t>（盖章）</w:t>
            </w:r>
          </w:p>
        </w:tc>
      </w:tr>
      <w:tr w14:paraId="3ADF7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CC3E816">
            <w:pPr>
              <w:pStyle w:val="6"/>
              <w:jc w:val="center"/>
              <w:rPr>
                <w:rFonts w:hint="default"/>
                <w:color w:val="auto"/>
                <w:highlight w:val="none"/>
              </w:rPr>
            </w:pPr>
            <w:r>
              <w:rPr>
                <w:color w:val="auto"/>
                <w:highlight w:val="none"/>
              </w:rPr>
              <w:t>法定代表人或其授权委托代理人（签章）</w:t>
            </w:r>
          </w:p>
        </w:tc>
        <w:tc>
          <w:tcPr>
            <w:tcW w:w="4153" w:type="dxa"/>
          </w:tcPr>
          <w:p w14:paraId="7988A6D5">
            <w:pPr>
              <w:pStyle w:val="6"/>
              <w:rPr>
                <w:rFonts w:hint="default"/>
                <w:color w:val="auto"/>
                <w:highlight w:val="none"/>
              </w:rPr>
            </w:pPr>
            <w:r>
              <w:rPr>
                <w:color w:val="auto"/>
                <w:highlight w:val="none"/>
                <w:lang w:eastAsia="zh-CN"/>
              </w:rPr>
              <w:t>*</w:t>
            </w:r>
            <w:r>
              <w:rPr>
                <w:color w:val="auto"/>
                <w:highlight w:val="none"/>
              </w:rPr>
              <w:t>老师</w:t>
            </w:r>
          </w:p>
        </w:tc>
      </w:tr>
      <w:tr w14:paraId="7F411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88ECAF">
            <w:pPr>
              <w:pStyle w:val="6"/>
              <w:jc w:val="center"/>
              <w:rPr>
                <w:rFonts w:hint="default"/>
                <w:color w:val="auto"/>
                <w:highlight w:val="none"/>
              </w:rPr>
            </w:pPr>
            <w:r>
              <w:rPr>
                <w:color w:val="auto"/>
                <w:highlight w:val="none"/>
              </w:rPr>
              <w:t>住 所</w:t>
            </w:r>
          </w:p>
        </w:tc>
        <w:tc>
          <w:tcPr>
            <w:tcW w:w="4153" w:type="dxa"/>
          </w:tcPr>
          <w:p w14:paraId="38BC6FE9">
            <w:pPr>
              <w:pStyle w:val="6"/>
              <w:rPr>
                <w:rFonts w:hint="default"/>
                <w:color w:val="auto"/>
                <w:highlight w:val="none"/>
              </w:rPr>
            </w:pPr>
            <w:r>
              <w:rPr>
                <w:color w:val="auto"/>
                <w:highlight w:val="none"/>
              </w:rPr>
              <w:t>四川省成都市青羊区一环路西二段32号</w:t>
            </w:r>
          </w:p>
        </w:tc>
      </w:tr>
      <w:tr w14:paraId="67A0A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44E0E1F">
            <w:pPr>
              <w:pStyle w:val="6"/>
              <w:jc w:val="center"/>
              <w:rPr>
                <w:rFonts w:hint="default"/>
                <w:color w:val="auto"/>
                <w:highlight w:val="none"/>
              </w:rPr>
            </w:pPr>
            <w:r>
              <w:rPr>
                <w:color w:val="auto"/>
                <w:highlight w:val="none"/>
              </w:rPr>
              <w:t>开户银行</w:t>
            </w:r>
          </w:p>
        </w:tc>
        <w:tc>
          <w:tcPr>
            <w:tcW w:w="4153" w:type="dxa"/>
          </w:tcPr>
          <w:p w14:paraId="360F10C5">
            <w:pPr>
              <w:pStyle w:val="6"/>
              <w:rPr>
                <w:rFonts w:hint="default"/>
                <w:color w:val="auto"/>
                <w:highlight w:val="none"/>
              </w:rPr>
            </w:pPr>
            <w:r>
              <w:rPr>
                <w:color w:val="auto"/>
                <w:highlight w:val="none"/>
              </w:rPr>
              <w:t>建设银行成都青羊支行</w:t>
            </w:r>
          </w:p>
        </w:tc>
      </w:tr>
      <w:tr w14:paraId="1B30C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5EECDEF">
            <w:pPr>
              <w:pStyle w:val="6"/>
              <w:jc w:val="center"/>
              <w:rPr>
                <w:rFonts w:hint="default"/>
                <w:color w:val="auto"/>
                <w:highlight w:val="none"/>
              </w:rPr>
            </w:pPr>
            <w:r>
              <w:rPr>
                <w:color w:val="auto"/>
                <w:highlight w:val="none"/>
              </w:rPr>
              <w:t>银行账号</w:t>
            </w:r>
          </w:p>
        </w:tc>
        <w:tc>
          <w:tcPr>
            <w:tcW w:w="4153" w:type="dxa"/>
          </w:tcPr>
          <w:p w14:paraId="443165C7">
            <w:pPr>
              <w:pStyle w:val="6"/>
              <w:rPr>
                <w:rFonts w:hint="default"/>
                <w:color w:val="auto"/>
                <w:highlight w:val="none"/>
              </w:rPr>
            </w:pPr>
            <w:r>
              <w:rPr>
                <w:color w:val="auto"/>
                <w:highlight w:val="none"/>
              </w:rPr>
              <w:t>51001446436050374282</w:t>
            </w:r>
          </w:p>
        </w:tc>
      </w:tr>
      <w:tr w14:paraId="1BAD2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50AD9F31">
            <w:pPr>
              <w:pStyle w:val="6"/>
              <w:jc w:val="center"/>
              <w:rPr>
                <w:rFonts w:hint="default"/>
                <w:color w:val="auto"/>
                <w:highlight w:val="none"/>
              </w:rPr>
            </w:pPr>
            <w:r>
              <w:rPr>
                <w:color w:val="auto"/>
                <w:highlight w:val="none"/>
              </w:rPr>
              <w:t>乙方</w:t>
            </w:r>
          </w:p>
        </w:tc>
      </w:tr>
      <w:tr w14:paraId="7CA643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10443A4">
            <w:pPr>
              <w:pStyle w:val="6"/>
              <w:jc w:val="center"/>
              <w:rPr>
                <w:rFonts w:hint="default"/>
                <w:color w:val="auto"/>
                <w:highlight w:val="none"/>
              </w:rPr>
            </w:pPr>
            <w:r>
              <w:rPr>
                <w:color w:val="auto"/>
                <w:highlight w:val="none"/>
              </w:rPr>
              <w:t>单位名称</w:t>
            </w:r>
          </w:p>
        </w:tc>
        <w:tc>
          <w:tcPr>
            <w:tcW w:w="4153" w:type="dxa"/>
          </w:tcPr>
          <w:p w14:paraId="5F204144">
            <w:pPr>
              <w:pStyle w:val="6"/>
              <w:rPr>
                <w:rFonts w:hint="default"/>
                <w:color w:val="auto"/>
                <w:highlight w:val="none"/>
              </w:rPr>
            </w:pPr>
            <w:r>
              <w:rPr>
                <w:color w:val="auto"/>
                <w:highlight w:val="none"/>
              </w:rPr>
              <w:t>（盖章）</w:t>
            </w:r>
          </w:p>
        </w:tc>
      </w:tr>
      <w:tr w14:paraId="40533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7EFF17C">
            <w:pPr>
              <w:pStyle w:val="6"/>
              <w:jc w:val="center"/>
              <w:rPr>
                <w:rFonts w:hint="default"/>
                <w:color w:val="auto"/>
                <w:highlight w:val="none"/>
              </w:rPr>
            </w:pPr>
            <w:r>
              <w:rPr>
                <w:color w:val="auto"/>
                <w:highlight w:val="none"/>
              </w:rPr>
              <w:t>法定代表人或其授权委托代理人（签章）</w:t>
            </w:r>
          </w:p>
        </w:tc>
        <w:tc>
          <w:tcPr>
            <w:tcW w:w="4153" w:type="dxa"/>
          </w:tcPr>
          <w:p w14:paraId="3F7E7ADA">
            <w:pPr>
              <w:pStyle w:val="6"/>
              <w:rPr>
                <w:rFonts w:hint="default"/>
                <w:color w:val="auto"/>
                <w:highlight w:val="none"/>
                <w:lang w:eastAsia="zh-CN"/>
              </w:rPr>
            </w:pPr>
            <w:r>
              <w:rPr>
                <w:color w:val="auto"/>
                <w:highlight w:val="none"/>
                <w:lang w:eastAsia="zh-CN"/>
              </w:rPr>
              <w:t>***</w:t>
            </w:r>
          </w:p>
        </w:tc>
      </w:tr>
      <w:tr w14:paraId="5ECFD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231C1FF">
            <w:pPr>
              <w:pStyle w:val="6"/>
              <w:jc w:val="center"/>
              <w:rPr>
                <w:rFonts w:hint="default"/>
                <w:color w:val="auto"/>
                <w:highlight w:val="none"/>
              </w:rPr>
            </w:pPr>
            <w:r>
              <w:rPr>
                <w:color w:val="auto"/>
                <w:highlight w:val="none"/>
              </w:rPr>
              <w:t>住 所</w:t>
            </w:r>
          </w:p>
        </w:tc>
        <w:tc>
          <w:tcPr>
            <w:tcW w:w="4153" w:type="dxa"/>
          </w:tcPr>
          <w:p w14:paraId="442649A5">
            <w:pPr>
              <w:pStyle w:val="6"/>
              <w:rPr>
                <w:rFonts w:hint="default"/>
                <w:color w:val="auto"/>
                <w:highlight w:val="none"/>
              </w:rPr>
            </w:pPr>
            <w:r>
              <w:rPr>
                <w:color w:val="auto"/>
                <w:highlight w:val="none"/>
                <w:lang w:eastAsia="zh-CN"/>
              </w:rPr>
              <w:t>***</w:t>
            </w:r>
          </w:p>
        </w:tc>
      </w:tr>
      <w:tr w14:paraId="555AA5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CC6BA49">
            <w:pPr>
              <w:pStyle w:val="6"/>
              <w:jc w:val="center"/>
              <w:rPr>
                <w:rFonts w:hint="default"/>
                <w:color w:val="auto"/>
                <w:highlight w:val="none"/>
              </w:rPr>
            </w:pPr>
            <w:r>
              <w:rPr>
                <w:color w:val="auto"/>
                <w:highlight w:val="none"/>
              </w:rPr>
              <w:t>开户银行</w:t>
            </w:r>
          </w:p>
        </w:tc>
        <w:tc>
          <w:tcPr>
            <w:tcW w:w="4153" w:type="dxa"/>
          </w:tcPr>
          <w:p w14:paraId="63B17618">
            <w:pPr>
              <w:pStyle w:val="6"/>
              <w:rPr>
                <w:rFonts w:hint="default"/>
                <w:color w:val="auto"/>
                <w:highlight w:val="none"/>
              </w:rPr>
            </w:pPr>
            <w:r>
              <w:rPr>
                <w:color w:val="auto"/>
                <w:highlight w:val="none"/>
                <w:lang w:eastAsia="zh-CN"/>
              </w:rPr>
              <w:t>***</w:t>
            </w:r>
          </w:p>
        </w:tc>
      </w:tr>
      <w:tr w14:paraId="4A2D7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BAE6B8A">
            <w:pPr>
              <w:pStyle w:val="6"/>
              <w:jc w:val="center"/>
              <w:rPr>
                <w:rFonts w:hint="default"/>
                <w:color w:val="auto"/>
                <w:highlight w:val="none"/>
              </w:rPr>
            </w:pPr>
            <w:r>
              <w:rPr>
                <w:color w:val="auto"/>
                <w:highlight w:val="none"/>
              </w:rPr>
              <w:t>银行账号</w:t>
            </w:r>
          </w:p>
        </w:tc>
        <w:tc>
          <w:tcPr>
            <w:tcW w:w="4153" w:type="dxa"/>
          </w:tcPr>
          <w:p w14:paraId="356F7BF7">
            <w:pPr>
              <w:pStyle w:val="6"/>
              <w:rPr>
                <w:rFonts w:hint="default"/>
                <w:color w:val="auto"/>
                <w:highlight w:val="none"/>
              </w:rPr>
            </w:pPr>
            <w:r>
              <w:rPr>
                <w:color w:val="auto"/>
                <w:highlight w:val="none"/>
                <w:lang w:eastAsia="zh-CN"/>
              </w:rPr>
              <w:t>***</w:t>
            </w:r>
          </w:p>
        </w:tc>
      </w:tr>
    </w:tbl>
    <w:p w14:paraId="2C4989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Wingdings 2">
    <w:altName w:val="Wingdings"/>
    <w:panose1 w:val="05020102010507070707"/>
    <w:charset w:val="4D"/>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ongti SC">
    <w:altName w:val="宋体"/>
    <w:panose1 w:val="02010600040101010101"/>
    <w:charset w:val="86"/>
    <w:family w:val="auto"/>
    <w:pitch w:val="default"/>
    <w:sig w:usb0="00000000" w:usb1="00000000" w:usb2="00000010" w:usb3="00000000" w:csb0="0004009F" w:csb1="0000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5D0F66"/>
    <w:multiLevelType w:val="multilevel"/>
    <w:tmpl w:val="E75D0F66"/>
    <w:lvl w:ilvl="0" w:tentative="0">
      <w:start w:val="1"/>
      <w:numFmt w:val="decimal"/>
      <w:suff w:val="nothing"/>
      <w:lvlText w:val="（%1）"/>
      <w:lvlJc w:val="left"/>
      <w:pPr>
        <w:ind w:left="0" w:firstLine="0"/>
      </w:pPr>
      <w:rPr>
        <w:rFonts w:hint="default" w:ascii="Times New Roman" w:hAnsi="Times New Roman"/>
        <w:sz w:val="21"/>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4339C86"/>
    <w:multiLevelType w:val="multilevel"/>
    <w:tmpl w:val="34339C86"/>
    <w:lvl w:ilvl="0" w:tentative="0">
      <w:start w:val="1"/>
      <w:numFmt w:val="decimal"/>
      <w:suff w:val="nothing"/>
      <w:lvlText w:val="%1)"/>
      <w:lvlJc w:val="left"/>
      <w:pPr>
        <w:ind w:left="454" w:firstLine="0"/>
      </w:pPr>
      <w:rPr>
        <w:rFonts w:hint="default" w:ascii="Times New Roman" w:hAnsi="Times New Roman"/>
        <w:sz w:val="21"/>
        <w:szCs w:val="24"/>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2">
    <w:nsid w:val="7A932400"/>
    <w:multiLevelType w:val="multilevel"/>
    <w:tmpl w:val="7A93240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D7E9E"/>
    <w:rsid w:val="1BAD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Times New Roman"/>
    </w:rPr>
  </w:style>
  <w:style w:type="paragraph" w:styleId="3">
    <w:name w:val="Body Text First Indent"/>
    <w:basedOn w:val="2"/>
    <w:semiHidden/>
    <w:unhideWhenUsed/>
    <w:qFormat/>
    <w:uiPriority w:val="99"/>
    <w:pPr>
      <w:spacing w:line="440" w:lineRule="exact"/>
      <w:ind w:firstLine="420" w:firstLineChars="200"/>
    </w:pPr>
    <w:rPr>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0"/>
    <w:pPr>
      <w:ind w:left="720"/>
      <w:contextualSpacing/>
    </w:pPr>
  </w:style>
  <w:style w:type="paragraph" w:customStyle="1" w:styleId="8">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2026-03-24T14:20:00Z</dcterms:created>
  <dc:creator>SHJ</dc:creator>
  <cp:lastModifiedBy>SHJ</cp:lastModifiedBy>
  <dcterms:modified xsi:type="dcterms:W3CDTF">2026-03-24T14:20:18Z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7BE26362A3824B6A84F12E5668C23EE2_11</vt:lpwstr>
  </property>
  <property fmtid="{D5CDD505-2E9C-101B-9397-08002B2CF9AE}" pid="4" name="KSOTemplateDocerSaveRecord">
    <vt:lpwstr>eyJoZGlkIjoiMDE3YTM2YjNhMDYxODU0MmRjMWE4OTJhYmFlYmNjYTIiLCJ1c2VySWQiOiI2NTgwMTYxNjcifQ==</vt:lpwstr>
  </property>
</Properties>
</file>