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版本号：N511901202600003520260402002</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零星违法建（构）筑物和广告、占道物拆（清）除服务项目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N5119012026000035</w:t>
      </w:r>
    </w:p>
    <w:p>
      <w:pPr>
        <w:pStyle w:val="null3"/>
        <w:jc w:val="center"/>
        <w:outlineLvl w:val="2"/>
      </w:pPr>
      <w:r>
        <w:rPr>
          <w:rFonts w:ascii="仿宋_GB2312" w:hAnsi="仿宋_GB2312" w:cs="仿宋_GB2312" w:eastAsia="仿宋_GB2312"/>
          <w:sz w:val="28"/>
          <w:b/>
        </w:rPr>
        <w:t>巴中市综合行政执法局</w:t>
      </w:r>
    </w:p>
    <w:p>
      <w:pPr>
        <w:pStyle w:val="null3"/>
        <w:jc w:val="center"/>
        <w:outlineLvl w:val="2"/>
      </w:pPr>
      <w:r>
        <w:rPr>
          <w:rFonts w:ascii="仿宋_GB2312" w:hAnsi="仿宋_GB2312" w:cs="仿宋_GB2312" w:eastAsia="仿宋_GB2312"/>
          <w:sz w:val="28"/>
          <w:b/>
        </w:rPr>
        <w:t>四川航迈工程项目咨询有限公司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四川航迈工程项目咨询有限公司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巴中市综合行政执法局</w:t>
      </w:r>
      <w:r>
        <w:rPr>
          <w:rFonts w:ascii="仿宋_GB2312" w:hAnsi="仿宋_GB2312" w:cs="仿宋_GB2312" w:eastAsia="仿宋_GB2312"/>
        </w:rPr>
        <w:t xml:space="preserve"> 委托，拟对 </w:t>
      </w:r>
      <w:r>
        <w:rPr>
          <w:rFonts w:ascii="仿宋_GB2312" w:hAnsi="仿宋_GB2312" w:cs="仿宋_GB2312" w:eastAsia="仿宋_GB2312"/>
        </w:rPr>
        <w:t>零星违法建（构）筑物和广告、占道物拆（清）除服务项目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巴中市市本级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N5119012026000035</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零星违法建（构）筑物和广告、占道物拆（清）除服务项目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为深入治理辖区违法建构（筑）物、违规破损广告招牌、占道物等，由成交供应商提供相应拆除、清除、清运服务，主要包括拆除违法建 （构）筑物、清除占道物品、清运垃圾、清理广告招牌。实际金额根据实际工作量据实支付且不超过2600000.00元/年，服务期3年，合同一年一签。年度内因供应商原因发生安全责任事故或者被市级及以上单位通报批评、市级以上媒体曝光的，提前终止合同。</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巴中市综合行政执法局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巴中市巴州区江北大道中段77号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何先生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0827-5268019</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四川航迈工程项目咨询有限公司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四川省巴中市巴州区黄家沟西部国际商贸城世界风味美食街8栋F3单元3层2号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0827-5191555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采购包1：2,600,000.00元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代理服务费收费标准：参照国家计委计价格[2020]1980号规定下浮5%收取</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巴中市综合行政执法局</w:t>
      </w:r>
      <w:r>
        <w:rPr>
          <w:rFonts w:ascii="仿宋_GB2312" w:hAnsi="仿宋_GB2312" w:cs="仿宋_GB2312" w:eastAsia="仿宋_GB2312"/>
        </w:rPr>
        <w:t xml:space="preserve"> 和 </w:t>
      </w:r>
      <w:r>
        <w:rPr>
          <w:rFonts w:ascii="仿宋_GB2312" w:hAnsi="仿宋_GB2312" w:cs="仿宋_GB2312" w:eastAsia="仿宋_GB2312"/>
        </w:rPr>
        <w:t>四川航迈工程项目咨询有限公司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巴中市综合行政执法局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四川航迈工程项目咨询有限公司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本项目为分批次据实验收，拆迁任务完成后，每季度供应商向采购人提出验收申请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本项目为分批次据实验收，拆迁任务完成后，每季度供应商向采购人提出验收申请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3、</w:t>
      </w:r>
      <w:r>
        <w:rPr>
          <w:rFonts w:ascii="仿宋_GB2312" w:hAnsi="仿宋_GB2312" w:cs="仿宋_GB2312" w:eastAsia="仿宋_GB2312"/>
        </w:rPr>
        <w:t xml:space="preserve"> 验收条件说明： </w:t>
      </w:r>
      <w:r>
        <w:rPr>
          <w:rFonts w:ascii="仿宋_GB2312" w:hAnsi="仿宋_GB2312" w:cs="仿宋_GB2312" w:eastAsia="仿宋_GB2312"/>
        </w:rPr>
        <w:t>本项目为分批次据实验收，拆迁任务完成后，每季度供应商向采购人提出验收申请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4、</w:t>
      </w:r>
      <w:r>
        <w:rPr>
          <w:rFonts w:ascii="仿宋_GB2312" w:hAnsi="仿宋_GB2312" w:cs="仿宋_GB2312" w:eastAsia="仿宋_GB2312"/>
        </w:rPr>
        <w:t xml:space="preserve"> 验收条件说明： </w:t>
      </w:r>
      <w:r>
        <w:rPr>
          <w:rFonts w:ascii="仿宋_GB2312" w:hAnsi="仿宋_GB2312" w:cs="仿宋_GB2312" w:eastAsia="仿宋_GB2312"/>
        </w:rPr>
        <w:t>本项目为分批次据实验收，拆迁任务完成后，每季度供应商向采购人提出验收申请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签订合同时约定</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采购文件的质量要求和技术指标、成交供应商的投标文件及承诺以及合同约定标准</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采购文件的商务要求、成交供应商的投标文件及承诺以及合同约定标准</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按照《财政部关于进一步加强政府采购需求和履约验收管理的指导意见》（财库〔2 016〕205号）要求、采购文件的质量要求和技术指标、中标人的投标文件及承诺以及合同约定标准进行验收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巴中市综合行政执法局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四川航迈工程项目咨询有限公司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四川航迈工程项目咨询有限公司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联系人：何先生</w:t>
      </w:r>
    </w:p>
    <w:p>
      <w:pPr>
        <w:pStyle w:val="null3"/>
        <w:jc w:val="left"/>
      </w:pPr>
      <w:r>
        <w:rPr>
          <w:rFonts w:ascii="仿宋_GB2312" w:hAnsi="仿宋_GB2312" w:cs="仿宋_GB2312" w:eastAsia="仿宋_GB2312"/>
        </w:rPr>
        <w:t>联系电话：0827-5268019</w:t>
      </w:r>
    </w:p>
    <w:p>
      <w:pPr>
        <w:pStyle w:val="null3"/>
        <w:jc w:val="left"/>
      </w:pPr>
      <w:r>
        <w:rPr>
          <w:rFonts w:ascii="仿宋_GB2312" w:hAnsi="仿宋_GB2312" w:cs="仿宋_GB2312" w:eastAsia="仿宋_GB2312"/>
        </w:rPr>
        <w:t>地址：巴中市巴州区江北大道中段77号</w:t>
      </w:r>
    </w:p>
    <w:p>
      <w:pPr>
        <w:pStyle w:val="null3"/>
        <w:jc w:val="left"/>
      </w:pPr>
      <w:r>
        <w:rPr>
          <w:rFonts w:ascii="仿宋_GB2312" w:hAnsi="仿宋_GB2312" w:cs="仿宋_GB2312" w:eastAsia="仿宋_GB2312"/>
        </w:rPr>
        <w:t>邮编：636000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联系人：张先生</w:t>
      </w:r>
    </w:p>
    <w:p>
      <w:pPr>
        <w:pStyle w:val="null3"/>
        <w:jc w:val="left"/>
      </w:pPr>
      <w:r>
        <w:rPr>
          <w:rFonts w:ascii="仿宋_GB2312" w:hAnsi="仿宋_GB2312" w:cs="仿宋_GB2312" w:eastAsia="仿宋_GB2312"/>
        </w:rPr>
        <w:t>联系电话：0827-5191555</w:t>
      </w:r>
    </w:p>
    <w:p>
      <w:pPr>
        <w:pStyle w:val="null3"/>
        <w:jc w:val="left"/>
      </w:pPr>
      <w:r>
        <w:rPr>
          <w:rFonts w:ascii="仿宋_GB2312" w:hAnsi="仿宋_GB2312" w:cs="仿宋_GB2312" w:eastAsia="仿宋_GB2312"/>
        </w:rPr>
        <w:t>地址：四川省巴中市巴州区黄家沟西部国际商贸城世界风味美食街8栋F3单元3层2号</w:t>
      </w:r>
    </w:p>
    <w:p>
      <w:pPr>
        <w:pStyle w:val="null3"/>
        <w:jc w:val="left"/>
      </w:pPr>
      <w:r>
        <w:rPr>
          <w:rFonts w:ascii="仿宋_GB2312" w:hAnsi="仿宋_GB2312" w:cs="仿宋_GB2312" w:eastAsia="仿宋_GB2312"/>
        </w:rPr>
        <w:t>邮编：636000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2,600,000.00</w:t>
      </w:r>
    </w:p>
    <w:p>
      <w:pPr>
        <w:pStyle w:val="null3"/>
        <w:jc w:val="left"/>
      </w:pPr>
      <w:r>
        <w:rPr>
          <w:rFonts w:ascii="仿宋_GB2312" w:hAnsi="仿宋_GB2312" w:cs="仿宋_GB2312" w:eastAsia="仿宋_GB2312"/>
        </w:rPr>
        <w:t>采购包最高限价（元）: 2,600,000.00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C99000000 其他服务</w:t>
            </w:r>
          </w:p>
        </w:tc>
        <w:tc>
          <w:tcPr>
            <w:tcW w:type="dxa" w:w="821"/>
          </w:tcPr>
          <w:p>
            <w:pPr>
              <w:pStyle w:val="null3"/>
              <w:jc w:val="left"/>
            </w:pPr>
            <w:r>
              <w:rPr>
                <w:rFonts w:ascii="仿宋_GB2312" w:hAnsi="仿宋_GB2312" w:cs="仿宋_GB2312" w:eastAsia="仿宋_GB2312"/>
              </w:rPr>
              <w:t>零星违法建（构）筑物和广告、占道物拆（清）除服务项目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2,600,000.00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零星违法建（构）筑物和广告、占道物拆（清）除服务项目</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不设定</w:t>
            </w:r>
          </w:p>
        </w:tc>
        <w:tc>
          <w:tcPr>
            <w:tcW w:type="dxa" w:w="977"/>
          </w:tcPr>
          <w:p>
            <w:pPr>
              <w:pStyle w:val="null3"/>
              <w:jc w:val="center"/>
            </w:pPr>
            <w:r>
              <w:rPr>
                <w:rFonts w:ascii="仿宋_GB2312" w:hAnsi="仿宋_GB2312" w:cs="仿宋_GB2312" w:eastAsia="仿宋_GB2312"/>
              </w:rPr>
              <w:t>统一折扣率</w:t>
            </w:r>
          </w:p>
        </w:tc>
        <w:tc>
          <w:tcPr>
            <w:tcW w:type="dxa" w:w="1466"/>
          </w:tcPr>
          <w:p>
            <w:pPr>
              <w:pStyle w:val="null3"/>
              <w:jc w:val="left"/>
            </w:pPr>
            <w:r>
              <w:rPr>
                <w:rFonts w:ascii="仿宋_GB2312" w:hAnsi="仿宋_GB2312" w:cs="仿宋_GB2312" w:eastAsia="仿宋_GB2312"/>
              </w:rPr>
              <w:t>供应商须以所列单价最高限价为基准，采用统一折扣率进行报价，折扣率最低的报价为基准价，例：供应商 A 折扣率为 90%， 供应商 B 折扣率为 80%，则供应商B 的报价比供应商 A 低，其报价为基准价；若 100 元为最高限 价，80%折扣率的报价则为 80 元。</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标的名称：零星违法建（构）筑物和广告、占道物拆（清）除服务项目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2142"/>
              <w:gridCol w:w="1540"/>
              <w:gridCol w:w="790"/>
              <w:gridCol w:w="1126"/>
            </w:tblGrid>
            <w:tr>
              <w:tc>
                <w:tcPr>
                  <w:tcW w:type="dxa" w:w="21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项目名称</w:t>
                  </w:r>
                </w:p>
                <w:p>
                  <w:pPr>
                    <w:pStyle w:val="null3"/>
                    <w:jc w:val="center"/>
                  </w:pPr>
                </w:p>
              </w:tc>
              <w:tc>
                <w:tcPr>
                  <w:tcW w:type="dxa" w:w="15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计量单位</w:t>
                  </w:r>
                </w:p>
                <w:p>
                  <w:pPr>
                    <w:pStyle w:val="null3"/>
                    <w:jc w:val="center"/>
                  </w:pPr>
                </w:p>
              </w:tc>
              <w:tc>
                <w:tcPr>
                  <w:tcW w:type="dxa" w:w="7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工程量</w:t>
                  </w:r>
                </w:p>
                <w:p>
                  <w:pPr>
                    <w:pStyle w:val="null3"/>
                    <w:jc w:val="center"/>
                  </w:pPr>
                </w:p>
              </w:tc>
              <w:tc>
                <w:tcPr>
                  <w:tcW w:type="dxa" w:w="11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单价最高限价（元）</w:t>
                  </w:r>
                </w:p>
                <w:p>
                  <w:pPr>
                    <w:pStyle w:val="null3"/>
                    <w:jc w:val="center"/>
                  </w:pPr>
                </w:p>
              </w:tc>
            </w:tr>
            <w:tr>
              <w:tc>
                <w:tcPr>
                  <w:tcW w:type="dxa" w:w="2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土坯房拆除（高空作业）</w:t>
                  </w:r>
                </w:p>
                <w:p>
                  <w:pPr>
                    <w:pStyle w:val="null3"/>
                    <w:jc w:val="center"/>
                  </w:pPr>
                </w:p>
              </w:tc>
              <w:tc>
                <w:tcPr>
                  <w:tcW w:type="dxa" w:w="1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m2</w:t>
                  </w:r>
                </w:p>
                <w:p>
                  <w:pPr>
                    <w:pStyle w:val="null3"/>
                    <w:jc w:val="center"/>
                  </w:pPr>
                </w:p>
              </w:tc>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24.05</w:t>
                  </w:r>
                </w:p>
                <w:p>
                  <w:pPr>
                    <w:pStyle w:val="null3"/>
                    <w:jc w:val="center"/>
                  </w:pPr>
                </w:p>
              </w:tc>
            </w:tr>
            <w:tr>
              <w:tc>
                <w:tcPr>
                  <w:tcW w:type="dxa" w:w="2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砖混结构、框架结构建构筑物拆除</w:t>
                  </w:r>
                  <w:r>
                    <w:rPr>
                      <w:rFonts w:ascii="仿宋_GB2312" w:hAnsi="仿宋_GB2312" w:cs="仿宋_GB2312" w:eastAsia="仿宋_GB2312"/>
                      <w:sz w:val="28"/>
                      <w:color w:val="000000"/>
                    </w:rPr>
                    <w:t>（高空作业）</w:t>
                  </w:r>
                </w:p>
                <w:p>
                  <w:pPr>
                    <w:pStyle w:val="null3"/>
                    <w:jc w:val="center"/>
                  </w:pPr>
                </w:p>
              </w:tc>
              <w:tc>
                <w:tcPr>
                  <w:tcW w:type="dxa" w:w="1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m2</w:t>
                  </w:r>
                </w:p>
                <w:p>
                  <w:pPr>
                    <w:pStyle w:val="null3"/>
                    <w:jc w:val="center"/>
                  </w:pPr>
                </w:p>
              </w:tc>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61.51</w:t>
                  </w:r>
                </w:p>
                <w:p>
                  <w:pPr>
                    <w:pStyle w:val="null3"/>
                    <w:jc w:val="center"/>
                  </w:pPr>
                </w:p>
              </w:tc>
            </w:tr>
            <w:tr>
              <w:tc>
                <w:tcPr>
                  <w:tcW w:type="dxa" w:w="2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土坯房拆除（机械作业）</w:t>
                  </w:r>
                </w:p>
                <w:p>
                  <w:pPr>
                    <w:pStyle w:val="null3"/>
                    <w:jc w:val="center"/>
                  </w:pPr>
                </w:p>
              </w:tc>
              <w:tc>
                <w:tcPr>
                  <w:tcW w:type="dxa" w:w="1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m2</w:t>
                  </w:r>
                </w:p>
                <w:p>
                  <w:pPr>
                    <w:pStyle w:val="null3"/>
                    <w:jc w:val="center"/>
                  </w:pPr>
                </w:p>
              </w:tc>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17.68</w:t>
                  </w:r>
                </w:p>
                <w:p>
                  <w:pPr>
                    <w:pStyle w:val="null3"/>
                    <w:jc w:val="center"/>
                  </w:pPr>
                </w:p>
              </w:tc>
            </w:tr>
            <w:tr>
              <w:tc>
                <w:tcPr>
                  <w:tcW w:type="dxa" w:w="2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砖混结构、框架结构建构筑物拆除</w:t>
                  </w:r>
                </w:p>
                <w:p>
                  <w:pPr>
                    <w:pStyle w:val="null3"/>
                    <w:jc w:val="center"/>
                  </w:pPr>
                  <w:r>
                    <w:rPr>
                      <w:rFonts w:ascii="仿宋_GB2312" w:hAnsi="仿宋_GB2312" w:cs="仿宋_GB2312" w:eastAsia="仿宋_GB2312"/>
                      <w:sz w:val="28"/>
                      <w:color w:val="000000"/>
                    </w:rPr>
                    <w:t>（机械拆除）</w:t>
                  </w:r>
                </w:p>
                <w:p>
                  <w:pPr>
                    <w:pStyle w:val="null3"/>
                    <w:jc w:val="center"/>
                  </w:pPr>
                </w:p>
              </w:tc>
              <w:tc>
                <w:tcPr>
                  <w:tcW w:type="dxa" w:w="1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m2</w:t>
                  </w:r>
                </w:p>
                <w:p>
                  <w:pPr>
                    <w:pStyle w:val="null3"/>
                    <w:jc w:val="center"/>
                  </w:pPr>
                </w:p>
              </w:tc>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21.96</w:t>
                  </w:r>
                </w:p>
                <w:p>
                  <w:pPr>
                    <w:pStyle w:val="null3"/>
                    <w:jc w:val="center"/>
                  </w:pPr>
                </w:p>
              </w:tc>
            </w:tr>
            <w:tr>
              <w:tc>
                <w:tcPr>
                  <w:tcW w:type="dxa" w:w="2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其他棚顶、雨棚拆除</w:t>
                  </w:r>
                </w:p>
                <w:p>
                  <w:pPr>
                    <w:pStyle w:val="null3"/>
                    <w:jc w:val="center"/>
                  </w:pPr>
                </w:p>
              </w:tc>
              <w:tc>
                <w:tcPr>
                  <w:tcW w:type="dxa" w:w="1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m2</w:t>
                  </w:r>
                </w:p>
                <w:p>
                  <w:pPr>
                    <w:pStyle w:val="null3"/>
                    <w:jc w:val="center"/>
                  </w:pPr>
                </w:p>
              </w:tc>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23.30</w:t>
                  </w:r>
                </w:p>
                <w:p>
                  <w:pPr>
                    <w:pStyle w:val="null3"/>
                    <w:jc w:val="center"/>
                  </w:pPr>
                </w:p>
              </w:tc>
            </w:tr>
            <w:tr>
              <w:tc>
                <w:tcPr>
                  <w:tcW w:type="dxa" w:w="2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氧焊切割</w:t>
                  </w:r>
                </w:p>
                <w:p>
                  <w:pPr>
                    <w:pStyle w:val="null3"/>
                    <w:jc w:val="center"/>
                  </w:pPr>
                </w:p>
              </w:tc>
              <w:tc>
                <w:tcPr>
                  <w:tcW w:type="dxa" w:w="1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台班</w:t>
                  </w:r>
                </w:p>
                <w:p>
                  <w:pPr>
                    <w:pStyle w:val="null3"/>
                    <w:jc w:val="center"/>
                  </w:pPr>
                </w:p>
              </w:tc>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196.50</w:t>
                  </w:r>
                </w:p>
                <w:p>
                  <w:pPr>
                    <w:pStyle w:val="null3"/>
                    <w:jc w:val="center"/>
                  </w:pPr>
                </w:p>
              </w:tc>
            </w:tr>
            <w:tr>
              <w:tc>
                <w:tcPr>
                  <w:tcW w:type="dxa" w:w="2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200型号及以下挖掘机</w:t>
                  </w:r>
                </w:p>
                <w:p>
                  <w:pPr>
                    <w:pStyle w:val="null3"/>
                    <w:jc w:val="center"/>
                  </w:pPr>
                </w:p>
              </w:tc>
              <w:tc>
                <w:tcPr>
                  <w:tcW w:type="dxa" w:w="1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台班</w:t>
                  </w:r>
                </w:p>
                <w:p>
                  <w:pPr>
                    <w:pStyle w:val="null3"/>
                    <w:jc w:val="center"/>
                  </w:pPr>
                </w:p>
              </w:tc>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1494.69</w:t>
                  </w:r>
                </w:p>
                <w:p>
                  <w:pPr>
                    <w:pStyle w:val="null3"/>
                    <w:jc w:val="center"/>
                  </w:pPr>
                </w:p>
              </w:tc>
            </w:tr>
            <w:tr>
              <w:tc>
                <w:tcPr>
                  <w:tcW w:type="dxa" w:w="2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200型号及</w:t>
                  </w:r>
                  <w:r>
                    <w:rPr>
                      <w:rFonts w:ascii="仿宋_GB2312" w:hAnsi="仿宋_GB2312" w:cs="仿宋_GB2312" w:eastAsia="仿宋_GB2312"/>
                      <w:sz w:val="28"/>
                    </w:rPr>
                    <w:t>以下</w:t>
                  </w:r>
                  <w:r>
                    <w:rPr>
                      <w:rFonts w:ascii="仿宋_GB2312" w:hAnsi="仿宋_GB2312" w:cs="仿宋_GB2312" w:eastAsia="仿宋_GB2312"/>
                      <w:sz w:val="28"/>
                      <w:color w:val="000000"/>
                    </w:rPr>
                    <w:t>挖掘机进出场费</w:t>
                  </w:r>
                </w:p>
                <w:p>
                  <w:pPr>
                    <w:pStyle w:val="null3"/>
                    <w:jc w:val="center"/>
                  </w:pPr>
                </w:p>
              </w:tc>
              <w:tc>
                <w:tcPr>
                  <w:tcW w:type="dxa" w:w="1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台次</w:t>
                  </w:r>
                </w:p>
                <w:p>
                  <w:pPr>
                    <w:pStyle w:val="null3"/>
                    <w:jc w:val="center"/>
                  </w:pPr>
                </w:p>
              </w:tc>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2742.07</w:t>
                  </w:r>
                </w:p>
                <w:p>
                  <w:pPr>
                    <w:pStyle w:val="null3"/>
                    <w:jc w:val="center"/>
                  </w:pPr>
                </w:p>
              </w:tc>
            </w:tr>
            <w:tr>
              <w:tc>
                <w:tcPr>
                  <w:tcW w:type="dxa" w:w="2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30号装载机</w:t>
                  </w:r>
                </w:p>
                <w:p>
                  <w:pPr>
                    <w:pStyle w:val="null3"/>
                    <w:jc w:val="center"/>
                  </w:pPr>
                </w:p>
              </w:tc>
              <w:tc>
                <w:tcPr>
                  <w:tcW w:type="dxa" w:w="1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台班</w:t>
                  </w:r>
                </w:p>
                <w:p>
                  <w:pPr>
                    <w:pStyle w:val="null3"/>
                    <w:jc w:val="center"/>
                  </w:pPr>
                </w:p>
              </w:tc>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1377.34</w:t>
                  </w:r>
                </w:p>
                <w:p>
                  <w:pPr>
                    <w:pStyle w:val="null3"/>
                    <w:jc w:val="center"/>
                  </w:pPr>
                </w:p>
              </w:tc>
            </w:tr>
            <w:tr>
              <w:tc>
                <w:tcPr>
                  <w:tcW w:type="dxa" w:w="2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50号装载机</w:t>
                  </w:r>
                </w:p>
                <w:p>
                  <w:pPr>
                    <w:pStyle w:val="null3"/>
                    <w:jc w:val="center"/>
                  </w:pPr>
                </w:p>
              </w:tc>
              <w:tc>
                <w:tcPr>
                  <w:tcW w:type="dxa" w:w="1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台班</w:t>
                  </w:r>
                </w:p>
                <w:p>
                  <w:pPr>
                    <w:pStyle w:val="null3"/>
                    <w:jc w:val="center"/>
                  </w:pPr>
                </w:p>
              </w:tc>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1950.27</w:t>
                  </w:r>
                </w:p>
                <w:p>
                  <w:pPr>
                    <w:pStyle w:val="null3"/>
                    <w:jc w:val="center"/>
                  </w:pPr>
                </w:p>
              </w:tc>
            </w:tr>
            <w:tr>
              <w:tc>
                <w:tcPr>
                  <w:tcW w:type="dxa" w:w="2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25吨及以下起重吊车</w:t>
                  </w:r>
                </w:p>
                <w:p>
                  <w:pPr>
                    <w:pStyle w:val="null3"/>
                    <w:jc w:val="center"/>
                  </w:pPr>
                </w:p>
              </w:tc>
              <w:tc>
                <w:tcPr>
                  <w:tcW w:type="dxa" w:w="1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台班</w:t>
                  </w:r>
                </w:p>
                <w:p>
                  <w:pPr>
                    <w:pStyle w:val="null3"/>
                    <w:jc w:val="center"/>
                  </w:pPr>
                </w:p>
              </w:tc>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1227.31</w:t>
                  </w:r>
                </w:p>
                <w:p>
                  <w:pPr>
                    <w:pStyle w:val="null3"/>
                    <w:jc w:val="center"/>
                  </w:pPr>
                </w:p>
              </w:tc>
            </w:tr>
            <w:tr>
              <w:tc>
                <w:tcPr>
                  <w:tcW w:type="dxa" w:w="2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r>
                    <w:rPr>
                      <w:rFonts w:ascii="仿宋_GB2312" w:hAnsi="仿宋_GB2312" w:cs="仿宋_GB2312" w:eastAsia="仿宋_GB2312"/>
                      <w:sz w:val="28"/>
                      <w:color w:val="000000"/>
                    </w:rPr>
                    <w:t>25吨又≤30吨起重吊车</w:t>
                  </w:r>
                </w:p>
                <w:p>
                  <w:pPr>
                    <w:pStyle w:val="null3"/>
                    <w:jc w:val="center"/>
                  </w:pPr>
                </w:p>
              </w:tc>
              <w:tc>
                <w:tcPr>
                  <w:tcW w:type="dxa" w:w="1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台班</w:t>
                  </w:r>
                </w:p>
                <w:p>
                  <w:pPr>
                    <w:pStyle w:val="null3"/>
                    <w:jc w:val="center"/>
                  </w:pPr>
                </w:p>
              </w:tc>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1355.12</w:t>
                  </w:r>
                </w:p>
                <w:p>
                  <w:pPr>
                    <w:pStyle w:val="null3"/>
                    <w:jc w:val="center"/>
                  </w:pPr>
                </w:p>
              </w:tc>
            </w:tr>
            <w:tr>
              <w:tc>
                <w:tcPr>
                  <w:tcW w:type="dxa" w:w="2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r>
                    <w:rPr>
                      <w:rFonts w:ascii="仿宋_GB2312" w:hAnsi="仿宋_GB2312" w:cs="仿宋_GB2312" w:eastAsia="仿宋_GB2312"/>
                      <w:sz w:val="28"/>
                      <w:color w:val="000000"/>
                    </w:rPr>
                    <w:t>30吨又≤50吨起重吊车</w:t>
                  </w:r>
                </w:p>
                <w:p>
                  <w:pPr>
                    <w:pStyle w:val="null3"/>
                    <w:jc w:val="center"/>
                  </w:pPr>
                </w:p>
              </w:tc>
              <w:tc>
                <w:tcPr>
                  <w:tcW w:type="dxa" w:w="1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台班</w:t>
                  </w:r>
                </w:p>
                <w:p>
                  <w:pPr>
                    <w:pStyle w:val="null3"/>
                    <w:jc w:val="center"/>
                  </w:pPr>
                </w:p>
              </w:tc>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1902.63</w:t>
                  </w:r>
                </w:p>
                <w:p>
                  <w:pPr>
                    <w:pStyle w:val="null3"/>
                    <w:jc w:val="center"/>
                  </w:pPr>
                </w:p>
              </w:tc>
            </w:tr>
            <w:tr>
              <w:tc>
                <w:tcPr>
                  <w:tcW w:type="dxa" w:w="2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水平运输机械台班（准载</w:t>
                  </w:r>
                  <w:r>
                    <w:rPr>
                      <w:rFonts w:ascii="仿宋_GB2312" w:hAnsi="仿宋_GB2312" w:cs="仿宋_GB2312" w:eastAsia="仿宋_GB2312"/>
                      <w:sz w:val="28"/>
                      <w:color w:val="000000"/>
                    </w:rPr>
                    <w:t>0.5吨）</w:t>
                  </w:r>
                </w:p>
                <w:p>
                  <w:pPr>
                    <w:pStyle w:val="null3"/>
                    <w:jc w:val="center"/>
                  </w:pPr>
                </w:p>
              </w:tc>
              <w:tc>
                <w:tcPr>
                  <w:tcW w:type="dxa" w:w="1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台班</w:t>
                  </w:r>
                </w:p>
                <w:p>
                  <w:pPr>
                    <w:pStyle w:val="null3"/>
                    <w:jc w:val="center"/>
                  </w:pPr>
                </w:p>
              </w:tc>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144.49</w:t>
                  </w:r>
                </w:p>
                <w:p>
                  <w:pPr>
                    <w:pStyle w:val="null3"/>
                    <w:jc w:val="center"/>
                  </w:pPr>
                </w:p>
              </w:tc>
            </w:tr>
            <w:tr>
              <w:tc>
                <w:tcPr>
                  <w:tcW w:type="dxa" w:w="2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水平运输机械台班（准载</w:t>
                  </w:r>
                  <w:r>
                    <w:rPr>
                      <w:rFonts w:ascii="仿宋_GB2312" w:hAnsi="仿宋_GB2312" w:cs="仿宋_GB2312" w:eastAsia="仿宋_GB2312"/>
                      <w:sz w:val="28"/>
                      <w:color w:val="000000"/>
                    </w:rPr>
                    <w:t>1吨）</w:t>
                  </w:r>
                </w:p>
                <w:p>
                  <w:pPr>
                    <w:pStyle w:val="null3"/>
                    <w:jc w:val="center"/>
                  </w:pPr>
                </w:p>
              </w:tc>
              <w:tc>
                <w:tcPr>
                  <w:tcW w:type="dxa" w:w="1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台班</w:t>
                  </w:r>
                </w:p>
                <w:p>
                  <w:pPr>
                    <w:pStyle w:val="null3"/>
                    <w:jc w:val="center"/>
                  </w:pPr>
                </w:p>
              </w:tc>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288.98</w:t>
                  </w:r>
                </w:p>
                <w:p>
                  <w:pPr>
                    <w:pStyle w:val="null3"/>
                    <w:jc w:val="center"/>
                  </w:pPr>
                </w:p>
              </w:tc>
            </w:tr>
            <w:tr>
              <w:tc>
                <w:tcPr>
                  <w:tcW w:type="dxa" w:w="2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水平运输机械台班（准载</w:t>
                  </w:r>
                  <w:r>
                    <w:rPr>
                      <w:rFonts w:ascii="仿宋_GB2312" w:hAnsi="仿宋_GB2312" w:cs="仿宋_GB2312" w:eastAsia="仿宋_GB2312"/>
                      <w:sz w:val="28"/>
                      <w:color w:val="000000"/>
                    </w:rPr>
                    <w:t>2吨）</w:t>
                  </w:r>
                </w:p>
                <w:p>
                  <w:pPr>
                    <w:pStyle w:val="null3"/>
                    <w:jc w:val="center"/>
                  </w:pPr>
                </w:p>
              </w:tc>
              <w:tc>
                <w:tcPr>
                  <w:tcW w:type="dxa" w:w="1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台班</w:t>
                  </w:r>
                </w:p>
                <w:p>
                  <w:pPr>
                    <w:pStyle w:val="null3"/>
                    <w:jc w:val="center"/>
                  </w:pPr>
                </w:p>
              </w:tc>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577.98</w:t>
                  </w:r>
                </w:p>
                <w:p>
                  <w:pPr>
                    <w:pStyle w:val="null3"/>
                    <w:jc w:val="center"/>
                  </w:pPr>
                </w:p>
              </w:tc>
            </w:tr>
            <w:tr>
              <w:tc>
                <w:tcPr>
                  <w:tcW w:type="dxa" w:w="2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水平运输机械台班（准载</w:t>
                  </w:r>
                  <w:r>
                    <w:rPr>
                      <w:rFonts w:ascii="仿宋_GB2312" w:hAnsi="仿宋_GB2312" w:cs="仿宋_GB2312" w:eastAsia="仿宋_GB2312"/>
                      <w:sz w:val="28"/>
                      <w:color w:val="000000"/>
                    </w:rPr>
                    <w:t>3吨）</w:t>
                  </w:r>
                </w:p>
                <w:p>
                  <w:pPr>
                    <w:pStyle w:val="null3"/>
                    <w:jc w:val="center"/>
                  </w:pPr>
                </w:p>
              </w:tc>
              <w:tc>
                <w:tcPr>
                  <w:tcW w:type="dxa" w:w="1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台班</w:t>
                  </w:r>
                </w:p>
                <w:p>
                  <w:pPr>
                    <w:pStyle w:val="null3"/>
                    <w:jc w:val="center"/>
                  </w:pPr>
                </w:p>
              </w:tc>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635.94</w:t>
                  </w:r>
                </w:p>
                <w:p>
                  <w:pPr>
                    <w:pStyle w:val="null3"/>
                    <w:jc w:val="center"/>
                  </w:pPr>
                </w:p>
              </w:tc>
            </w:tr>
            <w:tr>
              <w:tc>
                <w:tcPr>
                  <w:tcW w:type="dxa" w:w="2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水平运输机械台班（准载</w:t>
                  </w:r>
                  <w:r>
                    <w:rPr>
                      <w:rFonts w:ascii="仿宋_GB2312" w:hAnsi="仿宋_GB2312" w:cs="仿宋_GB2312" w:eastAsia="仿宋_GB2312"/>
                      <w:sz w:val="28"/>
                      <w:color w:val="000000"/>
                    </w:rPr>
                    <w:t>5吨）</w:t>
                  </w:r>
                </w:p>
                <w:p>
                  <w:pPr>
                    <w:pStyle w:val="null3"/>
                    <w:jc w:val="center"/>
                  </w:pPr>
                </w:p>
              </w:tc>
              <w:tc>
                <w:tcPr>
                  <w:tcW w:type="dxa" w:w="1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台班</w:t>
                  </w:r>
                </w:p>
                <w:p>
                  <w:pPr>
                    <w:pStyle w:val="null3"/>
                    <w:jc w:val="center"/>
                  </w:pPr>
                </w:p>
              </w:tc>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668.70</w:t>
                  </w:r>
                </w:p>
                <w:p>
                  <w:pPr>
                    <w:pStyle w:val="null3"/>
                    <w:jc w:val="center"/>
                  </w:pPr>
                </w:p>
              </w:tc>
            </w:tr>
            <w:tr>
              <w:tc>
                <w:tcPr>
                  <w:tcW w:type="dxa" w:w="2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水平运输机械台班（准载</w:t>
                  </w:r>
                  <w:r>
                    <w:rPr>
                      <w:rFonts w:ascii="仿宋_GB2312" w:hAnsi="仿宋_GB2312" w:cs="仿宋_GB2312" w:eastAsia="仿宋_GB2312"/>
                      <w:sz w:val="28"/>
                      <w:color w:val="000000"/>
                    </w:rPr>
                    <w:t>10吨）</w:t>
                  </w:r>
                </w:p>
                <w:p>
                  <w:pPr>
                    <w:pStyle w:val="null3"/>
                    <w:jc w:val="center"/>
                  </w:pPr>
                </w:p>
              </w:tc>
              <w:tc>
                <w:tcPr>
                  <w:tcW w:type="dxa" w:w="1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台班</w:t>
                  </w:r>
                </w:p>
                <w:p>
                  <w:pPr>
                    <w:pStyle w:val="null3"/>
                    <w:jc w:val="center"/>
                  </w:pPr>
                </w:p>
              </w:tc>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818.53</w:t>
                  </w:r>
                </w:p>
                <w:p>
                  <w:pPr>
                    <w:pStyle w:val="null3"/>
                    <w:jc w:val="center"/>
                  </w:pPr>
                </w:p>
              </w:tc>
            </w:tr>
            <w:tr>
              <w:tc>
                <w:tcPr>
                  <w:tcW w:type="dxa" w:w="2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计日工人单价（专业技术工人和高空</w:t>
                  </w:r>
                </w:p>
                <w:p>
                  <w:pPr>
                    <w:pStyle w:val="null3"/>
                    <w:jc w:val="center"/>
                  </w:pPr>
                  <w:r>
                    <w:rPr>
                      <w:rFonts w:ascii="仿宋_GB2312" w:hAnsi="仿宋_GB2312" w:cs="仿宋_GB2312" w:eastAsia="仿宋_GB2312"/>
                      <w:sz w:val="28"/>
                      <w:color w:val="000000"/>
                    </w:rPr>
                    <w:t>作业人员）</w:t>
                  </w:r>
                </w:p>
                <w:p>
                  <w:pPr>
                    <w:pStyle w:val="null3"/>
                    <w:jc w:val="center"/>
                  </w:pPr>
                </w:p>
              </w:tc>
              <w:tc>
                <w:tcPr>
                  <w:tcW w:type="dxa" w:w="1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工日</w:t>
                  </w:r>
                </w:p>
                <w:p>
                  <w:pPr>
                    <w:pStyle w:val="null3"/>
                    <w:jc w:val="center"/>
                  </w:pPr>
                </w:p>
              </w:tc>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280</w:t>
                  </w:r>
                </w:p>
                <w:p>
                  <w:pPr>
                    <w:pStyle w:val="null3"/>
                    <w:jc w:val="center"/>
                  </w:pPr>
                </w:p>
              </w:tc>
            </w:tr>
            <w:tr>
              <w:tc>
                <w:tcPr>
                  <w:tcW w:type="dxa" w:w="2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计日工人单价（普通工人）</w:t>
                  </w:r>
                </w:p>
                <w:p>
                  <w:pPr>
                    <w:pStyle w:val="null3"/>
                    <w:jc w:val="center"/>
                  </w:pPr>
                </w:p>
              </w:tc>
              <w:tc>
                <w:tcPr>
                  <w:tcW w:type="dxa" w:w="1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工日</w:t>
                  </w:r>
                </w:p>
                <w:p>
                  <w:pPr>
                    <w:pStyle w:val="null3"/>
                    <w:jc w:val="center"/>
                  </w:pPr>
                </w:p>
              </w:tc>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180</w:t>
                  </w:r>
                </w:p>
                <w:p>
                  <w:pPr>
                    <w:pStyle w:val="null3"/>
                    <w:jc w:val="center"/>
                  </w:pP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注：本项目按统一折扣率进行报价，折扣率最低的报价为基准价，例：供应商</w:t>
                  </w:r>
                  <w:r>
                    <w:rPr>
                      <w:rFonts w:ascii="仿宋_GB2312" w:hAnsi="仿宋_GB2312" w:cs="仿宋_GB2312" w:eastAsia="仿宋_GB2312"/>
                      <w:sz w:val="28"/>
                      <w:color w:val="000000"/>
                    </w:rPr>
                    <w:t>A 折扣率为 90%， 供应商 B 折扣率为 80%，则供应商B 的报价比供应商 A 低，其报价为基准价；若 100 元为最高限 价，80%折扣率的报价则为 80 元。</w:t>
                  </w:r>
                </w:p>
                <w:p>
                  <w:pPr>
                    <w:pStyle w:val="null3"/>
                    <w:jc w:val="center"/>
                  </w:pPr>
                </w:p>
              </w:tc>
            </w:tr>
          </w:tbl>
          <w:p>
            <w:pPr>
              <w:pStyle w:val="null3"/>
              <w:jc w:val="left"/>
            </w:pPr>
            <w:r>
              <w:rPr>
                <w:rFonts w:ascii="仿宋_GB2312" w:hAnsi="仿宋_GB2312" w:cs="仿宋_GB2312" w:eastAsia="仿宋_GB2312"/>
                <w:sz w:val="28"/>
                <w:color w:val="000000"/>
              </w:rPr>
              <w:t>1.服务要求</w:t>
            </w:r>
          </w:p>
          <w:p>
            <w:pPr>
              <w:pStyle w:val="null3"/>
              <w:jc w:val="left"/>
            </w:pPr>
            <w:r>
              <w:rPr>
                <w:rFonts w:ascii="仿宋_GB2312" w:hAnsi="仿宋_GB2312" w:cs="仿宋_GB2312" w:eastAsia="仿宋_GB2312"/>
                <w:sz w:val="28"/>
                <w:color w:val="000000"/>
              </w:rPr>
              <w:t>1.1施工质量合格率达到 95%以上。</w:t>
            </w:r>
          </w:p>
          <w:p>
            <w:pPr>
              <w:pStyle w:val="null3"/>
              <w:jc w:val="left"/>
            </w:pPr>
            <w:r>
              <w:rPr>
                <w:rFonts w:ascii="仿宋_GB2312" w:hAnsi="仿宋_GB2312" w:cs="仿宋_GB2312" w:eastAsia="仿宋_GB2312"/>
                <w:sz w:val="28"/>
                <w:color w:val="000000"/>
              </w:rPr>
              <w:t>1.2注重质量改进，保证项目有效实施运行。</w:t>
            </w:r>
          </w:p>
          <w:p>
            <w:pPr>
              <w:pStyle w:val="null3"/>
              <w:jc w:val="left"/>
            </w:pPr>
            <w:r>
              <w:rPr>
                <w:rFonts w:ascii="仿宋_GB2312" w:hAnsi="仿宋_GB2312" w:cs="仿宋_GB2312" w:eastAsia="仿宋_GB2312"/>
                <w:sz w:val="28"/>
                <w:color w:val="000000"/>
              </w:rPr>
              <w:t>1.3质量：确保安全，按期拆除，文明施工、环保施工。</w:t>
            </w:r>
          </w:p>
          <w:p>
            <w:pPr>
              <w:pStyle w:val="null3"/>
              <w:jc w:val="left"/>
            </w:pPr>
            <w:r>
              <w:rPr>
                <w:rFonts w:ascii="仿宋_GB2312" w:hAnsi="仿宋_GB2312" w:cs="仿宋_GB2312" w:eastAsia="仿宋_GB2312"/>
                <w:sz w:val="28"/>
                <w:color w:val="000000"/>
              </w:rPr>
              <w:t>1.4安全：确保安全拆除无事故。</w:t>
            </w:r>
          </w:p>
          <w:p>
            <w:pPr>
              <w:pStyle w:val="null3"/>
              <w:jc w:val="left"/>
            </w:pPr>
            <w:r>
              <w:rPr>
                <w:rFonts w:ascii="仿宋_GB2312" w:hAnsi="仿宋_GB2312" w:cs="仿宋_GB2312" w:eastAsia="仿宋_GB2312"/>
                <w:sz w:val="28"/>
                <w:color w:val="000000"/>
              </w:rPr>
              <w:t>1.5文明施工：以控制降低噪声，粉尘为主，重点解决扰民防尘问题。</w:t>
            </w:r>
          </w:p>
          <w:p>
            <w:pPr>
              <w:pStyle w:val="null3"/>
              <w:jc w:val="left"/>
            </w:pPr>
            <w:r>
              <w:rPr>
                <w:rFonts w:ascii="仿宋_GB2312" w:hAnsi="仿宋_GB2312" w:cs="仿宋_GB2312" w:eastAsia="仿宋_GB2312"/>
                <w:sz w:val="28"/>
                <w:color w:val="000000"/>
              </w:rPr>
              <w:t>1.6遵守国家或地方政府及有关部门对施工现场管理的规定，妥善保护好施工现场周围建筑物、设备管线、古树名木不受损坏。做好施工现场保卫和建筑垃圾清理等工作。处理好由于施工带来的扰民问题及与周围单位（住户）的关系。</w:t>
            </w:r>
          </w:p>
          <w:p>
            <w:pPr>
              <w:pStyle w:val="null3"/>
              <w:jc w:val="left"/>
            </w:pPr>
            <w:r>
              <w:rPr>
                <w:rFonts w:ascii="仿宋_GB2312" w:hAnsi="仿宋_GB2312" w:cs="仿宋_GB2312" w:eastAsia="仿宋_GB2312"/>
                <w:sz w:val="28"/>
                <w:color w:val="000000"/>
              </w:rPr>
              <w:t>2.施工前的准备工作</w:t>
            </w:r>
          </w:p>
          <w:p>
            <w:pPr>
              <w:pStyle w:val="null3"/>
              <w:jc w:val="left"/>
            </w:pPr>
            <w:r>
              <w:rPr>
                <w:rFonts w:ascii="仿宋_GB2312" w:hAnsi="仿宋_GB2312" w:cs="仿宋_GB2312" w:eastAsia="仿宋_GB2312"/>
                <w:sz w:val="28"/>
                <w:color w:val="000000"/>
              </w:rPr>
              <w:t>2.1进行详细的书面技术交底，切断和封堵通往被拆除区域内的一切水、电、通风等线路及各种管道。</w:t>
            </w:r>
          </w:p>
          <w:p>
            <w:pPr>
              <w:pStyle w:val="null3"/>
              <w:jc w:val="left"/>
            </w:pPr>
            <w:r>
              <w:rPr>
                <w:rFonts w:ascii="仿宋_GB2312" w:hAnsi="仿宋_GB2312" w:cs="仿宋_GB2312" w:eastAsia="仿宋_GB2312"/>
                <w:sz w:val="28"/>
                <w:color w:val="000000"/>
              </w:rPr>
              <w:t>2.2撤出不必要的设备及物资，施工开始后，非现场施工人员不得进入现场，以防安全事故发生。</w:t>
            </w:r>
          </w:p>
          <w:p>
            <w:pPr>
              <w:pStyle w:val="null3"/>
              <w:jc w:val="left"/>
            </w:pPr>
            <w:r>
              <w:rPr>
                <w:rFonts w:ascii="仿宋_GB2312" w:hAnsi="仿宋_GB2312" w:cs="仿宋_GB2312" w:eastAsia="仿宋_GB2312"/>
                <w:sz w:val="28"/>
                <w:color w:val="000000"/>
              </w:rPr>
              <w:t>2.3在施工现场，供应商在拆除前准备水车防尘。</w:t>
            </w:r>
          </w:p>
          <w:p>
            <w:pPr>
              <w:pStyle w:val="null3"/>
              <w:jc w:val="left"/>
            </w:pPr>
            <w:r>
              <w:rPr>
                <w:rFonts w:ascii="仿宋_GB2312" w:hAnsi="仿宋_GB2312" w:cs="仿宋_GB2312" w:eastAsia="仿宋_GB2312"/>
                <w:sz w:val="28"/>
                <w:color w:val="000000"/>
              </w:rPr>
              <w:t>2.4组织施工有关人员商讨、研究，编制施工组织设计。</w:t>
            </w:r>
          </w:p>
          <w:p>
            <w:pPr>
              <w:pStyle w:val="null3"/>
              <w:jc w:val="left"/>
            </w:pPr>
            <w:r>
              <w:rPr>
                <w:rFonts w:ascii="仿宋_GB2312" w:hAnsi="仿宋_GB2312" w:cs="仿宋_GB2312" w:eastAsia="仿宋_GB2312"/>
                <w:sz w:val="28"/>
                <w:color w:val="000000"/>
              </w:rPr>
              <w:t>2.5根据现场情况及工程安排，准备必要机械设备、材料、人员等进场，并提前做好关键路口的安全标记及指挥。</w:t>
            </w:r>
          </w:p>
          <w:p>
            <w:pPr>
              <w:pStyle w:val="null3"/>
              <w:jc w:val="left"/>
            </w:pPr>
            <w:r>
              <w:rPr>
                <w:rFonts w:ascii="仿宋_GB2312" w:hAnsi="仿宋_GB2312" w:cs="仿宋_GB2312" w:eastAsia="仿宋_GB2312"/>
                <w:sz w:val="28"/>
                <w:color w:val="000000"/>
              </w:rPr>
              <w:t>2.6开工前，参加项目的服务人员认真接受对拆除区域内的技术交底，地上、地下障碍物的书面交底，双方做好记录。组织安全员及施工人员认真熟悉和掌握施工范围及结构特点，清楚地上、地下障碍物和制定安全措施，要有严格的安全和施工工艺的记录。</w:t>
            </w:r>
          </w:p>
          <w:p>
            <w:pPr>
              <w:pStyle w:val="null3"/>
              <w:jc w:val="left"/>
            </w:pPr>
            <w:r>
              <w:rPr>
                <w:rFonts w:ascii="仿宋_GB2312" w:hAnsi="仿宋_GB2312" w:cs="仿宋_GB2312" w:eastAsia="仿宋_GB2312"/>
                <w:sz w:val="28"/>
                <w:color w:val="000000"/>
              </w:rPr>
              <w:t>2.7 拆除过程中必须采取降尘措施，施工现场采取低噪声、低粉尘的施工方法。</w:t>
            </w:r>
          </w:p>
          <w:p>
            <w:pPr>
              <w:pStyle w:val="null3"/>
              <w:jc w:val="left"/>
            </w:pPr>
            <w:r>
              <w:rPr>
                <w:rFonts w:ascii="仿宋_GB2312" w:hAnsi="仿宋_GB2312" w:cs="仿宋_GB2312" w:eastAsia="仿宋_GB2312"/>
                <w:sz w:val="28"/>
                <w:color w:val="000000"/>
              </w:rPr>
              <w:t>2.8</w:t>
            </w:r>
            <w:r>
              <w:rPr>
                <w:rFonts w:ascii="仿宋_GB2312" w:hAnsi="仿宋_GB2312" w:cs="仿宋_GB2312" w:eastAsia="仿宋_GB2312"/>
                <w:sz w:val="28"/>
                <w:color w:val="000000"/>
              </w:rPr>
              <w:t>采购人应至少提前</w:t>
            </w:r>
            <w:r>
              <w:rPr>
                <w:rFonts w:ascii="仿宋_GB2312" w:hAnsi="仿宋_GB2312" w:cs="仿宋_GB2312" w:eastAsia="仿宋_GB2312"/>
                <w:sz w:val="28"/>
                <w:color w:val="000000"/>
              </w:rPr>
              <w:t>12</w:t>
            </w:r>
            <w:r>
              <w:rPr>
                <w:rFonts w:ascii="仿宋_GB2312" w:hAnsi="仿宋_GB2312" w:cs="仿宋_GB2312" w:eastAsia="仿宋_GB2312"/>
                <w:sz w:val="28"/>
                <w:color w:val="000000"/>
              </w:rPr>
              <w:t>小时发出指令，供应商须在约定时间组织人员、设备到现场。</w:t>
            </w:r>
          </w:p>
          <w:p>
            <w:pPr>
              <w:pStyle w:val="null3"/>
              <w:jc w:val="left"/>
            </w:pPr>
            <w:r>
              <w:rPr>
                <w:rFonts w:ascii="仿宋_GB2312" w:hAnsi="仿宋_GB2312" w:cs="仿宋_GB2312" w:eastAsia="仿宋_GB2312"/>
                <w:sz w:val="28"/>
                <w:color w:val="000000"/>
              </w:rPr>
              <w:t>2.9按照采购人的要求，在接到通知后按时组织拆除工人和机械到指定地点，不迟到，若工作延误每次扣减当次拆（清）除服务费用的10%。</w:t>
            </w:r>
          </w:p>
          <w:p>
            <w:pPr>
              <w:pStyle w:val="null3"/>
              <w:jc w:val="left"/>
            </w:pPr>
            <w:r>
              <w:rPr>
                <w:rFonts w:ascii="仿宋_GB2312" w:hAnsi="仿宋_GB2312" w:cs="仿宋_GB2312" w:eastAsia="仿宋_GB2312"/>
              </w:rPr>
              <w:t>3.供应商实施拆（清）除要严格程序、规范操作、安全作业</w:t>
            </w:r>
          </w:p>
          <w:p>
            <w:pPr>
              <w:pStyle w:val="null3"/>
              <w:jc w:val="left"/>
            </w:pPr>
            <w:r>
              <w:rPr>
                <w:rFonts w:ascii="仿宋_GB2312" w:hAnsi="仿宋_GB2312" w:cs="仿宋_GB2312" w:eastAsia="仿宋_GB2312"/>
              </w:rPr>
              <w:t>3.1采取严格有效的措施确保采购人、供应商和第三方的人身安全，如有安全隐患，及时向采购人报告；</w:t>
            </w:r>
          </w:p>
          <w:p>
            <w:pPr>
              <w:pStyle w:val="null3"/>
              <w:jc w:val="left"/>
            </w:pPr>
            <w:r>
              <w:rPr>
                <w:rFonts w:ascii="仿宋_GB2312" w:hAnsi="仿宋_GB2312" w:cs="仿宋_GB2312" w:eastAsia="仿宋_GB2312"/>
              </w:rPr>
              <w:t>3.2确保拆（清）除前已停电、停水、停气、无易燃易爆物品和危险物品，人员已全部撤离；</w:t>
            </w:r>
          </w:p>
          <w:p>
            <w:pPr>
              <w:pStyle w:val="null3"/>
              <w:jc w:val="left"/>
            </w:pPr>
            <w:r>
              <w:rPr>
                <w:rFonts w:ascii="仿宋_GB2312" w:hAnsi="仿宋_GB2312" w:cs="仿宋_GB2312" w:eastAsia="仿宋_GB2312"/>
              </w:rPr>
              <w:t>3.3为参加拆除的工人及管理人员购买商业意外伤害保险，在拆除工作中造成人身伤害的，由供应商负完全责任；</w:t>
            </w:r>
          </w:p>
          <w:p>
            <w:pPr>
              <w:pStyle w:val="null3"/>
              <w:jc w:val="left"/>
            </w:pPr>
            <w:r>
              <w:rPr>
                <w:rFonts w:ascii="仿宋_GB2312" w:hAnsi="仿宋_GB2312" w:cs="仿宋_GB2312" w:eastAsia="仿宋_GB2312"/>
              </w:rPr>
              <w:t>3.4特种作业人员应当经过专业培训并持有效证件上岗以及相应的专业器具，施工机具、材料、设备应当符合安全要求；</w:t>
            </w:r>
          </w:p>
          <w:p>
            <w:pPr>
              <w:pStyle w:val="null3"/>
              <w:jc w:val="left"/>
            </w:pPr>
            <w:r>
              <w:rPr>
                <w:rFonts w:ascii="仿宋_GB2312" w:hAnsi="仿宋_GB2312" w:cs="仿宋_GB2312" w:eastAsia="仿宋_GB2312"/>
              </w:rPr>
              <w:t>3.5供应商应当采取有力措施保护毗邻建筑物及财产安全；</w:t>
            </w:r>
          </w:p>
          <w:p>
            <w:pPr>
              <w:pStyle w:val="null3"/>
              <w:jc w:val="left"/>
            </w:pPr>
            <w:r>
              <w:rPr>
                <w:rFonts w:ascii="仿宋_GB2312" w:hAnsi="仿宋_GB2312" w:cs="仿宋_GB2312" w:eastAsia="仿宋_GB2312"/>
              </w:rPr>
              <w:t>3.6不得以任何形式向外界泄露采购人的信息、资料等，不得损害采购人利益，因供应商单方行为而给采购人带来经济、名誉损失的，供应商必须承担全部责任；</w:t>
            </w:r>
          </w:p>
          <w:p>
            <w:pPr>
              <w:pStyle w:val="null3"/>
              <w:jc w:val="left"/>
            </w:pPr>
            <w:r>
              <w:rPr>
                <w:rFonts w:ascii="仿宋_GB2312" w:hAnsi="仿宋_GB2312" w:cs="仿宋_GB2312" w:eastAsia="仿宋_GB2312"/>
              </w:rPr>
              <w:t>3.7若拆除作业造成供应商、采购人或任何第三人的人身损害或财产损失的，供应商应积极采取措施妥善进行处理，供应商承担由此引起的全部责任、费用及损失。</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服务期3年，合同一年一签。年度内因供应商原因发生安全责任事故或者被市级及以上单位通报批评、市级以上媒体曝光的，提前终止合同。</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巴中市综合行政执法局指定地点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按照《财政部关于进一步加强政府采购需求和履约验收管理的指导意见》（财库〔2016〕205号）要求、采购文件的质量要求和技术指标、中标人的投标文件及承诺以及合同约定标准进行验收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1、进度款，本项目为分批次按实结算，每季度供应商向采购人出具结算支付材料申请结算付款，经验收合格后。结算金额＝单价限价×（供应商所报 折扣率）×验收合格后的工程量。单项拆除5万元以上的按照拆除经费管理办法申报及结算，达到付款条件起7日内，支付合同总金额的20.00%</w:t>
            </w:r>
          </w:p>
          <w:p>
            <w:pPr>
              <w:pStyle w:val="null3"/>
              <w:jc w:val="left"/>
            </w:pPr>
            <w:r>
              <w:rPr>
                <w:rFonts w:ascii="仿宋_GB2312" w:hAnsi="仿宋_GB2312" w:cs="仿宋_GB2312" w:eastAsia="仿宋_GB2312"/>
              </w:rPr>
              <w:t>2、进度款，本项目为分批次按实结算，每季度供应商向采购人出具结算 支付材料申请结算付款，经验收合格后。结算金额＝单价限价×（供应商所报折扣率）×验收合格后的工程量。单项拆除5万元以上的按照拆除经费管理办法申报及结算，达到付款条件起7日内，支付合同总金额的20.00%</w:t>
            </w:r>
          </w:p>
          <w:p>
            <w:pPr>
              <w:pStyle w:val="null3"/>
              <w:jc w:val="left"/>
            </w:pPr>
            <w:r>
              <w:rPr>
                <w:rFonts w:ascii="仿宋_GB2312" w:hAnsi="仿宋_GB2312" w:cs="仿宋_GB2312" w:eastAsia="仿宋_GB2312"/>
              </w:rPr>
              <w:t>3、进度款，本项目为分批次按实结算，每季度供应商向采购人出具结算支付材料申请结算付款，经验收合格后。结算金额＝单价限价×（供应商所报折扣率）×验收合格后的工程量。单项拆除5万元以上的按照拆除经费管理办法申报及结算；，达到付款条件起7日内，支付合同总金额的20.00%</w:t>
            </w:r>
          </w:p>
          <w:p>
            <w:pPr>
              <w:pStyle w:val="null3"/>
              <w:jc w:val="left"/>
            </w:pPr>
            <w:r>
              <w:rPr>
                <w:rFonts w:ascii="仿宋_GB2312" w:hAnsi="仿宋_GB2312" w:cs="仿宋_GB2312" w:eastAsia="仿宋_GB2312"/>
              </w:rPr>
              <w:t>4、进度款，本项目为分批次按实结算，每季度供应商向采购人出具结算支付材料申请结算付款，经验收合格后。结算金额＝单价限价×（供应商所报折扣率）×验收合格后的工程量。单项拆除5万元以上的按照拆除经费管理办法申报及结算；，达到付款条件起7日内，支付合同总金额的20.00%</w:t>
            </w:r>
          </w:p>
          <w:p>
            <w:pPr>
              <w:pStyle w:val="null3"/>
              <w:jc w:val="left"/>
            </w:pPr>
            <w:r>
              <w:rPr>
                <w:rFonts w:ascii="仿宋_GB2312" w:hAnsi="仿宋_GB2312" w:cs="仿宋_GB2312" w:eastAsia="仿宋_GB2312"/>
              </w:rPr>
              <w:t>5、尾款，每年年底经采购人审核,并经三方公司审计后，达到付款条件起7日内，支付合同总金额的20.00%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（1）双方必须遵守本合同并执行合同中的各项规定，保证本合同的正常履行。 （2）如因供应商工作人员在履行职务过程中的疏忽、失职、过错等故意或者过失 原因给采购人造成损失或侵害，包括但不限于采购人本身的财产损失、由此而导致的采 购人对任何第三方的法律责任等，供应商 对此均应承担全部的赔偿责任。 （3）在执行本合同中发生的或与本合同有关的争端，双方应通过友好协商解决， 经协商后仍不能达成协议时，应提交采购人所在地区仲裁委员会仲裁。 （4）仲裁裁决应为最终决定，并对双方具有约束力。除另有裁决外，仲裁费应由败诉 方负担。在仲裁期间，除正在进行仲裁部分外，合同其他 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具有独立承担民事责任的能力提供以下证明材料： （一）独立法人机构提供下述证明材料：1.营业执照副本（注：（1）在有效期内；（2）具有独立法人资格；）或工商部门新颁发的营业执照（有效期内）。 2.其他组织或自然人提供具有承担民事责任的能力的证明材料； 注：供应商在项目电子化交易系统中按要求上传相应证明文件并进行电子签章。</w:t>
            </w:r>
          </w:p>
        </w:tc>
        <w:tc>
          <w:tcPr>
            <w:tcW w:type="dxa" w:w="1661"/>
          </w:tcPr>
          <w:p>
            <w:pPr>
              <w:pStyle w:val="null3"/>
              <w:jc w:val="left"/>
            </w:pPr>
            <w:r>
              <w:rPr>
                <w:rFonts w:ascii="仿宋_GB2312" w:hAnsi="仿宋_GB2312" w:cs="仿宋_GB2312" w:eastAsia="仿宋_GB2312"/>
              </w:rPr>
              <w:t>响应文件封面,具有独立承担民事责任的能力.docx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商务要求应答情况</w:t>
            </w:r>
          </w:p>
        </w:tc>
        <w:tc>
          <w:tcPr>
            <w:tcW w:type="dxa" w:w="3322"/>
          </w:tcPr>
          <w:p>
            <w:pPr>
              <w:pStyle w:val="null3"/>
              <w:jc w:val="left"/>
            </w:pPr>
            <w:r>
              <w:rPr>
                <w:rFonts w:ascii="仿宋_GB2312" w:hAnsi="仿宋_GB2312" w:cs="仿宋_GB2312" w:eastAsia="仿宋_GB2312"/>
              </w:rPr>
              <w:t>商务要求应答情况</w:t>
            </w:r>
          </w:p>
        </w:tc>
        <w:tc>
          <w:tcPr>
            <w:tcW w:type="dxa" w:w="1661"/>
          </w:tcPr>
          <w:p>
            <w:pPr>
              <w:pStyle w:val="null3"/>
              <w:jc w:val="left"/>
            </w:pPr>
            <w:r>
              <w:rPr>
                <w:rFonts w:ascii="仿宋_GB2312" w:hAnsi="仿宋_GB2312" w:cs="仿宋_GB2312" w:eastAsia="仿宋_GB2312"/>
              </w:rPr>
              <w:t>商务应答表.docx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技术要求应答情况</w:t>
            </w:r>
          </w:p>
        </w:tc>
        <w:tc>
          <w:tcPr>
            <w:tcW w:type="dxa" w:w="3322"/>
          </w:tcPr>
          <w:p>
            <w:pPr>
              <w:pStyle w:val="null3"/>
              <w:jc w:val="left"/>
            </w:pPr>
            <w:r>
              <w:rPr>
                <w:rFonts w:ascii="仿宋_GB2312" w:hAnsi="仿宋_GB2312" w:cs="仿宋_GB2312" w:eastAsia="仿宋_GB2312"/>
              </w:rPr>
              <w:t>技术要求应答情况</w:t>
            </w:r>
          </w:p>
        </w:tc>
        <w:tc>
          <w:tcPr>
            <w:tcW w:type="dxa" w:w="1661"/>
          </w:tcPr>
          <w:p>
            <w:pPr>
              <w:pStyle w:val="null3"/>
              <w:jc w:val="left"/>
            </w:pPr>
            <w:r>
              <w:rPr>
                <w:rFonts w:ascii="仿宋_GB2312" w:hAnsi="仿宋_GB2312" w:cs="仿宋_GB2312" w:eastAsia="仿宋_GB2312"/>
              </w:rPr>
              <w:t>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零星违法建设拆除工作实施方案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根据供应商2023年1月1日（含1日）至提交响应文件截止日的类似业绩进行评审。每具有1个 得2分，最多得6分。 注：提供合同或中标（成交）通知书。时间以合同签订时间或通知书发放时间为准。</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履约能力.docx</w:t>
            </w:r>
          </w:p>
        </w:tc>
      </w:tr>
      <w:tr>
        <w:tc>
          <w:tcPr>
            <w:tcW w:type="dxa" w:w="831"/>
            <w:vMerge/>
          </w:tcPr>
          <w:p/>
        </w:tc>
        <w:tc>
          <w:tcPr>
            <w:tcW w:type="dxa" w:w="1661"/>
          </w:tcPr>
          <w:p>
            <w:pPr>
              <w:pStyle w:val="null3"/>
              <w:jc w:val="left"/>
            </w:pPr>
            <w:r>
              <w:rPr>
                <w:rFonts w:ascii="仿宋_GB2312" w:hAnsi="仿宋_GB2312" w:cs="仿宋_GB2312" w:eastAsia="仿宋_GB2312"/>
              </w:rPr>
              <w:t>集中整治占道摊点或堆码物实施方案</w:t>
            </w:r>
          </w:p>
        </w:tc>
        <w:tc>
          <w:tcPr>
            <w:tcW w:type="dxa" w:w="2575"/>
          </w:tcPr>
          <w:p>
            <w:pPr>
              <w:pStyle w:val="null3"/>
              <w:jc w:val="left"/>
            </w:pPr>
            <w:r>
              <w:rPr>
                <w:rFonts w:ascii="仿宋_GB2312" w:hAnsi="仿宋_GB2312" w:cs="仿宋_GB2312" w:eastAsia="仿宋_GB2312"/>
              </w:rPr>
              <w:t>方案内容包括①现场宣传引导②人员分组、响应及时③占道物品清理与登记。上述3项内容齐全且无缺陷（缺陷是指：内容不适用项目实际情况、内容表述错误、内容与本项目无关、内容涉及的规范或标准错 误的任意一种情形）得9分，每缺少一项内容扣3分，扣完为止；单项内容每存在一处缺陷扣1.5分，单项内容分扣完为止。</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集中整治占道摊点或堆码物实施方案.docx</w:t>
            </w:r>
          </w:p>
        </w:tc>
      </w:tr>
      <w:tr>
        <w:tc>
          <w:tcPr>
            <w:tcW w:type="dxa" w:w="831"/>
            <w:vMerge/>
          </w:tcPr>
          <w:p/>
        </w:tc>
        <w:tc>
          <w:tcPr>
            <w:tcW w:type="dxa" w:w="1661"/>
          </w:tcPr>
          <w:p>
            <w:pPr>
              <w:pStyle w:val="null3"/>
              <w:jc w:val="left"/>
            </w:pPr>
            <w:r>
              <w:rPr>
                <w:rFonts w:ascii="仿宋_GB2312" w:hAnsi="仿宋_GB2312" w:cs="仿宋_GB2312" w:eastAsia="仿宋_GB2312"/>
              </w:rPr>
              <w:t>服务团队</w:t>
            </w:r>
          </w:p>
        </w:tc>
        <w:tc>
          <w:tcPr>
            <w:tcW w:type="dxa" w:w="2575"/>
          </w:tcPr>
          <w:p>
            <w:pPr>
              <w:pStyle w:val="null3"/>
              <w:jc w:val="left"/>
            </w:pPr>
            <w:r>
              <w:rPr>
                <w:rFonts w:ascii="仿宋_GB2312" w:hAnsi="仿宋_GB2312" w:cs="仿宋_GB2312" w:eastAsia="仿宋_GB2312"/>
              </w:rPr>
              <w:t>根据供应商拟投入本项目服务团队人员进行综合评审： 1、项目经理具有二级注册建造师及以上的得4分，具有建筑类中级或以上职称的加2分，具有安全生产考核合格B证的加2分，最多得8分。（提供建造师证书、身份证、职称证书、建筑或市政安全生产考核合格B证） 2.服务团队人员每有1人具有电工持证特 种作业人员证书的得2分。最高得4分。（提供身份证、特种作业证书） 3.服务团队人员每有1人具有高空作业持证特种作业人员证书的得2分，最高得4分。（提供身份证、特种作业证书） 4.服务团队人员每有1人具有焊接与热切割持证特种作业人员证书的得2分。最高得8分。（提供身份证、特种作业证书） 注：①上述人员不重复计算；②提供上述人员在职劳动关系证明材 料复印件并加盖供应商公章。</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服务团队.docx</w:t>
            </w:r>
          </w:p>
        </w:tc>
      </w:tr>
      <w:tr>
        <w:tc>
          <w:tcPr>
            <w:tcW w:type="dxa" w:w="831"/>
            <w:vMerge/>
          </w:tcPr>
          <w:p/>
        </w:tc>
        <w:tc>
          <w:tcPr>
            <w:tcW w:type="dxa" w:w="1661"/>
          </w:tcPr>
          <w:p>
            <w:pPr>
              <w:pStyle w:val="null3"/>
              <w:jc w:val="left"/>
            </w:pPr>
            <w:r>
              <w:rPr>
                <w:rFonts w:ascii="仿宋_GB2312" w:hAnsi="仿宋_GB2312" w:cs="仿宋_GB2312" w:eastAsia="仿宋_GB2312"/>
              </w:rPr>
              <w:t>零星违法建设拆除工作实施方案</w:t>
            </w:r>
          </w:p>
        </w:tc>
        <w:tc>
          <w:tcPr>
            <w:tcW w:type="dxa" w:w="2575"/>
          </w:tcPr>
          <w:p>
            <w:pPr>
              <w:pStyle w:val="null3"/>
              <w:jc w:val="left"/>
            </w:pPr>
            <w:r>
              <w:rPr>
                <w:rFonts w:ascii="仿宋_GB2312" w:hAnsi="仿宋_GB2312" w:cs="仿宋_GB2312" w:eastAsia="仿宋_GB2312"/>
              </w:rPr>
              <w:t>方案内容包括①拆除工人（含特种作业人员）组织规范、响应及时②围栏或警戒线设置合理③拆除机械器具准备充分④钢结构、玻璃阳光房、砖混结构等不同结构建构筑物拆除措施可操作性强⑤动火作业规范⑥建筑垃圾处置规范。上述6项内容齐全且无缺陷（缺陷是指：内容不适用项目实际情况、内容表述错误、内容与本项目无关、内容涉及的规范或标准错误的任意一种情形）得18分，每缺少一项内容扣3分，扣完为止；单项内容每存在一处缺陷扣1.5分，单项内容分扣完为止。</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零星违法建设拆除工作实施方案.docx</w:t>
            </w:r>
          </w:p>
        </w:tc>
      </w:tr>
      <w:tr>
        <w:tc>
          <w:tcPr>
            <w:tcW w:type="dxa" w:w="831"/>
            <w:vMerge/>
          </w:tcPr>
          <w:p/>
        </w:tc>
        <w:tc>
          <w:tcPr>
            <w:tcW w:type="dxa" w:w="1661"/>
          </w:tcPr>
          <w:p>
            <w:pPr>
              <w:pStyle w:val="null3"/>
              <w:jc w:val="left"/>
            </w:pPr>
            <w:r>
              <w:rPr>
                <w:rFonts w:ascii="仿宋_GB2312" w:hAnsi="仿宋_GB2312" w:cs="仿宋_GB2312" w:eastAsia="仿宋_GB2312"/>
              </w:rPr>
              <w:t>零星拆除户外广告招牌实施方案</w:t>
            </w:r>
          </w:p>
        </w:tc>
        <w:tc>
          <w:tcPr>
            <w:tcW w:type="dxa" w:w="2575"/>
          </w:tcPr>
          <w:p>
            <w:pPr>
              <w:pStyle w:val="null3"/>
              <w:jc w:val="left"/>
            </w:pPr>
            <w:r>
              <w:rPr>
                <w:rFonts w:ascii="仿宋_GB2312" w:hAnsi="仿宋_GB2312" w:cs="仿宋_GB2312" w:eastAsia="仿宋_GB2312"/>
              </w:rPr>
              <w:t>方案内容包括①拆除工人组织（含特种作业人员）、响应及时②围栏或警戒线设置合理③脚手架、防护网设置规范可靠④动火作业规范⑤吊车、升降车等相关机械器具准备充分。上述5项内容齐全且无缺陷（缺陷是指：内容不适用项目实际情况、内容表述错误、内容与本项目无关、内容涉及的规范或标准错误的任意一种情形）得10分，每缺少一项内容扣2分，扣完为止；单项内容每存在一处缺陷扣1分，单项内容分扣完为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零星拆除户外广告招牌实施方案.docx</w:t>
            </w:r>
          </w:p>
        </w:tc>
      </w:tr>
      <w:tr>
        <w:tc>
          <w:tcPr>
            <w:tcW w:type="dxa" w:w="831"/>
            <w:vMerge/>
          </w:tcPr>
          <w:p/>
        </w:tc>
        <w:tc>
          <w:tcPr>
            <w:tcW w:type="dxa" w:w="1661"/>
          </w:tcPr>
          <w:p>
            <w:pPr>
              <w:pStyle w:val="null3"/>
              <w:jc w:val="left"/>
            </w:pPr>
            <w:r>
              <w:rPr>
                <w:rFonts w:ascii="仿宋_GB2312" w:hAnsi="仿宋_GB2312" w:cs="仿宋_GB2312" w:eastAsia="仿宋_GB2312"/>
              </w:rPr>
              <w:t>施工机械配置</w:t>
            </w:r>
          </w:p>
        </w:tc>
        <w:tc>
          <w:tcPr>
            <w:tcW w:type="dxa" w:w="2575"/>
          </w:tcPr>
          <w:p>
            <w:pPr>
              <w:pStyle w:val="null3"/>
              <w:jc w:val="left"/>
            </w:pPr>
            <w:r>
              <w:rPr>
                <w:rFonts w:ascii="仿宋_GB2312" w:hAnsi="仿宋_GB2312" w:cs="仿宋_GB2312" w:eastAsia="仿宋_GB2312"/>
              </w:rPr>
              <w:t>1、供应商针对本项目每配备1台挖掘机的得1.5分，最多得3分；不配备不得分。 2、供应商针对本项目每 配备1台装载机的得1.5分，最多得3分；不配备不得分。 3、供应商针对本项目每配备1台运渣车的得1分 ，最多得3分；不配备不得分。 4、供应商针对本项目每配备1台洒水车的得2分，最多得2分，不配备不得 分。 5、供应商针对本项目每配备1台吊车得2分，最多得2分，不配备不得分。 注：1.挖掘机和装载机若为自有车辆提供车辆购置票据并加盖供应商公章；若为租赁车辆，提供租赁合同复印件及车辆购置票据并加盖供应商公章。2.运渣车和洒水车和吊车若为自有车辆提供车辆购置票据及车辆行驶证复印件并加盖供应商公章；若为租赁车辆，提供租赁合同复印件及车辆购置票据和车辆行驶证复印件并加盖供应商公章。</w:t>
            </w:r>
          </w:p>
        </w:tc>
        <w:tc>
          <w:tcPr>
            <w:tcW w:type="dxa" w:w="831"/>
          </w:tcPr>
          <w:p>
            <w:pPr>
              <w:pStyle w:val="null3"/>
              <w:jc w:val="center"/>
            </w:pPr>
            <w:r>
              <w:rPr>
                <w:rFonts w:ascii="仿宋_GB2312" w:hAnsi="仿宋_GB2312" w:cs="仿宋_GB2312" w:eastAsia="仿宋_GB2312"/>
              </w:rPr>
              <w:t>13.0000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施工机械配置.docx</w:t>
            </w:r>
          </w:p>
        </w:tc>
      </w:tr>
      <w:tr>
        <w:tc>
          <w:tcPr>
            <w:tcW w:type="dxa" w:w="831"/>
            <w:vMerge/>
          </w:tcPr>
          <w:p/>
        </w:tc>
        <w:tc>
          <w:tcPr>
            <w:tcW w:type="dxa" w:w="1661"/>
          </w:tcPr>
          <w:p>
            <w:pPr>
              <w:pStyle w:val="null3"/>
              <w:jc w:val="left"/>
            </w:pPr>
            <w:r>
              <w:rPr>
                <w:rFonts w:ascii="仿宋_GB2312" w:hAnsi="仿宋_GB2312" w:cs="仿宋_GB2312" w:eastAsia="仿宋_GB2312"/>
              </w:rPr>
              <w:t>安全作业预案及应急处置方案</w:t>
            </w:r>
          </w:p>
        </w:tc>
        <w:tc>
          <w:tcPr>
            <w:tcW w:type="dxa" w:w="2575"/>
          </w:tcPr>
          <w:p>
            <w:pPr>
              <w:pStyle w:val="null3"/>
              <w:jc w:val="left"/>
            </w:pPr>
            <w:r>
              <w:rPr>
                <w:rFonts w:ascii="仿宋_GB2312" w:hAnsi="仿宋_GB2312" w:cs="仿宋_GB2312" w:eastAsia="仿宋_GB2312"/>
              </w:rPr>
              <w:t>方案内容包括①安全责任落实②安全培训③应急情景及现场针对性处置措施④善后处置措施⑤停水、停电。上述5项内容齐全且无缺陷（缺陷是指：内容不适用项目实际情况、内容表述错误、内容与本项目无关、内容涉及的规范或标准错误的任意一种情形）得10分，每缺少一项内容扣2分，扣完为止；单项内容每存在一处缺陷扣1分，单项内容分扣完为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安全作业预案及应急处置方案.docx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详见附件：安全作业预案及应急处置方案.docx</w:t>
      </w:r>
    </w:p>
    <w:p>
      <w:pPr>
        <w:pStyle w:val="null3"/>
        <w:ind w:firstLine="960"/>
        <w:jc w:val="left"/>
      </w:pPr>
      <w:r>
        <w:rPr>
          <w:rFonts w:ascii="仿宋_GB2312" w:hAnsi="仿宋_GB2312" w:cs="仿宋_GB2312" w:eastAsia="仿宋_GB2312"/>
        </w:rPr>
        <w:t>详见附件：服务团队.docx</w:t>
      </w:r>
    </w:p>
    <w:p>
      <w:pPr>
        <w:pStyle w:val="null3"/>
        <w:ind w:firstLine="960"/>
        <w:jc w:val="left"/>
      </w:pPr>
      <w:r>
        <w:rPr>
          <w:rFonts w:ascii="仿宋_GB2312" w:hAnsi="仿宋_GB2312" w:cs="仿宋_GB2312" w:eastAsia="仿宋_GB2312"/>
        </w:rPr>
        <w:t>详见附件：集中整治占道摊点或堆码物实施方案.docx</w:t>
      </w:r>
    </w:p>
    <w:p>
      <w:pPr>
        <w:pStyle w:val="null3"/>
        <w:ind w:firstLine="960"/>
        <w:jc w:val="left"/>
      </w:pPr>
      <w:r>
        <w:rPr>
          <w:rFonts w:ascii="仿宋_GB2312" w:hAnsi="仿宋_GB2312" w:cs="仿宋_GB2312" w:eastAsia="仿宋_GB2312"/>
        </w:rPr>
        <w:t>详见附件：具有独立承担民事责任的能力.docx</w:t>
      </w:r>
    </w:p>
    <w:p>
      <w:pPr>
        <w:pStyle w:val="null3"/>
        <w:ind w:firstLine="960"/>
        <w:jc w:val="left"/>
      </w:pPr>
      <w:r>
        <w:rPr>
          <w:rFonts w:ascii="仿宋_GB2312" w:hAnsi="仿宋_GB2312" w:cs="仿宋_GB2312" w:eastAsia="仿宋_GB2312"/>
        </w:rPr>
        <w:t>详见附件：零星拆除户外广告招牌实施方案.docx</w:t>
      </w:r>
    </w:p>
    <w:p>
      <w:pPr>
        <w:pStyle w:val="null3"/>
        <w:ind w:firstLine="960"/>
        <w:jc w:val="left"/>
      </w:pPr>
      <w:r>
        <w:rPr>
          <w:rFonts w:ascii="仿宋_GB2312" w:hAnsi="仿宋_GB2312" w:cs="仿宋_GB2312" w:eastAsia="仿宋_GB2312"/>
        </w:rPr>
        <w:t>详见附件：零星违法建设拆除工作实施方案.docx</w:t>
      </w:r>
    </w:p>
    <w:p>
      <w:pPr>
        <w:pStyle w:val="null3"/>
        <w:ind w:firstLine="960"/>
        <w:jc w:val="left"/>
      </w:pPr>
      <w:r>
        <w:rPr>
          <w:rFonts w:ascii="仿宋_GB2312" w:hAnsi="仿宋_GB2312" w:cs="仿宋_GB2312" w:eastAsia="仿宋_GB2312"/>
        </w:rPr>
        <w:t>详见附件：履约能力.docx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详见附件：施工机械配置.docx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